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65AC146">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b w:val="0"/>
          <w:i w:val="0"/>
          <w:caps w:val="0"/>
          <w:color w:val="000000" w:themeColor="text1"/>
          <w:spacing w:val="0"/>
          <w:sz w:val="44"/>
          <w:szCs w:val="44"/>
          <w:shd w:val="clear" w:fill="FFFFFF"/>
          <w14:textFill>
            <w14:solidFill>
              <w14:schemeClr w14:val="tx1"/>
            </w14:solidFill>
          </w14:textFill>
        </w:rPr>
      </w:pPr>
      <w:r>
        <w:rPr>
          <w:rFonts w:hint="eastAsia" w:ascii="方正小标宋_GBK" w:hAnsi="方正小标宋_GBK" w:eastAsia="方正小标宋_GBK" w:cs="方正小标宋_GBK"/>
          <w:b w:val="0"/>
          <w:i w:val="0"/>
          <w:caps w:val="0"/>
          <w:color w:val="000000" w:themeColor="text1"/>
          <w:spacing w:val="0"/>
          <w:sz w:val="44"/>
          <w:szCs w:val="44"/>
          <w:shd w:val="clear" w:fill="FFFFFF"/>
          <w:lang w:val="en-US" w:eastAsia="zh-CN"/>
          <w14:textFill>
            <w14:solidFill>
              <w14:schemeClr w14:val="tx1"/>
            </w14:solidFill>
          </w14:textFill>
        </w:rPr>
        <w:t>石家庄市新华区</w:t>
      </w:r>
      <w:r>
        <w:rPr>
          <w:rFonts w:hint="eastAsia" w:ascii="方正小标宋_GBK" w:hAnsi="方正小标宋_GBK" w:eastAsia="方正小标宋_GBK" w:cs="方正小标宋_GBK"/>
          <w:b w:val="0"/>
          <w:i w:val="0"/>
          <w:caps w:val="0"/>
          <w:color w:val="000000" w:themeColor="text1"/>
          <w:spacing w:val="0"/>
          <w:sz w:val="44"/>
          <w:szCs w:val="44"/>
          <w:shd w:val="clear" w:fill="FFFFFF"/>
          <w14:textFill>
            <w14:solidFill>
              <w14:schemeClr w14:val="tx1"/>
            </w14:solidFill>
          </w14:textFill>
        </w:rPr>
        <w:t>人民政府</w:t>
      </w:r>
    </w:p>
    <w:p w14:paraId="17E8F0D2">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_GBK" w:hAnsi="方正小标宋_GBK" w:eastAsia="方正小标宋_GBK" w:cs="方正小标宋_GBK"/>
          <w:b w:val="0"/>
          <w:i w:val="0"/>
          <w:caps w:val="0"/>
          <w:color w:val="000000" w:themeColor="text1"/>
          <w:spacing w:val="0"/>
          <w:sz w:val="44"/>
          <w:szCs w:val="44"/>
          <w:shd w:val="clear" w:fill="FFFFFF"/>
          <w14:textFill>
            <w14:solidFill>
              <w14:schemeClr w14:val="tx1"/>
            </w14:solidFill>
          </w14:textFill>
        </w:rPr>
      </w:pPr>
      <w:r>
        <w:rPr>
          <w:rFonts w:hint="eastAsia" w:ascii="方正小标宋_GBK" w:hAnsi="方正小标宋_GBK" w:eastAsia="方正小标宋_GBK" w:cs="方正小标宋_GBK"/>
          <w:b w:val="0"/>
          <w:i w:val="0"/>
          <w:caps w:val="0"/>
          <w:color w:val="000000" w:themeColor="text1"/>
          <w:spacing w:val="0"/>
          <w:sz w:val="44"/>
          <w:szCs w:val="44"/>
          <w:shd w:val="clear" w:fill="FFFFFF"/>
          <w14:textFill>
            <w14:solidFill>
              <w14:schemeClr w14:val="tx1"/>
            </w14:solidFill>
          </w14:textFill>
        </w:rPr>
        <w:t>202</w:t>
      </w:r>
      <w:r>
        <w:rPr>
          <w:rFonts w:hint="eastAsia" w:ascii="方正小标宋_GBK" w:hAnsi="方正小标宋_GBK" w:eastAsia="方正小标宋_GBK" w:cs="方正小标宋_GBK"/>
          <w:b w:val="0"/>
          <w:i w:val="0"/>
          <w:caps w:val="0"/>
          <w:color w:val="000000" w:themeColor="text1"/>
          <w:spacing w:val="0"/>
          <w:sz w:val="44"/>
          <w:szCs w:val="44"/>
          <w:shd w:val="clear" w:fill="FFFFFF"/>
          <w:lang w:val="en-US" w:eastAsia="zh-CN"/>
          <w14:textFill>
            <w14:solidFill>
              <w14:schemeClr w14:val="tx1"/>
            </w14:solidFill>
          </w14:textFill>
        </w:rPr>
        <w:t>4</w:t>
      </w:r>
      <w:r>
        <w:rPr>
          <w:rFonts w:hint="eastAsia" w:ascii="方正小标宋_GBK" w:hAnsi="方正小标宋_GBK" w:eastAsia="方正小标宋_GBK" w:cs="方正小标宋_GBK"/>
          <w:b w:val="0"/>
          <w:i w:val="0"/>
          <w:caps w:val="0"/>
          <w:color w:val="000000" w:themeColor="text1"/>
          <w:spacing w:val="0"/>
          <w:sz w:val="44"/>
          <w:szCs w:val="44"/>
          <w:shd w:val="clear" w:fill="FFFFFF"/>
          <w14:textFill>
            <w14:solidFill>
              <w14:schemeClr w14:val="tx1"/>
            </w14:solidFill>
          </w14:textFill>
        </w:rPr>
        <w:t>年政府信息公开工作年度报告</w:t>
      </w:r>
    </w:p>
    <w:p w14:paraId="43536B0F">
      <w:pPr>
        <w:keepNext w:val="0"/>
        <w:keepLines w:val="0"/>
        <w:pageBreakBefore w:val="0"/>
        <w:kinsoku/>
        <w:wordWrap/>
        <w:overflowPunct/>
        <w:topLinePunct w:val="0"/>
        <w:autoSpaceDE/>
        <w:autoSpaceDN/>
        <w:bidi w:val="0"/>
        <w:adjustRightInd/>
        <w:snapToGrid/>
        <w:spacing w:line="360" w:lineRule="auto"/>
        <w:jc w:val="center"/>
        <w:textAlignment w:val="auto"/>
        <w:rPr>
          <w:rFonts w:hint="eastAsia" w:ascii="仿宋" w:hAnsi="仿宋" w:eastAsia="仿宋" w:cs="仿宋"/>
          <w:b w:val="0"/>
          <w:i w:val="0"/>
          <w:caps w:val="0"/>
          <w:color w:val="212121"/>
          <w:spacing w:val="0"/>
          <w:sz w:val="32"/>
          <w:szCs w:val="32"/>
          <w:shd w:val="clear" w:fill="FFFFFF"/>
        </w:rPr>
      </w:pPr>
    </w:p>
    <w:p w14:paraId="4F019AC9">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bCs/>
          <w:color w:val="000000"/>
          <w:sz w:val="32"/>
          <w:szCs w:val="32"/>
          <w:lang w:val="en-US" w:eastAsia="zh-CN"/>
        </w:rPr>
      </w:pPr>
      <w:r>
        <w:rPr>
          <w:rFonts w:hint="eastAsia" w:ascii="仿宋_GB2312" w:hAnsi="仿宋_GB2312" w:eastAsia="仿宋_GB2312" w:cs="仿宋_GB2312"/>
          <w:bCs/>
          <w:color w:val="000000"/>
          <w:sz w:val="32"/>
          <w:szCs w:val="32"/>
          <w:lang w:val="en-US" w:eastAsia="zh-CN"/>
        </w:rPr>
        <w:t>本报告</w:t>
      </w:r>
      <w:bookmarkStart w:id="0" w:name="_GoBack"/>
      <w:bookmarkEnd w:id="0"/>
      <w:r>
        <w:rPr>
          <w:rFonts w:hint="eastAsia" w:ascii="仿宋_GB2312" w:hAnsi="仿宋_GB2312" w:eastAsia="仿宋_GB2312" w:cs="仿宋_GB2312"/>
          <w:bCs/>
          <w:color w:val="000000"/>
          <w:sz w:val="32"/>
          <w:szCs w:val="32"/>
          <w:lang w:val="en-US" w:eastAsia="zh-CN"/>
        </w:rPr>
        <w:t>依据《中华人民共和国政府信息公开条例》和</w:t>
      </w:r>
      <w:r>
        <w:rPr>
          <w:rFonts w:hint="eastAsia" w:ascii="仿宋_GB2312" w:hAnsi="仿宋_GB2312" w:eastAsia="仿宋_GB2312" w:cs="仿宋_GB2312"/>
          <w:bCs/>
          <w:color w:val="000000"/>
          <w:sz w:val="32"/>
          <w:szCs w:val="32"/>
        </w:rPr>
        <w:t>《</w:t>
      </w:r>
      <w:r>
        <w:rPr>
          <w:rFonts w:hint="eastAsia" w:ascii="仿宋_GB2312" w:hAnsi="仿宋_GB2312" w:eastAsia="仿宋_GB2312" w:cs="仿宋_GB2312"/>
          <w:bCs/>
          <w:color w:val="000000"/>
          <w:sz w:val="32"/>
          <w:szCs w:val="32"/>
          <w:lang w:eastAsia="zh-CN"/>
        </w:rPr>
        <w:t>关于印发</w:t>
      </w:r>
      <w:r>
        <w:rPr>
          <w:rFonts w:hint="eastAsia" w:ascii="仿宋_GB2312" w:hAnsi="仿宋_GB2312" w:eastAsia="仿宋_GB2312" w:cs="仿宋_GB2312"/>
          <w:bCs/>
          <w:color w:val="000000"/>
          <w:sz w:val="32"/>
          <w:szCs w:val="32"/>
          <w:lang w:val="en-US" w:eastAsia="zh-CN"/>
        </w:rPr>
        <w:t>&lt;中华人民共和国政府信息公开工作年度报告格式&gt;的通知</w:t>
      </w:r>
      <w:r>
        <w:rPr>
          <w:rFonts w:hint="eastAsia" w:ascii="仿宋_GB2312" w:hAnsi="仿宋_GB2312" w:eastAsia="仿宋_GB2312" w:cs="仿宋_GB2312"/>
          <w:bCs/>
          <w:color w:val="000000"/>
          <w:sz w:val="32"/>
          <w:szCs w:val="32"/>
        </w:rPr>
        <w:t>》（国办公开办函〔20</w:t>
      </w:r>
      <w:r>
        <w:rPr>
          <w:rFonts w:hint="eastAsia" w:ascii="仿宋_GB2312" w:hAnsi="仿宋_GB2312" w:eastAsia="仿宋_GB2312" w:cs="仿宋_GB2312"/>
          <w:bCs/>
          <w:color w:val="000000"/>
          <w:sz w:val="32"/>
          <w:szCs w:val="32"/>
          <w:lang w:val="en-US" w:eastAsia="zh-CN"/>
        </w:rPr>
        <w:t>21</w:t>
      </w:r>
      <w:r>
        <w:rPr>
          <w:rFonts w:hint="eastAsia" w:ascii="仿宋_GB2312" w:hAnsi="仿宋_GB2312" w:eastAsia="仿宋_GB2312" w:cs="仿宋_GB2312"/>
          <w:bCs/>
          <w:color w:val="000000"/>
          <w:sz w:val="32"/>
          <w:szCs w:val="32"/>
        </w:rPr>
        <w:t>〕</w:t>
      </w:r>
      <w:r>
        <w:rPr>
          <w:rFonts w:hint="eastAsia" w:ascii="仿宋_GB2312" w:hAnsi="仿宋_GB2312" w:eastAsia="仿宋_GB2312" w:cs="仿宋_GB2312"/>
          <w:bCs/>
          <w:color w:val="000000"/>
          <w:sz w:val="32"/>
          <w:szCs w:val="32"/>
          <w:lang w:val="en-US" w:eastAsia="zh-CN"/>
        </w:rPr>
        <w:t>30</w:t>
      </w:r>
      <w:r>
        <w:rPr>
          <w:rFonts w:hint="eastAsia" w:ascii="仿宋_GB2312" w:hAnsi="仿宋_GB2312" w:eastAsia="仿宋_GB2312" w:cs="仿宋_GB2312"/>
          <w:bCs/>
          <w:color w:val="000000"/>
          <w:sz w:val="32"/>
          <w:szCs w:val="32"/>
        </w:rPr>
        <w:t>号</w:t>
      </w:r>
      <w:r>
        <w:rPr>
          <w:rFonts w:hint="eastAsia" w:ascii="仿宋_GB2312" w:hAnsi="仿宋_GB2312" w:eastAsia="仿宋_GB2312" w:cs="仿宋_GB2312"/>
          <w:bCs/>
          <w:color w:val="000000"/>
          <w:sz w:val="32"/>
          <w:szCs w:val="32"/>
          <w:lang w:eastAsia="zh-CN"/>
        </w:rPr>
        <w:t>）</w:t>
      </w:r>
      <w:r>
        <w:rPr>
          <w:rFonts w:hint="eastAsia" w:ascii="仿宋_GB2312" w:hAnsi="仿宋_GB2312" w:eastAsia="仿宋_GB2312" w:cs="仿宋_GB2312"/>
          <w:bCs/>
          <w:color w:val="000000"/>
          <w:sz w:val="32"/>
          <w:szCs w:val="32"/>
          <w:lang w:val="en-US" w:eastAsia="zh-CN"/>
        </w:rPr>
        <w:t>要求，由石家庄市新华区人民政府综合全区政府信息公开工作情况编制而成。全文包括总体情况、主动公开政府信息情况、收到和处理政府信息公开申请情况、政府信息公开行政复议和行政诉讼情况、存在的主要问题及改进情况、其他需要报告的事项等。本报告中所列数据的统计期限自2024年1月1日至2024年12月31日。如对本报告有疑问，请与石家庄新华区人民政府办公室联系（地址：石家庄市新华区泰华街93号，电话：86952000，电子邮箱：xhqzwgk001@163.com）。</w:t>
      </w:r>
    </w:p>
    <w:p w14:paraId="2F81AE79">
      <w:pPr>
        <w:keepNext w:val="0"/>
        <w:keepLines w:val="0"/>
        <w:pageBreakBefore w:val="0"/>
        <w:widowControl w:val="0"/>
        <w:numPr>
          <w:ilvl w:val="0"/>
          <w:numId w:val="1"/>
        </w:numPr>
        <w:kinsoku/>
        <w:wordWrap/>
        <w:overflowPunct/>
        <w:topLinePunct w:val="0"/>
        <w:autoSpaceDE/>
        <w:autoSpaceDN/>
        <w:bidi w:val="0"/>
        <w:adjustRightInd/>
        <w:snapToGrid/>
        <w:spacing w:line="560" w:lineRule="exact"/>
        <w:ind w:left="0" w:firstLine="640" w:firstLineChars="20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总体情况</w:t>
      </w:r>
    </w:p>
    <w:p w14:paraId="6305FA99">
      <w:pPr>
        <w:pStyle w:val="7"/>
        <w:keepNext w:val="0"/>
        <w:keepLines w:val="0"/>
        <w:pageBreakBefore w:val="0"/>
        <w:widowControl w:val="0"/>
        <w:kinsoku/>
        <w:wordWrap/>
        <w:overflowPunct/>
        <w:topLinePunct w:val="0"/>
        <w:autoSpaceDE/>
        <w:autoSpaceDN/>
        <w:bidi w:val="0"/>
        <w:adjustRightInd/>
        <w:snapToGrid/>
        <w:spacing w:before="0" w:after="0" w:line="560" w:lineRule="exact"/>
        <w:ind w:left="0" w:firstLine="640" w:firstLineChars="200"/>
        <w:jc w:val="both"/>
        <w:textAlignment w:val="auto"/>
        <w:rPr>
          <w:rFonts w:hint="default" w:ascii="仿宋_GB2312" w:hAnsi="仿宋_GB2312" w:eastAsia="仿宋_GB2312" w:cs="仿宋_GB2312"/>
          <w:b w:val="0"/>
          <w:bCs/>
          <w:color w:val="000000"/>
          <w:kern w:val="2"/>
          <w:sz w:val="32"/>
          <w:szCs w:val="32"/>
          <w:lang w:val="en-US" w:eastAsia="zh-CN" w:bidi="ar-SA"/>
        </w:rPr>
      </w:pPr>
      <w:r>
        <w:rPr>
          <w:rFonts w:hint="eastAsia" w:ascii="仿宋_GB2312" w:hAnsi="仿宋_GB2312" w:eastAsia="仿宋_GB2312" w:cs="仿宋_GB2312"/>
          <w:b w:val="0"/>
          <w:bCs/>
          <w:color w:val="000000"/>
          <w:kern w:val="2"/>
          <w:sz w:val="32"/>
          <w:szCs w:val="32"/>
          <w:lang w:val="en-US" w:eastAsia="zh-CN" w:bidi="ar-SA"/>
        </w:rPr>
        <w:t>2024年，石家庄市新华区坚持以习近平新时代中国特色社会主义思想为指导，深入落实国家、省、市政务公开决策部署，扎实推进政府信息公开、政策宣传解读、回应互动交流等重点工作，更好发挥信息公开促落实、强监管、优服务功能作用，有力推动信息公开工作不断取得新进展新成效。</w:t>
      </w:r>
    </w:p>
    <w:p w14:paraId="1E3C7862">
      <w:pPr>
        <w:pStyle w:val="3"/>
        <w:keepNext w:val="0"/>
        <w:keepLines w:val="0"/>
        <w:pageBreakBefore w:val="0"/>
        <w:widowControl w:val="0"/>
        <w:numPr>
          <w:ilvl w:val="0"/>
          <w:numId w:val="0"/>
        </w:numPr>
        <w:kinsoku/>
        <w:overflowPunct/>
        <w:autoSpaceDE/>
        <w:autoSpaceDN/>
        <w:bidi w:val="0"/>
        <w:adjustRightInd/>
        <w:snapToGrid/>
        <w:spacing w:line="560" w:lineRule="exact"/>
        <w:ind w:leftChars="0"/>
        <w:textAlignment w:val="auto"/>
        <w:rPr>
          <w:rFonts w:hint="eastAsia" w:ascii="楷体" w:hAnsi="楷体" w:eastAsia="楷体" w:cs="楷体"/>
          <w:b w:val="0"/>
          <w:i w:val="0"/>
          <w:caps w:val="0"/>
          <w:color w:val="212121"/>
          <w:spacing w:val="0"/>
          <w:kern w:val="0"/>
          <w:sz w:val="32"/>
          <w:szCs w:val="32"/>
          <w:shd w:val="clear" w:fill="FFFFFF"/>
          <w:lang w:val="en-US" w:eastAsia="zh-CN" w:bidi="ar"/>
        </w:rPr>
      </w:pPr>
      <w:r>
        <w:rPr>
          <w:rFonts w:hint="eastAsia" w:ascii="楷体" w:hAnsi="楷体" w:eastAsia="楷体" w:cs="楷体"/>
          <w:b w:val="0"/>
          <w:i w:val="0"/>
          <w:caps w:val="0"/>
          <w:color w:val="212121"/>
          <w:spacing w:val="0"/>
          <w:kern w:val="0"/>
          <w:sz w:val="32"/>
          <w:szCs w:val="32"/>
          <w:shd w:val="clear" w:fill="FFFFFF"/>
          <w:lang w:val="en-US" w:eastAsia="zh-CN" w:bidi="ar"/>
        </w:rPr>
        <w:t xml:space="preserve">    （一）主动公开工作情况</w:t>
      </w:r>
    </w:p>
    <w:p w14:paraId="0D59B6F9">
      <w:pPr>
        <w:pStyle w:val="3"/>
        <w:keepNext w:val="0"/>
        <w:keepLines w:val="0"/>
        <w:pageBreakBefore w:val="0"/>
        <w:widowControl w:val="0"/>
        <w:numPr>
          <w:ilvl w:val="0"/>
          <w:numId w:val="0"/>
        </w:numPr>
        <w:kinsoku/>
        <w:overflowPunct/>
        <w:autoSpaceDE/>
        <w:autoSpaceDN/>
        <w:bidi w:val="0"/>
        <w:adjustRightInd/>
        <w:snapToGrid/>
        <w:spacing w:line="560" w:lineRule="exact"/>
        <w:ind w:left="0" w:firstLine="640"/>
        <w:textAlignment w:val="auto"/>
        <w:rPr>
          <w:rFonts w:hint="eastAsia" w:ascii="仿宋_GB2312" w:hAnsi="仿宋_GB2312" w:eastAsia="仿宋_GB2312" w:cs="仿宋_GB2312"/>
          <w:b w:val="0"/>
          <w:bCs/>
          <w:color w:val="000000"/>
          <w:kern w:val="2"/>
          <w:sz w:val="32"/>
          <w:szCs w:val="32"/>
          <w:lang w:val="en-US" w:eastAsia="zh-CN" w:bidi="ar-SA"/>
        </w:rPr>
      </w:pPr>
      <w:r>
        <w:rPr>
          <w:rFonts w:hint="eastAsia" w:ascii="仿宋_GB2312" w:hAnsi="仿宋_GB2312" w:eastAsia="仿宋_GB2312" w:cs="仿宋_GB2312"/>
          <w:b w:val="0"/>
          <w:bCs/>
          <w:color w:val="000000"/>
          <w:kern w:val="2"/>
          <w:sz w:val="32"/>
          <w:szCs w:val="32"/>
          <w:lang w:val="en-US" w:eastAsia="zh-CN" w:bidi="ar-SA"/>
        </w:rPr>
        <w:t>今年以来，新华区积极做好政府信息主动公开，着力抓好政策信息发布，不断增强政府工作的透明度，提高政府公信力。通过区政府门户网站主动公开</w:t>
      </w:r>
      <w:r>
        <w:rPr>
          <w:rFonts w:hint="eastAsia" w:ascii="仿宋_GB2312" w:hAnsi="仿宋_GB2312" w:eastAsia="仿宋_GB2312" w:cs="仿宋_GB2312"/>
          <w:b w:val="0"/>
          <w:bCs/>
          <w:color w:val="000000"/>
          <w:kern w:val="2"/>
          <w:sz w:val="32"/>
          <w:szCs w:val="32"/>
          <w:lang w:val="en-US" w:eastAsia="zh-CN" w:bidi="ar-SA"/>
        </w:rPr>
        <w:fldChar w:fldCharType="begin"/>
      </w:r>
      <w:r>
        <w:rPr>
          <w:rFonts w:hint="eastAsia" w:ascii="仿宋_GB2312" w:hAnsi="仿宋_GB2312" w:eastAsia="仿宋_GB2312" w:cs="仿宋_GB2312"/>
          <w:b w:val="0"/>
          <w:bCs/>
          <w:color w:val="000000"/>
          <w:kern w:val="2"/>
          <w:sz w:val="32"/>
          <w:szCs w:val="32"/>
          <w:lang w:val="en-US" w:eastAsia="zh-CN" w:bidi="ar-SA"/>
        </w:rPr>
        <w:instrText xml:space="preserve"> HYPERLINK "http://www.xhqsjz.gov.cn/col/1586230746985/2023/04/23/1682219350039.html" \t "/home/greatwall/文档\\x/_blank" </w:instrText>
      </w:r>
      <w:r>
        <w:rPr>
          <w:rFonts w:hint="eastAsia" w:ascii="仿宋_GB2312" w:hAnsi="仿宋_GB2312" w:eastAsia="仿宋_GB2312" w:cs="仿宋_GB2312"/>
          <w:b w:val="0"/>
          <w:bCs/>
          <w:color w:val="000000"/>
          <w:kern w:val="2"/>
          <w:sz w:val="32"/>
          <w:szCs w:val="32"/>
          <w:lang w:val="en-US" w:eastAsia="zh-CN" w:bidi="ar-SA"/>
        </w:rPr>
        <w:fldChar w:fldCharType="separate"/>
      </w:r>
      <w:r>
        <w:rPr>
          <w:rFonts w:hint="eastAsia" w:ascii="仿宋_GB2312" w:hAnsi="仿宋_GB2312" w:eastAsia="仿宋_GB2312" w:cs="仿宋_GB2312"/>
          <w:b w:val="0"/>
          <w:bCs/>
          <w:color w:val="000000"/>
          <w:kern w:val="2"/>
          <w:sz w:val="32"/>
          <w:szCs w:val="32"/>
          <w:lang w:val="en-US" w:eastAsia="zh-CN" w:bidi="ar-SA"/>
        </w:rPr>
        <w:t>《石家庄市新华区人民政府关于印发石家庄市新华区“小餐桌”安全管理暂行办法的通知》</w:t>
      </w:r>
      <w:r>
        <w:rPr>
          <w:rFonts w:hint="eastAsia" w:ascii="仿宋_GB2312" w:hAnsi="仿宋_GB2312" w:eastAsia="仿宋_GB2312" w:cs="仿宋_GB2312"/>
          <w:b w:val="0"/>
          <w:bCs/>
          <w:color w:val="000000"/>
          <w:kern w:val="2"/>
          <w:sz w:val="32"/>
          <w:szCs w:val="32"/>
          <w:lang w:val="en-US" w:eastAsia="zh-CN" w:bidi="ar-SA"/>
        </w:rPr>
        <w:fldChar w:fldCharType="end"/>
      </w:r>
      <w:r>
        <w:rPr>
          <w:rFonts w:hint="eastAsia" w:ascii="仿宋_GB2312" w:hAnsi="仿宋_GB2312" w:eastAsia="仿宋_GB2312" w:cs="仿宋_GB2312"/>
          <w:b w:val="0"/>
          <w:bCs/>
          <w:color w:val="000000"/>
          <w:kern w:val="2"/>
          <w:sz w:val="32"/>
          <w:szCs w:val="32"/>
          <w:lang w:val="en-US" w:eastAsia="zh-CN" w:bidi="ar-SA"/>
        </w:rPr>
        <w:fldChar w:fldCharType="begin"/>
      </w:r>
      <w:r>
        <w:rPr>
          <w:rFonts w:hint="eastAsia" w:ascii="仿宋_GB2312" w:hAnsi="仿宋_GB2312" w:eastAsia="仿宋_GB2312" w:cs="仿宋_GB2312"/>
          <w:b w:val="0"/>
          <w:bCs/>
          <w:color w:val="000000"/>
          <w:kern w:val="2"/>
          <w:sz w:val="32"/>
          <w:szCs w:val="32"/>
          <w:lang w:val="en-US" w:eastAsia="zh-CN" w:bidi="ar-SA"/>
        </w:rPr>
        <w:instrText xml:space="preserve"> HYPERLINK "http://www.xhqsjz.gov.cn/col/1586230757704/2023/08/21/1692585987278.html" \t "/home/greatwall/文档\\x/_blank" </w:instrText>
      </w:r>
      <w:r>
        <w:rPr>
          <w:rFonts w:hint="eastAsia" w:ascii="仿宋_GB2312" w:hAnsi="仿宋_GB2312" w:eastAsia="仿宋_GB2312" w:cs="仿宋_GB2312"/>
          <w:b w:val="0"/>
          <w:bCs/>
          <w:color w:val="000000"/>
          <w:kern w:val="2"/>
          <w:sz w:val="32"/>
          <w:szCs w:val="32"/>
          <w:lang w:val="en-US" w:eastAsia="zh-CN" w:bidi="ar-SA"/>
        </w:rPr>
        <w:fldChar w:fldCharType="separate"/>
      </w:r>
      <w:r>
        <w:rPr>
          <w:rFonts w:hint="eastAsia" w:ascii="仿宋_GB2312" w:hAnsi="仿宋_GB2312" w:eastAsia="仿宋_GB2312" w:cs="仿宋_GB2312"/>
          <w:b w:val="0"/>
          <w:bCs/>
          <w:color w:val="000000"/>
          <w:kern w:val="2"/>
          <w:sz w:val="32"/>
          <w:szCs w:val="32"/>
          <w:lang w:val="en-US" w:eastAsia="zh-CN" w:bidi="ar-SA"/>
        </w:rPr>
        <w:t>《石家庄市新华区计划生育特殊家庭关怀扶助办法》</w:t>
      </w:r>
      <w:r>
        <w:rPr>
          <w:rFonts w:hint="eastAsia" w:ascii="仿宋_GB2312" w:hAnsi="仿宋_GB2312" w:eastAsia="仿宋_GB2312" w:cs="仿宋_GB2312"/>
          <w:b w:val="0"/>
          <w:bCs/>
          <w:color w:val="000000"/>
          <w:kern w:val="2"/>
          <w:sz w:val="32"/>
          <w:szCs w:val="32"/>
          <w:lang w:val="en-US" w:eastAsia="zh-CN" w:bidi="ar-SA"/>
        </w:rPr>
        <w:fldChar w:fldCharType="end"/>
      </w:r>
      <w:r>
        <w:rPr>
          <w:rFonts w:hint="eastAsia" w:ascii="仿宋_GB2312" w:hAnsi="仿宋_GB2312" w:eastAsia="仿宋_GB2312" w:cs="仿宋_GB2312"/>
          <w:b w:val="0"/>
          <w:bCs/>
          <w:color w:val="000000"/>
          <w:kern w:val="2"/>
          <w:sz w:val="32"/>
          <w:szCs w:val="32"/>
          <w:lang w:val="en-US" w:eastAsia="zh-CN" w:bidi="ar-SA"/>
        </w:rPr>
        <w:t>等政策文件，并实现行政规范性文件解读率100%。全年通过政府门户网站、政务新媒体导等主动公开各类政府信息5.1万条，实现政府决策、执行、管理、服务、结果“五公开”的有机融合。</w:t>
      </w:r>
    </w:p>
    <w:p w14:paraId="3C42C012">
      <w:pPr>
        <w:keepNext w:val="0"/>
        <w:keepLines w:val="0"/>
        <w:pageBreakBefore w:val="0"/>
        <w:widowControl w:val="0"/>
        <w:kinsoku/>
        <w:wordWrap w:val="0"/>
        <w:overflowPunct/>
        <w:topLinePunct/>
        <w:autoSpaceDE/>
        <w:autoSpaceDN/>
        <w:bidi w:val="0"/>
        <w:adjustRightInd/>
        <w:snapToGrid/>
        <w:spacing w:line="560" w:lineRule="exact"/>
        <w:ind w:left="0" w:firstLineChars="200"/>
        <w:jc w:val="both"/>
        <w:textAlignment w:val="auto"/>
        <w:rPr>
          <w:rFonts w:hint="eastAsia" w:ascii="楷体_GB2312" w:hAnsi="楷体_GB2312" w:eastAsia="楷体_GB2312" w:cs="楷体_GB2312"/>
          <w:color w:val="000000" w:themeColor="text1"/>
          <w:sz w:val="32"/>
          <w:szCs w:val="32"/>
          <w:u w:val="none"/>
          <w:lang w:eastAsia="zh-CN"/>
          <w14:textFill>
            <w14:solidFill>
              <w14:schemeClr w14:val="tx1"/>
            </w14:solidFill>
          </w14:textFill>
        </w:rPr>
      </w:pPr>
      <w:r>
        <w:rPr>
          <w:rFonts w:hint="eastAsia" w:ascii="楷体_GB2312" w:hAnsi="楷体_GB2312" w:eastAsia="楷体_GB2312" w:cs="楷体_GB2312"/>
          <w:color w:val="000000" w:themeColor="text1"/>
          <w:sz w:val="32"/>
          <w:szCs w:val="32"/>
          <w:u w:val="none"/>
          <w:lang w:eastAsia="zh-CN"/>
          <w14:textFill>
            <w14:solidFill>
              <w14:schemeClr w14:val="tx1"/>
            </w14:solidFill>
          </w14:textFill>
        </w:rPr>
        <w:t>（二）</w:t>
      </w:r>
      <w:r>
        <w:rPr>
          <w:rFonts w:hint="eastAsia" w:ascii="楷体_GB2312" w:hAnsi="楷体_GB2312" w:eastAsia="楷体_GB2312" w:cs="楷体_GB2312"/>
          <w:color w:val="000000" w:themeColor="text1"/>
          <w:sz w:val="32"/>
          <w:szCs w:val="32"/>
          <w:u w:val="none"/>
          <w14:textFill>
            <w14:solidFill>
              <w14:schemeClr w14:val="tx1"/>
            </w14:solidFill>
          </w14:textFill>
        </w:rPr>
        <w:t>依申请公开</w:t>
      </w:r>
      <w:r>
        <w:rPr>
          <w:rFonts w:hint="eastAsia" w:ascii="楷体_GB2312" w:hAnsi="楷体_GB2312" w:eastAsia="楷体_GB2312" w:cs="楷体_GB2312"/>
          <w:color w:val="000000" w:themeColor="text1"/>
          <w:sz w:val="32"/>
          <w:szCs w:val="32"/>
          <w:u w:val="none"/>
          <w:lang w:eastAsia="zh-CN"/>
          <w14:textFill>
            <w14:solidFill>
              <w14:schemeClr w14:val="tx1"/>
            </w14:solidFill>
          </w14:textFill>
        </w:rPr>
        <w:t>情况</w:t>
      </w:r>
    </w:p>
    <w:p w14:paraId="105A206D">
      <w:pPr>
        <w:pStyle w:val="3"/>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firstLine="640" w:firstLineChars="200"/>
        <w:textAlignment w:val="auto"/>
        <w:rPr>
          <w:rFonts w:hint="eastAsia" w:ascii="仿宋_GB2312" w:hAnsi="仿宋_GB2312" w:eastAsia="仿宋_GB2312" w:cs="仿宋_GB2312"/>
          <w:b w:val="0"/>
          <w:bCs/>
          <w:color w:val="000000"/>
          <w:kern w:val="2"/>
          <w:sz w:val="32"/>
          <w:szCs w:val="32"/>
          <w:lang w:val="en-US" w:eastAsia="zh-CN" w:bidi="ar-SA"/>
        </w:rPr>
      </w:pPr>
      <w:r>
        <w:rPr>
          <w:rFonts w:hint="eastAsia" w:ascii="仿宋_GB2312" w:hAnsi="仿宋_GB2312" w:eastAsia="仿宋_GB2312" w:cs="仿宋_GB2312"/>
          <w:b w:val="0"/>
          <w:bCs/>
          <w:color w:val="000000"/>
          <w:kern w:val="2"/>
          <w:sz w:val="32"/>
          <w:szCs w:val="32"/>
          <w:lang w:val="en-US" w:eastAsia="zh-CN" w:bidi="ar-SA"/>
        </w:rPr>
        <w:t>严格执行《中华人民共和国</w:t>
      </w:r>
      <w:r>
        <w:rPr>
          <w:rFonts w:hint="eastAsia" w:ascii="仿宋_GB2312" w:hAnsi="仿宋_GB2312" w:eastAsia="仿宋_GB2312" w:cs="仿宋_GB2312"/>
          <w:bCs/>
          <w:color w:val="000000"/>
          <w:sz w:val="32"/>
          <w:szCs w:val="32"/>
          <w:lang w:val="en-US" w:eastAsia="zh-CN"/>
        </w:rPr>
        <w:t>政府信息公开条例</w:t>
      </w:r>
      <w:r>
        <w:rPr>
          <w:rFonts w:hint="eastAsia" w:ascii="仿宋_GB2312" w:hAnsi="仿宋_GB2312" w:eastAsia="仿宋_GB2312" w:cs="仿宋_GB2312"/>
          <w:b w:val="0"/>
          <w:bCs/>
          <w:color w:val="000000"/>
          <w:kern w:val="2"/>
          <w:sz w:val="32"/>
          <w:szCs w:val="32"/>
          <w:lang w:val="en-US" w:eastAsia="zh-CN" w:bidi="ar-SA"/>
        </w:rPr>
        <w:t>》，强化服务理念，坚持依法办理、规范答复，优化沟通协商机制，持续提升工作质量水平。2024年，全区各行政机关依法依规办理公民、法人和其他组织提交的政府信息公开申请112件（上年度结转0件，结转下年度2件），信息公开类行政复议7起，诉讼4起，其中尚未审结3起，结果维持8起。</w:t>
      </w:r>
    </w:p>
    <w:p w14:paraId="04DA92F5">
      <w:pPr>
        <w:keepNext w:val="0"/>
        <w:keepLines w:val="0"/>
        <w:pageBreakBefore w:val="0"/>
        <w:widowControl w:val="0"/>
        <w:numPr>
          <w:ilvl w:val="0"/>
          <w:numId w:val="0"/>
        </w:numPr>
        <w:pBdr>
          <w:bottom w:val="single" w:color="FFFFFF" w:sz="8" w:space="19"/>
        </w:pBdr>
        <w:shd w:val="clear"/>
        <w:kinsoku/>
        <w:wordWrap/>
        <w:overflowPunct/>
        <w:topLinePunct w:val="0"/>
        <w:autoSpaceDE/>
        <w:autoSpaceDN/>
        <w:bidi w:val="0"/>
        <w:adjustRightInd/>
        <w:snapToGrid/>
        <w:spacing w:line="560" w:lineRule="exact"/>
        <w:ind w:left="0"/>
        <w:jc w:val="both"/>
        <w:textAlignment w:val="auto"/>
        <w:outlineLvl w:val="9"/>
        <w:rPr>
          <w:rFonts w:hint="eastAsia" w:ascii="仿宋_GB2312" w:hAnsi="仿宋_GB2312" w:eastAsia="仿宋_GB2312" w:cs="仿宋_GB2312"/>
          <w:i w:val="0"/>
          <w:caps w:val="0"/>
          <w:color w:val="000000"/>
          <w:spacing w:val="0"/>
          <w:kern w:val="0"/>
          <w:sz w:val="32"/>
          <w:szCs w:val="32"/>
          <w:shd w:val="clear" w:color="080000" w:fill="FFFFFF"/>
          <w:lang w:val="en-US" w:eastAsia="zh-CN" w:bidi="ar-SA"/>
        </w:rPr>
      </w:pPr>
      <w:r>
        <w:rPr>
          <w:rFonts w:hint="eastAsia" w:ascii="楷体" w:hAnsi="楷体" w:eastAsia="楷体" w:cs="楷体"/>
          <w:b w:val="0"/>
          <w:i w:val="0"/>
          <w:caps w:val="0"/>
          <w:color w:val="212121"/>
          <w:spacing w:val="0"/>
          <w:kern w:val="0"/>
          <w:sz w:val="32"/>
          <w:szCs w:val="32"/>
          <w:shd w:val="clear" w:fill="FFFFFF"/>
          <w:lang w:val="en-US" w:eastAsia="zh-CN" w:bidi="ar"/>
        </w:rPr>
        <w:t xml:space="preserve">    （三）政府信息管理情况</w:t>
      </w:r>
    </w:p>
    <w:p w14:paraId="51A342E8">
      <w:pPr>
        <w:keepNext w:val="0"/>
        <w:keepLines w:val="0"/>
        <w:pageBreakBefore w:val="0"/>
        <w:widowControl w:val="0"/>
        <w:numPr>
          <w:ilvl w:val="0"/>
          <w:numId w:val="0"/>
        </w:numPr>
        <w:pBdr>
          <w:bottom w:val="single" w:color="FFFFFF" w:sz="8" w:space="19"/>
        </w:pBdr>
        <w:shd w:val="clear"/>
        <w:kinsoku/>
        <w:wordWrap/>
        <w:overflowPunct/>
        <w:topLinePunct w:val="0"/>
        <w:autoSpaceDE/>
        <w:autoSpaceDN/>
        <w:bidi w:val="0"/>
        <w:adjustRightInd/>
        <w:snapToGrid/>
        <w:spacing w:line="560" w:lineRule="exact"/>
        <w:ind w:left="0" w:firstLine="640"/>
        <w:jc w:val="both"/>
        <w:textAlignment w:val="auto"/>
        <w:outlineLvl w:val="9"/>
        <w:rPr>
          <w:rFonts w:hint="eastAsia"/>
          <w:lang w:val="en-US" w:eastAsia="zh-CN"/>
        </w:rPr>
      </w:pPr>
      <w:r>
        <w:rPr>
          <w:rFonts w:hint="eastAsia" w:ascii="仿宋_GB2312" w:hAnsi="仿宋_GB2312" w:eastAsia="仿宋_GB2312" w:cs="仿宋_GB2312"/>
          <w:b w:val="0"/>
          <w:bCs/>
          <w:color w:val="000000"/>
          <w:kern w:val="2"/>
          <w:sz w:val="32"/>
          <w:szCs w:val="32"/>
          <w:lang w:val="en-US" w:eastAsia="zh-CN" w:bidi="ar-SA"/>
        </w:rPr>
        <w:t>持续深化重点领域政府信息主动公开，动态完善行政规章、行政规范性文件建设，提高政策公开实效。推动完善公文公开属性认定流程，严格落实公文公开属性源头认定和公开前发布审查工作机制，扎实做好信息安全风险监测工作。持续推进主动公开目录的优化调整，强化对辖区政府部门及各街道办事处政府信息公开工作年度报告编制发布工作的指导。</w:t>
      </w:r>
    </w:p>
    <w:p w14:paraId="5237A2AE">
      <w:pPr>
        <w:keepNext w:val="0"/>
        <w:keepLines w:val="0"/>
        <w:pageBreakBefore w:val="0"/>
        <w:widowControl w:val="0"/>
        <w:numPr>
          <w:ilvl w:val="0"/>
          <w:numId w:val="0"/>
        </w:numPr>
        <w:pBdr>
          <w:bottom w:val="single" w:color="FFFFFF" w:sz="8" w:space="19"/>
        </w:pBdr>
        <w:shd w:val="clear"/>
        <w:kinsoku/>
        <w:wordWrap/>
        <w:overflowPunct/>
        <w:topLinePunct w:val="0"/>
        <w:autoSpaceDE/>
        <w:autoSpaceDN/>
        <w:bidi w:val="0"/>
        <w:adjustRightInd/>
        <w:snapToGrid/>
        <w:spacing w:line="560" w:lineRule="exact"/>
        <w:ind w:left="0"/>
        <w:jc w:val="both"/>
        <w:textAlignment w:val="auto"/>
        <w:outlineLvl w:val="9"/>
        <w:rPr>
          <w:rFonts w:hint="eastAsia" w:ascii="楷体" w:hAnsi="楷体" w:eastAsia="楷体" w:cs="楷体"/>
          <w:b w:val="0"/>
          <w:i w:val="0"/>
          <w:caps w:val="0"/>
          <w:color w:val="212121"/>
          <w:spacing w:val="0"/>
          <w:kern w:val="0"/>
          <w:sz w:val="32"/>
          <w:szCs w:val="32"/>
          <w:shd w:val="clear" w:fill="FFFFFF"/>
          <w:lang w:val="en-US" w:eastAsia="zh-CN" w:bidi="ar"/>
        </w:rPr>
      </w:pPr>
      <w:r>
        <w:rPr>
          <w:rFonts w:hint="eastAsia" w:ascii="楷体" w:hAnsi="楷体" w:eastAsia="楷体" w:cs="楷体"/>
          <w:b w:val="0"/>
          <w:i w:val="0"/>
          <w:caps w:val="0"/>
          <w:color w:val="212121"/>
          <w:spacing w:val="0"/>
          <w:kern w:val="0"/>
          <w:sz w:val="32"/>
          <w:szCs w:val="32"/>
          <w:shd w:val="clear" w:fill="FFFFFF"/>
          <w:lang w:val="en-US" w:eastAsia="zh-CN" w:bidi="ar"/>
        </w:rPr>
        <w:t xml:space="preserve">    （四）政府信息公开平台建设情况</w:t>
      </w:r>
    </w:p>
    <w:p w14:paraId="2B5D1D85">
      <w:pPr>
        <w:keepNext w:val="0"/>
        <w:keepLines w:val="0"/>
        <w:pageBreakBefore w:val="0"/>
        <w:widowControl w:val="0"/>
        <w:numPr>
          <w:ilvl w:val="0"/>
          <w:numId w:val="0"/>
        </w:numPr>
        <w:pBdr>
          <w:bottom w:val="single" w:color="FFFFFF" w:sz="8" w:space="19"/>
        </w:pBdr>
        <w:shd w:val="clear"/>
        <w:kinsoku/>
        <w:wordWrap/>
        <w:overflowPunct/>
        <w:topLinePunct w:val="0"/>
        <w:autoSpaceDE/>
        <w:autoSpaceDN/>
        <w:bidi w:val="0"/>
        <w:adjustRightInd/>
        <w:snapToGrid/>
        <w:spacing w:line="560" w:lineRule="exact"/>
        <w:ind w:left="0" w:firstLine="640"/>
        <w:jc w:val="both"/>
        <w:textAlignment w:val="auto"/>
        <w:outlineLvl w:val="9"/>
        <w:rPr>
          <w:rFonts w:hint="eastAsia"/>
          <w:lang w:val="en-US" w:eastAsia="zh-CN"/>
        </w:rPr>
      </w:pPr>
      <w:r>
        <w:rPr>
          <w:rFonts w:hint="eastAsia" w:ascii="仿宋_GB2312" w:hAnsi="仿宋_GB2312" w:eastAsia="仿宋_GB2312" w:cs="仿宋_GB2312"/>
          <w:b w:val="0"/>
          <w:bCs/>
          <w:color w:val="000000"/>
          <w:kern w:val="2"/>
          <w:sz w:val="32"/>
          <w:szCs w:val="32"/>
          <w:lang w:val="en-US" w:eastAsia="zh-CN" w:bidi="ar-SA"/>
        </w:rPr>
        <w:t>积极推进政府信息公开平台高效安全化建设，优化栏目设置，强化内容保障。进一步规范政府信息公开指南，方便群众查找方便。持续抓好全区政务新媒体备案管理和日常运行管理工作，充分发挥政务新媒体监测平台作用，全年累计发布动态信息3万余条，持续做优做强我区政务新媒体。</w:t>
      </w:r>
    </w:p>
    <w:p w14:paraId="27CFB740">
      <w:pPr>
        <w:keepNext w:val="0"/>
        <w:keepLines w:val="0"/>
        <w:pageBreakBefore w:val="0"/>
        <w:widowControl w:val="0"/>
        <w:numPr>
          <w:ilvl w:val="0"/>
          <w:numId w:val="0"/>
        </w:numPr>
        <w:pBdr>
          <w:bottom w:val="single" w:color="FFFFFF" w:sz="8" w:space="19"/>
        </w:pBdr>
        <w:shd w:val="clear"/>
        <w:kinsoku/>
        <w:wordWrap/>
        <w:overflowPunct/>
        <w:topLinePunct w:val="0"/>
        <w:autoSpaceDE/>
        <w:autoSpaceDN/>
        <w:bidi w:val="0"/>
        <w:adjustRightInd/>
        <w:snapToGrid/>
        <w:spacing w:line="560" w:lineRule="exact"/>
        <w:ind w:left="0"/>
        <w:jc w:val="both"/>
        <w:textAlignment w:val="auto"/>
        <w:outlineLvl w:val="9"/>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楷体" w:hAnsi="楷体" w:eastAsia="楷体" w:cs="楷体"/>
          <w:b w:val="0"/>
          <w:i w:val="0"/>
          <w:caps w:val="0"/>
          <w:color w:val="212121"/>
          <w:spacing w:val="0"/>
          <w:kern w:val="0"/>
          <w:sz w:val="32"/>
          <w:szCs w:val="32"/>
          <w:shd w:val="clear" w:fill="FFFFFF"/>
          <w:lang w:val="en-US" w:eastAsia="zh-CN" w:bidi="ar"/>
        </w:rPr>
        <w:t xml:space="preserve">    （五）强化监督保障情况</w:t>
      </w:r>
    </w:p>
    <w:p w14:paraId="1C976E01">
      <w:pPr>
        <w:keepNext w:val="0"/>
        <w:keepLines w:val="0"/>
        <w:pageBreakBefore w:val="0"/>
        <w:widowControl w:val="0"/>
        <w:numPr>
          <w:ilvl w:val="0"/>
          <w:numId w:val="0"/>
        </w:numPr>
        <w:pBdr>
          <w:bottom w:val="single" w:color="FFFFFF" w:sz="8" w:space="19"/>
        </w:pBdr>
        <w:shd w:val="clear"/>
        <w:kinsoku/>
        <w:wordWrap/>
        <w:overflowPunct/>
        <w:topLinePunct w:val="0"/>
        <w:autoSpaceDE/>
        <w:autoSpaceDN/>
        <w:bidi w:val="0"/>
        <w:adjustRightInd/>
        <w:snapToGrid/>
        <w:spacing w:line="560" w:lineRule="exact"/>
        <w:ind w:left="0" w:firstLine="640" w:firstLineChars="200"/>
        <w:jc w:val="both"/>
        <w:textAlignment w:val="auto"/>
        <w:outlineLvl w:val="9"/>
        <w:rPr>
          <w:rFonts w:hint="eastAsia" w:ascii="仿宋_GB2312" w:hAnsi="仿宋_GB2312" w:eastAsia="仿宋_GB2312" w:cs="仿宋_GB2312"/>
          <w:b w:val="0"/>
          <w:bCs/>
          <w:color w:val="000000"/>
          <w:kern w:val="2"/>
          <w:sz w:val="32"/>
          <w:szCs w:val="32"/>
          <w:lang w:val="en-US" w:eastAsia="zh-CN" w:bidi="ar-SA"/>
        </w:rPr>
      </w:pPr>
      <w:r>
        <w:rPr>
          <w:rFonts w:hint="eastAsia" w:ascii="仿宋_GB2312" w:hAnsi="仿宋_GB2312" w:eastAsia="仿宋_GB2312" w:cs="仿宋_GB2312"/>
          <w:b w:val="0"/>
          <w:bCs/>
          <w:color w:val="000000"/>
          <w:kern w:val="2"/>
          <w:sz w:val="32"/>
          <w:szCs w:val="32"/>
          <w:lang w:val="en-US" w:eastAsia="zh-CN" w:bidi="ar-SA"/>
        </w:rPr>
        <w:t>通过网上巡查、调研检查、一线督导等方式，指导督促各部门各街道办事处推动政务公开工作落实，有效提高全政务公开队伍业务水平。通过政务新媒体积极转发上级政策信息，开展联动传播，全力做好政务新媒体服务保障。</w:t>
      </w:r>
    </w:p>
    <w:p w14:paraId="31E85A66">
      <w:pPr>
        <w:keepNext w:val="0"/>
        <w:keepLines w:val="0"/>
        <w:pageBreakBefore w:val="0"/>
        <w:widowControl w:val="0"/>
        <w:numPr>
          <w:ilvl w:val="0"/>
          <w:numId w:val="0"/>
        </w:numPr>
        <w:pBdr>
          <w:bottom w:val="single" w:color="FFFFFF" w:sz="8" w:space="19"/>
        </w:pBdr>
        <w:shd w:val="clear"/>
        <w:kinsoku/>
        <w:wordWrap/>
        <w:overflowPunct/>
        <w:topLinePunct w:val="0"/>
        <w:autoSpaceDE/>
        <w:autoSpaceDN/>
        <w:bidi w:val="0"/>
        <w:adjustRightInd/>
        <w:snapToGrid/>
        <w:spacing w:line="560" w:lineRule="exact"/>
        <w:ind w:left="0"/>
        <w:jc w:val="both"/>
        <w:textAlignment w:val="auto"/>
        <w:outlineLvl w:val="9"/>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仿宋_GB2312" w:hAnsi="仿宋_GB2312" w:eastAsia="仿宋_GB2312" w:cs="仿宋_GB2312"/>
          <w:b w:val="0"/>
          <w:i w:val="0"/>
          <w:caps w:val="0"/>
          <w:color w:val="212121"/>
          <w:spacing w:val="0"/>
          <w:kern w:val="0"/>
          <w:sz w:val="32"/>
          <w:szCs w:val="32"/>
          <w:shd w:val="clear" w:fill="FFFFFF"/>
          <w:lang w:val="en-US" w:eastAsia="zh-CN" w:bidi="ar"/>
        </w:rPr>
        <w:t xml:space="preserve">    </w:t>
      </w:r>
      <w:r>
        <w:rPr>
          <w:rFonts w:hint="eastAsia" w:ascii="黑体" w:hAnsi="黑体" w:eastAsia="黑体" w:cs="黑体"/>
          <w:b w:val="0"/>
          <w:i w:val="0"/>
          <w:caps w:val="0"/>
          <w:color w:val="212121"/>
          <w:spacing w:val="0"/>
          <w:kern w:val="0"/>
          <w:sz w:val="32"/>
          <w:szCs w:val="32"/>
          <w:shd w:val="clear" w:fill="FFFFFF"/>
          <w:lang w:val="en-US" w:eastAsia="zh-CN" w:bidi="ar"/>
        </w:rPr>
        <w:t>二、主动公开政府信息情况</w:t>
      </w:r>
    </w:p>
    <w:tbl>
      <w:tblPr>
        <w:tblStyle w:val="8"/>
        <w:tblW w:w="845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2130"/>
        <w:gridCol w:w="885"/>
        <w:gridCol w:w="165"/>
        <w:gridCol w:w="1740"/>
        <w:gridCol w:w="1485"/>
        <w:gridCol w:w="2053"/>
      </w:tblGrid>
      <w:tr w14:paraId="486A25F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8458" w:type="dxa"/>
            <w:gridSpan w:val="6"/>
            <w:tcBorders>
              <w:top w:val="single" w:color="auto" w:sz="6" w:space="0"/>
              <w:left w:val="single" w:color="auto" w:sz="6" w:space="0"/>
              <w:bottom w:val="single" w:color="auto" w:sz="6" w:space="0"/>
              <w:right w:val="single" w:color="auto" w:sz="6" w:space="0"/>
            </w:tcBorders>
            <w:shd w:val="clear" w:color="auto" w:fill="auto"/>
            <w:vAlign w:val="center"/>
          </w:tcPr>
          <w:p w14:paraId="484DF42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第二十条第（一）项</w:t>
            </w:r>
          </w:p>
        </w:tc>
      </w:tr>
      <w:tr w14:paraId="5A03816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14:paraId="1669246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1905" w:type="dxa"/>
            <w:gridSpan w:val="2"/>
            <w:tcBorders>
              <w:top w:val="single" w:color="auto" w:sz="6" w:space="0"/>
              <w:left w:val="nil"/>
              <w:bottom w:val="single" w:color="auto" w:sz="6" w:space="0"/>
              <w:right w:val="single" w:color="auto" w:sz="6" w:space="0"/>
            </w:tcBorders>
            <w:shd w:val="clear" w:color="auto" w:fill="auto"/>
            <w:vAlign w:val="center"/>
          </w:tcPr>
          <w:p w14:paraId="1309ADB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本年制发件数</w:t>
            </w:r>
          </w:p>
        </w:tc>
        <w:tc>
          <w:tcPr>
            <w:tcW w:w="1485" w:type="dxa"/>
            <w:tcBorders>
              <w:top w:val="single" w:color="auto" w:sz="6" w:space="0"/>
              <w:left w:val="nil"/>
              <w:bottom w:val="single" w:color="auto" w:sz="6" w:space="0"/>
              <w:right w:val="single" w:color="auto" w:sz="6" w:space="0"/>
            </w:tcBorders>
            <w:shd w:val="clear" w:color="auto" w:fill="auto"/>
            <w:vAlign w:val="center"/>
          </w:tcPr>
          <w:p w14:paraId="20C6383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本年废止件数</w:t>
            </w:r>
          </w:p>
        </w:tc>
        <w:tc>
          <w:tcPr>
            <w:tcW w:w="2053" w:type="dxa"/>
            <w:tcBorders>
              <w:top w:val="single" w:color="auto" w:sz="6" w:space="0"/>
              <w:left w:val="nil"/>
              <w:bottom w:val="single" w:color="auto" w:sz="6" w:space="0"/>
              <w:right w:val="single" w:color="auto" w:sz="6" w:space="0"/>
            </w:tcBorders>
            <w:shd w:val="clear" w:color="auto" w:fill="auto"/>
            <w:vAlign w:val="center"/>
          </w:tcPr>
          <w:p w14:paraId="2A5A762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现行有效件数</w:t>
            </w:r>
          </w:p>
        </w:tc>
      </w:tr>
      <w:tr w14:paraId="2C330E6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14:paraId="1600DD0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规章</w:t>
            </w:r>
          </w:p>
        </w:tc>
        <w:tc>
          <w:tcPr>
            <w:tcW w:w="1905" w:type="dxa"/>
            <w:gridSpan w:val="2"/>
            <w:tcBorders>
              <w:top w:val="nil"/>
              <w:left w:val="nil"/>
              <w:bottom w:val="single" w:color="auto" w:sz="6" w:space="0"/>
              <w:right w:val="single" w:color="auto" w:sz="6" w:space="0"/>
            </w:tcBorders>
            <w:shd w:val="clear" w:color="auto" w:fill="auto"/>
            <w:vAlign w:val="center"/>
          </w:tcPr>
          <w:p w14:paraId="3A25BF3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1485" w:type="dxa"/>
            <w:tcBorders>
              <w:top w:val="nil"/>
              <w:left w:val="nil"/>
              <w:bottom w:val="single" w:color="auto" w:sz="6" w:space="0"/>
              <w:right w:val="single" w:color="auto" w:sz="6" w:space="0"/>
            </w:tcBorders>
            <w:shd w:val="clear" w:color="auto" w:fill="auto"/>
            <w:vAlign w:val="center"/>
          </w:tcPr>
          <w:p w14:paraId="239A480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shd w:val="clear" w:color="auto" w:fill="auto"/>
            <w:vAlign w:val="center"/>
          </w:tcPr>
          <w:p w14:paraId="2C5F5F4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BA4315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015" w:type="dxa"/>
            <w:gridSpan w:val="2"/>
            <w:tcBorders>
              <w:top w:val="nil"/>
              <w:left w:val="single" w:color="auto" w:sz="6" w:space="0"/>
              <w:bottom w:val="single" w:color="auto" w:sz="6" w:space="0"/>
              <w:right w:val="single" w:color="auto" w:sz="6" w:space="0"/>
            </w:tcBorders>
            <w:shd w:val="clear" w:color="auto" w:fill="auto"/>
            <w:vAlign w:val="center"/>
          </w:tcPr>
          <w:p w14:paraId="38644C8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规范性文件</w:t>
            </w:r>
          </w:p>
        </w:tc>
        <w:tc>
          <w:tcPr>
            <w:tcW w:w="1905" w:type="dxa"/>
            <w:gridSpan w:val="2"/>
            <w:tcBorders>
              <w:top w:val="nil"/>
              <w:left w:val="nil"/>
              <w:bottom w:val="single" w:color="auto" w:sz="6" w:space="0"/>
              <w:right w:val="single" w:color="auto" w:sz="6" w:space="0"/>
            </w:tcBorders>
            <w:shd w:val="clear" w:color="auto" w:fill="auto"/>
            <w:vAlign w:val="center"/>
          </w:tcPr>
          <w:p w14:paraId="60F93D8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 w:eastAsia="zh-CN"/>
              </w:rPr>
            </w:pPr>
            <w:r>
              <w:rPr>
                <w:rFonts w:hint="eastAsia" w:ascii="宋体" w:hAnsi="宋体" w:eastAsia="宋体" w:cs="宋体"/>
                <w:sz w:val="18"/>
                <w:szCs w:val="18"/>
                <w:lang w:val="en-US" w:eastAsia="zh-CN"/>
              </w:rPr>
              <w:t>3</w:t>
            </w:r>
          </w:p>
        </w:tc>
        <w:tc>
          <w:tcPr>
            <w:tcW w:w="1485" w:type="dxa"/>
            <w:tcBorders>
              <w:top w:val="nil"/>
              <w:left w:val="nil"/>
              <w:bottom w:val="single" w:color="auto" w:sz="6" w:space="0"/>
              <w:right w:val="single" w:color="auto" w:sz="6" w:space="0"/>
            </w:tcBorders>
            <w:shd w:val="clear" w:color="auto" w:fill="auto"/>
            <w:vAlign w:val="center"/>
          </w:tcPr>
          <w:p w14:paraId="7AE582E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2053" w:type="dxa"/>
            <w:tcBorders>
              <w:top w:val="nil"/>
              <w:left w:val="nil"/>
              <w:bottom w:val="single" w:color="auto" w:sz="6" w:space="0"/>
              <w:right w:val="single" w:color="auto" w:sz="6" w:space="0"/>
            </w:tcBorders>
            <w:shd w:val="clear" w:color="auto" w:fill="auto"/>
            <w:vAlign w:val="center"/>
          </w:tcPr>
          <w:p w14:paraId="387BB1E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7</w:t>
            </w:r>
          </w:p>
        </w:tc>
      </w:tr>
      <w:tr w14:paraId="74F7E35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vAlign w:val="center"/>
          </w:tcPr>
          <w:p w14:paraId="1380C29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第二十条第（五）项</w:t>
            </w:r>
          </w:p>
        </w:tc>
      </w:tr>
      <w:tr w14:paraId="07B6D5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3180" w:type="dxa"/>
            <w:gridSpan w:val="3"/>
            <w:tcBorders>
              <w:top w:val="nil"/>
              <w:left w:val="single" w:color="auto" w:sz="6" w:space="0"/>
              <w:bottom w:val="single" w:color="auto" w:sz="6" w:space="0"/>
              <w:right w:val="single" w:color="auto" w:sz="6" w:space="0"/>
            </w:tcBorders>
            <w:shd w:val="clear" w:color="auto" w:fill="auto"/>
            <w:vAlign w:val="center"/>
          </w:tcPr>
          <w:p w14:paraId="74FCC30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5278" w:type="dxa"/>
            <w:gridSpan w:val="3"/>
            <w:tcBorders>
              <w:top w:val="single" w:color="auto" w:sz="6" w:space="0"/>
              <w:left w:val="nil"/>
              <w:bottom w:val="single" w:color="auto" w:sz="6" w:space="0"/>
              <w:right w:val="single" w:color="auto" w:sz="6" w:space="0"/>
            </w:tcBorders>
            <w:shd w:val="clear" w:color="auto" w:fill="auto"/>
            <w:vAlign w:val="center"/>
          </w:tcPr>
          <w:p w14:paraId="3B291B5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本年处理决定数量</w:t>
            </w:r>
          </w:p>
        </w:tc>
      </w:tr>
      <w:tr w14:paraId="418BC46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417" w:hRule="atLeast"/>
        </w:trPr>
        <w:tc>
          <w:tcPr>
            <w:tcW w:w="3180" w:type="dxa"/>
            <w:gridSpan w:val="3"/>
            <w:tcBorders>
              <w:top w:val="nil"/>
              <w:left w:val="single" w:color="auto" w:sz="6" w:space="0"/>
              <w:bottom w:val="single" w:color="auto" w:sz="6" w:space="0"/>
              <w:right w:val="single" w:color="auto" w:sz="6" w:space="0"/>
            </w:tcBorders>
            <w:shd w:val="clear" w:color="auto" w:fill="auto"/>
            <w:vAlign w:val="center"/>
          </w:tcPr>
          <w:p w14:paraId="0F7714F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行政许可</w:t>
            </w:r>
          </w:p>
        </w:tc>
        <w:tc>
          <w:tcPr>
            <w:tcW w:w="5278" w:type="dxa"/>
            <w:gridSpan w:val="3"/>
            <w:tcBorders>
              <w:top w:val="nil"/>
              <w:left w:val="nil"/>
              <w:bottom w:val="single" w:color="auto" w:sz="6" w:space="0"/>
              <w:right w:val="single" w:color="auto" w:sz="6" w:space="0"/>
            </w:tcBorders>
            <w:shd w:val="clear" w:color="auto" w:fill="auto"/>
            <w:vAlign w:val="center"/>
          </w:tcPr>
          <w:p w14:paraId="123342D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color w:val="auto"/>
                <w:sz w:val="18"/>
                <w:szCs w:val="18"/>
                <w:lang w:val="en-US" w:eastAsia="zh-CN"/>
              </w:rPr>
              <w:t>39875</w:t>
            </w:r>
          </w:p>
        </w:tc>
      </w:tr>
      <w:tr w14:paraId="4A2E70B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vAlign w:val="center"/>
          </w:tcPr>
          <w:p w14:paraId="4BD5C53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第二十条第（六）项</w:t>
            </w:r>
          </w:p>
        </w:tc>
      </w:tr>
      <w:tr w14:paraId="209CCFA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14:paraId="06B9701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vAlign w:val="center"/>
          </w:tcPr>
          <w:p w14:paraId="3AC13D4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 w:eastAsia="zh-CN"/>
              </w:rPr>
            </w:pPr>
            <w:r>
              <w:rPr>
                <w:rFonts w:hint="eastAsia" w:ascii="宋体" w:hAnsi="宋体" w:eastAsia="宋体" w:cs="宋体"/>
                <w:sz w:val="18"/>
                <w:szCs w:val="18"/>
                <w:lang w:val="en" w:eastAsia="zh-CN"/>
              </w:rPr>
              <w:t>本年度处理决定数量</w:t>
            </w:r>
          </w:p>
        </w:tc>
      </w:tr>
      <w:tr w14:paraId="5B89D09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14:paraId="73E2B24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行政处罚</w:t>
            </w:r>
          </w:p>
        </w:tc>
        <w:tc>
          <w:tcPr>
            <w:tcW w:w="6328" w:type="dxa"/>
            <w:gridSpan w:val="5"/>
            <w:tcBorders>
              <w:top w:val="nil"/>
              <w:left w:val="nil"/>
              <w:bottom w:val="single" w:color="auto" w:sz="6" w:space="0"/>
              <w:right w:val="single" w:color="auto" w:sz="6" w:space="0"/>
            </w:tcBorders>
            <w:shd w:val="clear" w:color="auto" w:fill="auto"/>
            <w:vAlign w:val="center"/>
          </w:tcPr>
          <w:p w14:paraId="106CFE6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color w:val="auto"/>
                <w:sz w:val="18"/>
                <w:szCs w:val="18"/>
                <w:lang w:val="en-US" w:eastAsia="zh-CN"/>
              </w:rPr>
              <w:t>1757</w:t>
            </w:r>
          </w:p>
        </w:tc>
      </w:tr>
      <w:tr w14:paraId="593A670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14:paraId="76BE490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行政强制</w:t>
            </w:r>
          </w:p>
        </w:tc>
        <w:tc>
          <w:tcPr>
            <w:tcW w:w="6328" w:type="dxa"/>
            <w:gridSpan w:val="5"/>
            <w:tcBorders>
              <w:top w:val="nil"/>
              <w:left w:val="nil"/>
              <w:bottom w:val="single" w:color="auto" w:sz="6" w:space="0"/>
              <w:right w:val="single" w:color="auto" w:sz="6" w:space="0"/>
            </w:tcBorders>
            <w:shd w:val="clear" w:color="auto" w:fill="auto"/>
            <w:vAlign w:val="center"/>
          </w:tcPr>
          <w:p w14:paraId="2C026AA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 w:eastAsia="zh-CN"/>
              </w:rPr>
            </w:pPr>
            <w:r>
              <w:rPr>
                <w:rFonts w:hint="eastAsia" w:ascii="宋体" w:hAnsi="宋体" w:eastAsia="宋体" w:cs="宋体"/>
                <w:sz w:val="18"/>
                <w:szCs w:val="18"/>
                <w:lang w:val="en-US" w:eastAsia="zh-CN"/>
              </w:rPr>
              <w:t>0</w:t>
            </w:r>
          </w:p>
        </w:tc>
      </w:tr>
      <w:tr w14:paraId="080602C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8458" w:type="dxa"/>
            <w:gridSpan w:val="6"/>
            <w:tcBorders>
              <w:top w:val="nil"/>
              <w:left w:val="single" w:color="auto" w:sz="6" w:space="0"/>
              <w:bottom w:val="single" w:color="auto" w:sz="6" w:space="0"/>
              <w:right w:val="single" w:color="auto" w:sz="6" w:space="0"/>
            </w:tcBorders>
            <w:shd w:val="clear" w:color="auto" w:fill="auto"/>
            <w:vAlign w:val="center"/>
          </w:tcPr>
          <w:p w14:paraId="5C900D5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第二十条第（八）项</w:t>
            </w:r>
          </w:p>
        </w:tc>
      </w:tr>
      <w:tr w14:paraId="7BAB74F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14:paraId="5F1185E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信息内容</w:t>
            </w:r>
          </w:p>
        </w:tc>
        <w:tc>
          <w:tcPr>
            <w:tcW w:w="6328" w:type="dxa"/>
            <w:gridSpan w:val="5"/>
            <w:tcBorders>
              <w:top w:val="single" w:color="auto" w:sz="6" w:space="0"/>
              <w:left w:val="nil"/>
              <w:bottom w:val="single" w:color="auto" w:sz="6" w:space="0"/>
              <w:right w:val="single" w:color="auto" w:sz="6" w:space="0"/>
            </w:tcBorders>
            <w:shd w:val="clear" w:color="auto" w:fill="auto"/>
            <w:vAlign w:val="center"/>
          </w:tcPr>
          <w:p w14:paraId="4B1D147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本年收费金额（单位：万元）</w:t>
            </w:r>
          </w:p>
        </w:tc>
      </w:tr>
      <w:tr w14:paraId="2FDE1C6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2130" w:type="dxa"/>
            <w:tcBorders>
              <w:top w:val="nil"/>
              <w:left w:val="single" w:color="auto" w:sz="6" w:space="0"/>
              <w:bottom w:val="single" w:color="auto" w:sz="6" w:space="0"/>
              <w:right w:val="single" w:color="auto" w:sz="6" w:space="0"/>
            </w:tcBorders>
            <w:shd w:val="clear" w:color="auto" w:fill="auto"/>
            <w:vAlign w:val="center"/>
          </w:tcPr>
          <w:p w14:paraId="2DE6D54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行政事业性收费</w:t>
            </w:r>
          </w:p>
        </w:tc>
        <w:tc>
          <w:tcPr>
            <w:tcW w:w="6328" w:type="dxa"/>
            <w:gridSpan w:val="5"/>
            <w:tcBorders>
              <w:top w:val="nil"/>
              <w:left w:val="nil"/>
              <w:bottom w:val="single" w:color="auto" w:sz="6" w:space="0"/>
              <w:right w:val="single" w:color="auto" w:sz="6" w:space="0"/>
            </w:tcBorders>
            <w:shd w:val="clear" w:color="auto" w:fill="auto"/>
            <w:vAlign w:val="center"/>
          </w:tcPr>
          <w:p w14:paraId="1DA05F0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3239.89</w:t>
            </w:r>
          </w:p>
        </w:tc>
      </w:tr>
    </w:tbl>
    <w:p w14:paraId="66F8CC47">
      <w:pPr>
        <w:numPr>
          <w:ilvl w:val="0"/>
          <w:numId w:val="0"/>
        </w:numPr>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 xml:space="preserve">    三、收到和处理政府信息公开申请情况</w:t>
      </w:r>
    </w:p>
    <w:tbl>
      <w:tblPr>
        <w:tblStyle w:val="8"/>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716"/>
        <w:gridCol w:w="880"/>
        <w:gridCol w:w="2507"/>
        <w:gridCol w:w="785"/>
        <w:gridCol w:w="703"/>
        <w:gridCol w:w="703"/>
        <w:gridCol w:w="900"/>
        <w:gridCol w:w="900"/>
        <w:gridCol w:w="434"/>
        <w:gridCol w:w="543"/>
      </w:tblGrid>
      <w:tr w14:paraId="5A46B76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4103" w:type="dxa"/>
            <w:gridSpan w:val="3"/>
            <w:vMerge w:val="restart"/>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093ED46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（本列数据的勾稽关系为：第一项加第二项之和，等于第三项加第四项之和）</w:t>
            </w:r>
          </w:p>
        </w:tc>
        <w:tc>
          <w:tcPr>
            <w:tcW w:w="4968" w:type="dxa"/>
            <w:gridSpan w:val="7"/>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2EBA32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申请人情况</w:t>
            </w:r>
          </w:p>
        </w:tc>
      </w:tr>
      <w:tr w14:paraId="784A0FB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4B5D857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785" w:type="dxa"/>
            <w:vMerge w:val="restart"/>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BC5116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自然人</w:t>
            </w:r>
          </w:p>
        </w:tc>
        <w:tc>
          <w:tcPr>
            <w:tcW w:w="3640" w:type="dxa"/>
            <w:gridSpan w:val="5"/>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90D890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B87A6D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14:paraId="00A04ED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4103" w:type="dxa"/>
            <w:gridSpan w:val="3"/>
            <w:vMerge w:val="continue"/>
            <w:tcBorders>
              <w:top w:val="single" w:color="auto" w:sz="8" w:space="0"/>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1A3DCE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785"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AEE95E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010D5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商业企业</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D14B02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科研机构</w:t>
            </w:r>
          </w:p>
        </w:tc>
        <w:tc>
          <w:tcPr>
            <w:tcW w:w="900"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4E0937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社会公益组织</w:t>
            </w:r>
          </w:p>
        </w:tc>
        <w:tc>
          <w:tcPr>
            <w:tcW w:w="900"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F1486F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法律服务机构</w:t>
            </w:r>
          </w:p>
        </w:tc>
        <w:tc>
          <w:tcPr>
            <w:tcW w:w="434"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37E007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tc>
        <w:tc>
          <w:tcPr>
            <w:tcW w:w="543" w:type="dxa"/>
            <w:vMerge w:val="continue"/>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86936F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r>
      <w:tr w14:paraId="326C58E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3F89AF1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一、本年新收政府信息公开申请数量</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CE958F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94</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89FF20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18</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F2DDCB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890E4C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B09646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B8D475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B0DD48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112</w:t>
            </w:r>
          </w:p>
        </w:tc>
      </w:tr>
      <w:tr w14:paraId="23BA4EB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530224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二、上年结转政府信息公开申请数量</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470168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171E88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0F2BF1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F44386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58DC72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634FA1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857FB6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323355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restart"/>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5ED763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三、本年度办理结果</w:t>
            </w:r>
          </w:p>
        </w:tc>
        <w:tc>
          <w:tcPr>
            <w:tcW w:w="3387" w:type="dxa"/>
            <w:gridSpan w:val="2"/>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6512AC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（一）予已公开</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8093FF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27</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D2D76B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18</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03F1C9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B6BB1C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4FF6B0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73D97D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CC2FB9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45</w:t>
            </w:r>
          </w:p>
        </w:tc>
      </w:tr>
      <w:tr w14:paraId="7832796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0F44E7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5549E4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（二）部分公开（区分处理的，只计这一情形，不计其他情形）</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D4C24D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23</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30E1A7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3DBE82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836E7F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9180F8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0A3940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7F34F4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23</w:t>
            </w:r>
          </w:p>
        </w:tc>
      </w:tr>
      <w:tr w14:paraId="276874C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D64528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564515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（三）</w:t>
            </w:r>
          </w:p>
          <w:p w14:paraId="48665BC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14:paraId="1472389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公开</w:t>
            </w: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D0D800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1.属于国家秘密</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16E2FD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3B5ED9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B4B1F8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9C786F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2ED1B5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FF059E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single" w:color="auto" w:sz="8" w:space="0"/>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41A807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w:t>
            </w:r>
          </w:p>
        </w:tc>
      </w:tr>
      <w:tr w14:paraId="4CDE06B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44E24A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3CF061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50B0410">
            <w:pPr>
              <w:pStyle w:val="6"/>
              <w:keepNext w:val="0"/>
              <w:keepLines w:val="0"/>
              <w:widowControl/>
              <w:numPr>
                <w:ilvl w:val="0"/>
                <w:numId w:val="2"/>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其他法律行政法规禁止公开</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671BB7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01E272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9D00ED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5B0BFC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88EFFC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88FDCF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0593AC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659104D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078D94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4A58BC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5F2A73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3.危及“三安全一稳定”</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125CFD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78A93E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EA056E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8A7430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02C9C3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DFA349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C7D6D2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4E0B2F7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38B05A2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8C4972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931A6A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4.保护第三方合法权益</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3D2FB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814297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D2E2F5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4F2D25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2EAFCE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462935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09620A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w:t>
            </w:r>
          </w:p>
        </w:tc>
      </w:tr>
      <w:tr w14:paraId="3E5853C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60C2D7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D6D2FF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952CDF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5.属于三类内部事务信息</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2F110A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078AA4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491A95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52FBEE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9F5766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1B0DB3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44D42D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w:t>
            </w:r>
          </w:p>
        </w:tc>
      </w:tr>
      <w:tr w14:paraId="08FD766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588BF1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5E4EE0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E1FC5B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6.属于四类过程性信息</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BC230D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77897C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29B091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44AAA3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DC6FD0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FEEE58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DE309E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7AD296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7B058F1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3D988E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A726F9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7.属于行政执法案卷</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21141D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7D4303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CBB6D8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6562DA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4E3F39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DFB615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EB2D65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r>
      <w:tr w14:paraId="4D5D835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3344253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CC2872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3B4F59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8.属于行政查询事项</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5CDAED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14A72F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66DBF1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F2D414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DA9679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942B1B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B31746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02107AB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3639CD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9C86AB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w:t>
            </w:r>
          </w:p>
          <w:p w14:paraId="0CCF8F7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无法</w:t>
            </w:r>
          </w:p>
          <w:p w14:paraId="20AB636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提供</w:t>
            </w: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B826D02">
            <w:pPr>
              <w:pStyle w:val="6"/>
              <w:keepNext w:val="0"/>
              <w:keepLines w:val="0"/>
              <w:widowControl/>
              <w:numPr>
                <w:ilvl w:val="0"/>
                <w:numId w:val="3"/>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本机关不掌握相关政府</w:t>
            </w:r>
          </w:p>
          <w:p w14:paraId="3DD7AFAC">
            <w:pPr>
              <w:pStyle w:val="6"/>
              <w:keepNext w:val="0"/>
              <w:keepLines w:val="0"/>
              <w:widowControl/>
              <w:numPr>
                <w:ilvl w:val="0"/>
                <w:numId w:val="0"/>
              </w:numPr>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Chars="0" w:right="0" w:right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信息</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45CCC6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32</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09C6C9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B7D64C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2BD068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52B591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6BA8CE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C5A66B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32</w:t>
            </w:r>
          </w:p>
        </w:tc>
      </w:tr>
      <w:tr w14:paraId="6A9BD48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3E33EE5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7D3EA0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2DB85A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2.没有现成信息需要另行制作</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4CAAC8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F442E2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8E3952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575B49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5EDAD4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E0E9B6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E1E692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w:t>
            </w:r>
          </w:p>
        </w:tc>
      </w:tr>
      <w:tr w14:paraId="3523565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21C1654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E35081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6DC5EA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3.补正后申请内容仍不明确</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701F1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14F5DB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59D0CE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B19D5B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25F5F9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BB7071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D4A465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6BB3249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7A73480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0CAE47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（五）</w:t>
            </w:r>
          </w:p>
          <w:p w14:paraId="50C4A24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不予</w:t>
            </w:r>
          </w:p>
          <w:p w14:paraId="10E0D03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E3525B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1.信访举报投诉类申请</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DD1DE9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38BC61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2F60D4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C67517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038BD2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FC848C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242880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325D47A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AF250A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944289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61E9F3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2.重复申请</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790774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05A8B2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044576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15714D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8B4302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AFF9EF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D989BB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w:t>
            </w:r>
          </w:p>
        </w:tc>
      </w:tr>
      <w:tr w14:paraId="20D8037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7667E5E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6FE59E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8916C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3.要求提供公开出版物</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C26000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B1760A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31D2A3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CD63E8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96C2A7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6487F3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7E8264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77D1D00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4E05F37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DF2D92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F38398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4.无正当理由大量反复申请</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8CD993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2E07AD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4AE259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7D4FBD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00B263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F1B277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123AD3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4566BB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5639F22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2EC0EE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C6BA5E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5.要求行政机关确认或重新出具已获取信息</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F0A1A7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3A4EC3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2093C9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40E771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9F91D7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D5E91E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A5E96F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5F12C3F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757D72D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restart"/>
            <w:tcBorders>
              <w:top w:val="nil"/>
              <w:left w:val="nil"/>
              <w:right w:val="single" w:color="auto" w:sz="8" w:space="0"/>
            </w:tcBorders>
            <w:shd w:val="clear" w:color="auto" w:fill="auto"/>
            <w:tcMar>
              <w:top w:w="0" w:type="dxa"/>
              <w:left w:w="108" w:type="dxa"/>
              <w:bottom w:w="0" w:type="dxa"/>
              <w:right w:w="108" w:type="dxa"/>
            </w:tcMar>
            <w:vAlign w:val="center"/>
          </w:tcPr>
          <w:p w14:paraId="047C703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（六）</w:t>
            </w:r>
          </w:p>
          <w:p w14:paraId="0330D8A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14:paraId="16F66C3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处理</w:t>
            </w: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6DBE3F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1.申请人无正当理由逾期不补正、行政机关不再处理其政府信息公开申请</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8E157E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D0EB7D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5B7280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5859C5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A61CCD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172227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EAEB9B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6FBB48A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07F77F6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left w:val="nil"/>
              <w:right w:val="single" w:color="auto" w:sz="8" w:space="0"/>
            </w:tcBorders>
            <w:shd w:val="clear" w:color="auto" w:fill="auto"/>
            <w:tcMar>
              <w:top w:w="0" w:type="dxa"/>
              <w:left w:w="108" w:type="dxa"/>
              <w:bottom w:w="0" w:type="dxa"/>
              <w:right w:w="108" w:type="dxa"/>
            </w:tcMar>
            <w:vAlign w:val="center"/>
          </w:tcPr>
          <w:p w14:paraId="4A81A53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7E929E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2.申请人逾期未按收费通知要求缴纳费用、行政机关不再处理其政府信息公开申请</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91A391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F8C435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F996E2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BE2554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2177CD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C74E48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05690F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248BDD3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7A1E16A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880" w:type="dxa"/>
            <w:vMerge w:val="continue"/>
            <w:tcBorders>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8083E0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default" w:ascii="宋体" w:hAnsi="宋体" w:eastAsia="宋体" w:cs="宋体"/>
                <w:sz w:val="18"/>
                <w:szCs w:val="18"/>
                <w:lang w:val="en-US" w:eastAsia="zh-CN"/>
              </w:rPr>
            </w:pPr>
          </w:p>
        </w:tc>
        <w:tc>
          <w:tcPr>
            <w:tcW w:w="2507"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B70DAA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3.其他</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F99323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9B360D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C24B97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1783CE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8782C0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626B7A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769C25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r>
      <w:tr w14:paraId="693BAB0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716" w:type="dxa"/>
            <w:vMerge w:val="continue"/>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14481ED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3387" w:type="dxa"/>
            <w:gridSpan w:val="2"/>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D607D1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（七）总计</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C61834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92</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A41EF4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18</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3F5F72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B782D8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604A3E2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73F3FD7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5D88439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110</w:t>
            </w:r>
          </w:p>
        </w:tc>
      </w:tr>
      <w:tr w14:paraId="1454C9A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0" w:hRule="atLeast"/>
          <w:jc w:val="center"/>
        </w:trPr>
        <w:tc>
          <w:tcPr>
            <w:tcW w:w="4103" w:type="dxa"/>
            <w:gridSpan w:val="3"/>
            <w:tcBorders>
              <w:top w:val="nil"/>
              <w:left w:val="single" w:color="auto" w:sz="8" w:space="0"/>
              <w:bottom w:val="single" w:color="auto" w:sz="8" w:space="0"/>
              <w:right w:val="single" w:color="auto" w:sz="8" w:space="0"/>
            </w:tcBorders>
            <w:shd w:val="clear" w:color="auto" w:fill="auto"/>
            <w:tcMar>
              <w:top w:w="0" w:type="dxa"/>
              <w:left w:w="108" w:type="dxa"/>
              <w:bottom w:w="0" w:type="dxa"/>
              <w:right w:w="108" w:type="dxa"/>
            </w:tcMar>
            <w:vAlign w:val="center"/>
          </w:tcPr>
          <w:p w14:paraId="6551D83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四、结转下年度继续办理</w:t>
            </w:r>
          </w:p>
        </w:tc>
        <w:tc>
          <w:tcPr>
            <w:tcW w:w="785"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0D48A7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2256FC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default" w:ascii="宋体" w:hAnsi="宋体" w:eastAsia="宋体" w:cs="宋体"/>
                <w:sz w:val="18"/>
                <w:szCs w:val="18"/>
                <w:lang w:val="en-US" w:eastAsia="zh-CN"/>
              </w:rPr>
              <w:t>0</w:t>
            </w:r>
          </w:p>
        </w:tc>
        <w:tc>
          <w:tcPr>
            <w:tcW w:w="70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439DFAB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14FE0F0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900"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2D88C8F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434"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34AB563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0</w:t>
            </w:r>
          </w:p>
        </w:tc>
        <w:tc>
          <w:tcPr>
            <w:tcW w:w="543" w:type="dxa"/>
            <w:tcBorders>
              <w:top w:val="nil"/>
              <w:left w:val="nil"/>
              <w:bottom w:val="single" w:color="auto" w:sz="8" w:space="0"/>
              <w:right w:val="single" w:color="auto" w:sz="8" w:space="0"/>
            </w:tcBorders>
            <w:shd w:val="clear" w:color="auto" w:fill="auto"/>
            <w:tcMar>
              <w:top w:w="0" w:type="dxa"/>
              <w:left w:w="108" w:type="dxa"/>
              <w:bottom w:w="0" w:type="dxa"/>
              <w:right w:w="108" w:type="dxa"/>
            </w:tcMar>
            <w:vAlign w:val="center"/>
          </w:tcPr>
          <w:p w14:paraId="0B65708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2</w:t>
            </w:r>
          </w:p>
        </w:tc>
      </w:tr>
    </w:tbl>
    <w:p w14:paraId="3B1C3D86">
      <w:pPr>
        <w:pStyle w:val="3"/>
        <w:rPr>
          <w:rFonts w:hint="eastAsia"/>
          <w:lang w:val="en-US" w:eastAsia="zh-CN"/>
        </w:rPr>
      </w:pPr>
    </w:p>
    <w:p w14:paraId="352BC5C8">
      <w:pPr>
        <w:pStyle w:val="3"/>
        <w:ind w:left="0" w:leftChars="0" w:firstLine="0" w:firstLineChars="0"/>
        <w:rPr>
          <w:rFonts w:hint="eastAsia"/>
          <w:lang w:val="en-US" w:eastAsia="zh-CN"/>
        </w:rPr>
      </w:pPr>
    </w:p>
    <w:p w14:paraId="69A5D5EF">
      <w:pPr>
        <w:numPr>
          <w:ilvl w:val="0"/>
          <w:numId w:val="0"/>
        </w:numPr>
        <w:ind w:leftChars="200"/>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四、政府信息公开行政复议、行政诉讼情况</w:t>
      </w:r>
    </w:p>
    <w:tbl>
      <w:tblPr>
        <w:tblStyle w:val="8"/>
        <w:tblW w:w="8642"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540"/>
        <w:gridCol w:w="540"/>
        <w:gridCol w:w="495"/>
        <w:gridCol w:w="549"/>
        <w:gridCol w:w="548"/>
        <w:gridCol w:w="682"/>
        <w:gridCol w:w="600"/>
        <w:gridCol w:w="600"/>
        <w:gridCol w:w="600"/>
        <w:gridCol w:w="503"/>
        <w:gridCol w:w="712"/>
        <w:gridCol w:w="600"/>
        <w:gridCol w:w="600"/>
        <w:gridCol w:w="600"/>
        <w:gridCol w:w="473"/>
      </w:tblGrid>
      <w:tr w14:paraId="1E0FC3A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2672" w:type="dxa"/>
            <w:gridSpan w:val="5"/>
            <w:tcBorders>
              <w:top w:val="single" w:color="auto" w:sz="6" w:space="0"/>
              <w:left w:val="single" w:color="auto" w:sz="6" w:space="0"/>
              <w:bottom w:val="single" w:color="auto" w:sz="6" w:space="0"/>
              <w:right w:val="single" w:color="auto" w:sz="6" w:space="0"/>
            </w:tcBorders>
            <w:shd w:val="clear" w:color="auto" w:fill="auto"/>
            <w:vAlign w:val="center"/>
          </w:tcPr>
          <w:p w14:paraId="20C56E6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行政复议</w:t>
            </w:r>
          </w:p>
        </w:tc>
        <w:tc>
          <w:tcPr>
            <w:tcW w:w="5970" w:type="dxa"/>
            <w:gridSpan w:val="10"/>
            <w:tcBorders>
              <w:top w:val="single" w:color="auto" w:sz="6" w:space="0"/>
              <w:left w:val="nil"/>
              <w:bottom w:val="single" w:color="auto" w:sz="6" w:space="0"/>
              <w:right w:val="single" w:color="auto" w:sz="6" w:space="0"/>
            </w:tcBorders>
            <w:shd w:val="clear" w:color="auto" w:fill="auto"/>
            <w:vAlign w:val="center"/>
          </w:tcPr>
          <w:p w14:paraId="572ADF5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行政诉讼</w:t>
            </w:r>
          </w:p>
        </w:tc>
      </w:tr>
      <w:tr w14:paraId="47926D6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vMerge w:val="restart"/>
            <w:tcBorders>
              <w:top w:val="nil"/>
              <w:left w:val="single" w:color="auto" w:sz="6" w:space="0"/>
              <w:bottom w:val="single" w:color="auto" w:sz="6" w:space="0"/>
              <w:right w:val="single" w:color="auto" w:sz="6" w:space="0"/>
            </w:tcBorders>
            <w:shd w:val="clear" w:color="auto" w:fill="auto"/>
            <w:vAlign w:val="center"/>
          </w:tcPr>
          <w:p w14:paraId="7ABE5AD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结果维持</w:t>
            </w:r>
          </w:p>
        </w:tc>
        <w:tc>
          <w:tcPr>
            <w:tcW w:w="540" w:type="dxa"/>
            <w:vMerge w:val="restart"/>
            <w:tcBorders>
              <w:top w:val="nil"/>
              <w:left w:val="nil"/>
              <w:bottom w:val="single" w:color="auto" w:sz="6" w:space="0"/>
              <w:right w:val="single" w:color="auto" w:sz="6" w:space="0"/>
            </w:tcBorders>
            <w:shd w:val="clear" w:color="auto" w:fill="auto"/>
            <w:vAlign w:val="center"/>
          </w:tcPr>
          <w:p w14:paraId="0F1F2DC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结果纠正</w:t>
            </w:r>
          </w:p>
        </w:tc>
        <w:tc>
          <w:tcPr>
            <w:tcW w:w="495" w:type="dxa"/>
            <w:vMerge w:val="restart"/>
            <w:tcBorders>
              <w:top w:val="single" w:color="auto" w:sz="6" w:space="0"/>
              <w:left w:val="nil"/>
              <w:bottom w:val="single" w:color="auto" w:sz="6" w:space="0"/>
              <w:right w:val="single" w:color="auto" w:sz="6" w:space="0"/>
            </w:tcBorders>
            <w:shd w:val="clear" w:color="auto" w:fill="auto"/>
            <w:vAlign w:val="center"/>
          </w:tcPr>
          <w:p w14:paraId="053FD21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其他结果</w:t>
            </w:r>
          </w:p>
        </w:tc>
        <w:tc>
          <w:tcPr>
            <w:tcW w:w="549" w:type="dxa"/>
            <w:vMerge w:val="restart"/>
            <w:tcBorders>
              <w:top w:val="single" w:color="auto" w:sz="6" w:space="0"/>
              <w:left w:val="nil"/>
              <w:bottom w:val="single" w:color="auto" w:sz="6" w:space="0"/>
              <w:right w:val="single" w:color="auto" w:sz="6" w:space="0"/>
            </w:tcBorders>
            <w:shd w:val="clear" w:color="auto" w:fill="auto"/>
            <w:vAlign w:val="center"/>
          </w:tcPr>
          <w:p w14:paraId="57C6392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尚未审结</w:t>
            </w:r>
          </w:p>
        </w:tc>
        <w:tc>
          <w:tcPr>
            <w:tcW w:w="548" w:type="dxa"/>
            <w:vMerge w:val="restart"/>
            <w:tcBorders>
              <w:top w:val="single" w:color="auto" w:sz="6" w:space="0"/>
              <w:left w:val="nil"/>
              <w:bottom w:val="single" w:color="auto" w:sz="6" w:space="0"/>
              <w:right w:val="single" w:color="auto" w:sz="6" w:space="0"/>
            </w:tcBorders>
            <w:shd w:val="clear" w:color="auto" w:fill="auto"/>
            <w:vAlign w:val="center"/>
          </w:tcPr>
          <w:p w14:paraId="16F74FE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2985" w:type="dxa"/>
            <w:gridSpan w:val="5"/>
            <w:tcBorders>
              <w:top w:val="single" w:color="auto" w:sz="6" w:space="0"/>
              <w:left w:val="nil"/>
              <w:bottom w:val="single" w:color="auto" w:sz="6" w:space="0"/>
              <w:right w:val="single" w:color="auto" w:sz="6" w:space="0"/>
            </w:tcBorders>
            <w:shd w:val="clear" w:color="auto" w:fill="auto"/>
            <w:vAlign w:val="center"/>
          </w:tcPr>
          <w:p w14:paraId="5B1A64E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未经复议直接起诉</w:t>
            </w:r>
          </w:p>
        </w:tc>
        <w:tc>
          <w:tcPr>
            <w:tcW w:w="2985" w:type="dxa"/>
            <w:gridSpan w:val="5"/>
            <w:tcBorders>
              <w:top w:val="single" w:color="auto" w:sz="6" w:space="0"/>
              <w:left w:val="nil"/>
              <w:bottom w:val="single" w:color="auto" w:sz="6" w:space="0"/>
              <w:right w:val="single" w:color="auto" w:sz="6" w:space="0"/>
            </w:tcBorders>
            <w:shd w:val="clear" w:color="auto" w:fill="auto"/>
            <w:vAlign w:val="center"/>
          </w:tcPr>
          <w:p w14:paraId="7646E7E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复议后起诉</w:t>
            </w:r>
          </w:p>
        </w:tc>
      </w:tr>
      <w:tr w14:paraId="00E875E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vMerge w:val="continue"/>
            <w:tcBorders>
              <w:top w:val="nil"/>
              <w:left w:val="single" w:color="auto" w:sz="6" w:space="0"/>
              <w:bottom w:val="single" w:color="auto" w:sz="6" w:space="0"/>
              <w:right w:val="single" w:color="auto" w:sz="6" w:space="0"/>
            </w:tcBorders>
            <w:shd w:val="clear" w:color="auto" w:fill="auto"/>
            <w:vAlign w:val="center"/>
          </w:tcPr>
          <w:p w14:paraId="13DE03F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540" w:type="dxa"/>
            <w:vMerge w:val="continue"/>
            <w:tcBorders>
              <w:top w:val="nil"/>
              <w:left w:val="nil"/>
              <w:bottom w:val="single" w:color="auto" w:sz="6" w:space="0"/>
              <w:right w:val="single" w:color="auto" w:sz="6" w:space="0"/>
            </w:tcBorders>
            <w:shd w:val="clear" w:color="auto" w:fill="auto"/>
            <w:vAlign w:val="center"/>
          </w:tcPr>
          <w:p w14:paraId="3EBC8A3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495" w:type="dxa"/>
            <w:vMerge w:val="continue"/>
            <w:tcBorders>
              <w:top w:val="single" w:color="auto" w:sz="6" w:space="0"/>
              <w:left w:val="nil"/>
              <w:bottom w:val="single" w:color="auto" w:sz="6" w:space="0"/>
              <w:right w:val="single" w:color="auto" w:sz="6" w:space="0"/>
            </w:tcBorders>
            <w:shd w:val="clear" w:color="auto" w:fill="auto"/>
            <w:vAlign w:val="center"/>
          </w:tcPr>
          <w:p w14:paraId="172B99B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549" w:type="dxa"/>
            <w:vMerge w:val="continue"/>
            <w:tcBorders>
              <w:top w:val="single" w:color="auto" w:sz="6" w:space="0"/>
              <w:left w:val="nil"/>
              <w:bottom w:val="single" w:color="auto" w:sz="6" w:space="0"/>
              <w:right w:val="single" w:color="auto" w:sz="6" w:space="0"/>
            </w:tcBorders>
            <w:shd w:val="clear" w:color="auto" w:fill="auto"/>
            <w:vAlign w:val="center"/>
          </w:tcPr>
          <w:p w14:paraId="57FF24FC">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548" w:type="dxa"/>
            <w:vMerge w:val="continue"/>
            <w:tcBorders>
              <w:top w:val="single" w:color="auto" w:sz="6" w:space="0"/>
              <w:left w:val="nil"/>
              <w:bottom w:val="single" w:color="auto" w:sz="6" w:space="0"/>
              <w:right w:val="single" w:color="auto" w:sz="6" w:space="0"/>
            </w:tcBorders>
            <w:shd w:val="clear" w:color="auto" w:fill="auto"/>
            <w:vAlign w:val="center"/>
          </w:tcPr>
          <w:p w14:paraId="555935B0">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p>
        </w:tc>
        <w:tc>
          <w:tcPr>
            <w:tcW w:w="682" w:type="dxa"/>
            <w:tcBorders>
              <w:top w:val="nil"/>
              <w:left w:val="nil"/>
              <w:bottom w:val="single" w:color="auto" w:sz="6" w:space="0"/>
              <w:right w:val="single" w:color="auto" w:sz="6" w:space="0"/>
            </w:tcBorders>
            <w:shd w:val="clear" w:color="auto" w:fill="auto"/>
            <w:vAlign w:val="center"/>
          </w:tcPr>
          <w:p w14:paraId="60AC996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76E3EBF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nil"/>
              <w:left w:val="nil"/>
              <w:bottom w:val="single" w:color="auto" w:sz="6" w:space="0"/>
              <w:right w:val="single" w:color="auto" w:sz="6" w:space="0"/>
            </w:tcBorders>
            <w:shd w:val="clear" w:color="auto" w:fill="auto"/>
            <w:vAlign w:val="center"/>
          </w:tcPr>
          <w:p w14:paraId="031A7DC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7039EE2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vAlign w:val="center"/>
          </w:tcPr>
          <w:p w14:paraId="7DF4828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14:paraId="04BAB9C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vAlign w:val="center"/>
          </w:tcPr>
          <w:p w14:paraId="5D31E7E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14:paraId="0795FBA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503" w:type="dxa"/>
            <w:tcBorders>
              <w:top w:val="single" w:color="auto" w:sz="6" w:space="0"/>
              <w:left w:val="nil"/>
              <w:bottom w:val="single" w:color="auto" w:sz="6" w:space="0"/>
              <w:right w:val="single" w:color="auto" w:sz="6" w:space="0"/>
            </w:tcBorders>
            <w:shd w:val="clear" w:color="auto" w:fill="auto"/>
            <w:vAlign w:val="center"/>
          </w:tcPr>
          <w:p w14:paraId="1C85F7A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c>
          <w:tcPr>
            <w:tcW w:w="712" w:type="dxa"/>
            <w:tcBorders>
              <w:top w:val="single" w:color="auto" w:sz="6" w:space="0"/>
              <w:left w:val="nil"/>
              <w:bottom w:val="single" w:color="auto" w:sz="6" w:space="0"/>
              <w:right w:val="single" w:color="auto" w:sz="6" w:space="0"/>
            </w:tcBorders>
            <w:shd w:val="clear" w:color="auto" w:fill="auto"/>
            <w:vAlign w:val="center"/>
          </w:tcPr>
          <w:p w14:paraId="0489263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6C0307E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维持</w:t>
            </w:r>
          </w:p>
        </w:tc>
        <w:tc>
          <w:tcPr>
            <w:tcW w:w="600" w:type="dxa"/>
            <w:tcBorders>
              <w:top w:val="single" w:color="auto" w:sz="6" w:space="0"/>
              <w:left w:val="nil"/>
              <w:bottom w:val="single" w:color="auto" w:sz="6" w:space="0"/>
              <w:right w:val="single" w:color="auto" w:sz="6" w:space="0"/>
            </w:tcBorders>
            <w:shd w:val="clear" w:color="auto" w:fill="auto"/>
            <w:vAlign w:val="center"/>
          </w:tcPr>
          <w:p w14:paraId="357A29B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p w14:paraId="3647419A">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纠正</w:t>
            </w:r>
          </w:p>
        </w:tc>
        <w:tc>
          <w:tcPr>
            <w:tcW w:w="600" w:type="dxa"/>
            <w:tcBorders>
              <w:top w:val="single" w:color="auto" w:sz="6" w:space="0"/>
              <w:left w:val="nil"/>
              <w:bottom w:val="single" w:color="auto" w:sz="6" w:space="0"/>
              <w:right w:val="single" w:color="auto" w:sz="6" w:space="0"/>
            </w:tcBorders>
            <w:shd w:val="clear" w:color="auto" w:fill="auto"/>
            <w:vAlign w:val="center"/>
          </w:tcPr>
          <w:p w14:paraId="0431ECFE">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其他</w:t>
            </w:r>
          </w:p>
          <w:p w14:paraId="17DA9C3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结果</w:t>
            </w:r>
          </w:p>
        </w:tc>
        <w:tc>
          <w:tcPr>
            <w:tcW w:w="600" w:type="dxa"/>
            <w:tcBorders>
              <w:top w:val="single" w:color="auto" w:sz="6" w:space="0"/>
              <w:left w:val="nil"/>
              <w:bottom w:val="single" w:color="auto" w:sz="6" w:space="0"/>
              <w:right w:val="single" w:color="auto" w:sz="6" w:space="0"/>
            </w:tcBorders>
            <w:shd w:val="clear" w:color="auto" w:fill="auto"/>
            <w:vAlign w:val="center"/>
          </w:tcPr>
          <w:p w14:paraId="2C48DD5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尚未</w:t>
            </w:r>
          </w:p>
          <w:p w14:paraId="0A87DD0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审结</w:t>
            </w:r>
          </w:p>
        </w:tc>
        <w:tc>
          <w:tcPr>
            <w:tcW w:w="473" w:type="dxa"/>
            <w:tcBorders>
              <w:top w:val="single" w:color="auto" w:sz="6" w:space="0"/>
              <w:left w:val="nil"/>
              <w:bottom w:val="single" w:color="auto" w:sz="6" w:space="0"/>
              <w:right w:val="single" w:color="auto" w:sz="6" w:space="0"/>
            </w:tcBorders>
            <w:shd w:val="clear" w:color="auto" w:fill="auto"/>
            <w:vAlign w:val="center"/>
          </w:tcPr>
          <w:p w14:paraId="3CC7E3F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right="0" w:firstLine="0"/>
              <w:jc w:val="center"/>
              <w:rPr>
                <w:rFonts w:hint="eastAsia" w:ascii="宋体" w:hAnsi="宋体" w:eastAsia="宋体" w:cs="宋体"/>
                <w:sz w:val="18"/>
                <w:szCs w:val="18"/>
                <w:lang w:val="en-US" w:eastAsia="zh-CN"/>
              </w:rPr>
            </w:pPr>
            <w:r>
              <w:rPr>
                <w:rFonts w:hint="eastAsia" w:ascii="宋体" w:hAnsi="宋体" w:eastAsia="宋体" w:cs="宋体"/>
                <w:sz w:val="18"/>
                <w:szCs w:val="18"/>
                <w:lang w:val="en-US" w:eastAsia="zh-CN"/>
              </w:rPr>
              <w:t>总计</w:t>
            </w:r>
          </w:p>
        </w:tc>
      </w:tr>
      <w:tr w14:paraId="5598398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540" w:type="dxa"/>
            <w:tcBorders>
              <w:top w:val="nil"/>
              <w:left w:val="single" w:color="auto" w:sz="6" w:space="0"/>
              <w:bottom w:val="single" w:color="auto" w:sz="6" w:space="0"/>
              <w:right w:val="single" w:color="auto" w:sz="6" w:space="0"/>
            </w:tcBorders>
            <w:shd w:val="clear" w:color="auto" w:fill="auto"/>
            <w:vAlign w:val="center"/>
          </w:tcPr>
          <w:p w14:paraId="0DD8B4D8">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 w:eastAsia="zh-CN"/>
              </w:rPr>
            </w:pPr>
            <w:r>
              <w:rPr>
                <w:rFonts w:hint="eastAsia" w:ascii="宋体" w:hAnsi="宋体" w:eastAsia="宋体" w:cs="宋体"/>
                <w:sz w:val="18"/>
                <w:szCs w:val="18"/>
                <w:lang w:val="en-US" w:eastAsia="zh-CN"/>
              </w:rPr>
              <w:t>6</w:t>
            </w:r>
          </w:p>
        </w:tc>
        <w:tc>
          <w:tcPr>
            <w:tcW w:w="540" w:type="dxa"/>
            <w:tcBorders>
              <w:top w:val="nil"/>
              <w:left w:val="nil"/>
              <w:bottom w:val="single" w:color="auto" w:sz="6" w:space="0"/>
              <w:right w:val="single" w:color="auto" w:sz="6" w:space="0"/>
            </w:tcBorders>
            <w:shd w:val="clear" w:color="auto" w:fill="auto"/>
            <w:vAlign w:val="center"/>
          </w:tcPr>
          <w:p w14:paraId="2F7FF68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 w:eastAsia="zh-CN"/>
              </w:rPr>
            </w:pPr>
            <w:r>
              <w:rPr>
                <w:rFonts w:hint="default" w:ascii="宋体" w:hAnsi="宋体" w:eastAsia="宋体" w:cs="宋体"/>
                <w:sz w:val="18"/>
                <w:szCs w:val="18"/>
                <w:lang w:val="en" w:eastAsia="zh-CN"/>
              </w:rPr>
              <w:t>0</w:t>
            </w:r>
          </w:p>
        </w:tc>
        <w:tc>
          <w:tcPr>
            <w:tcW w:w="495" w:type="dxa"/>
            <w:tcBorders>
              <w:top w:val="nil"/>
              <w:left w:val="nil"/>
              <w:bottom w:val="single" w:color="auto" w:sz="6" w:space="0"/>
              <w:right w:val="single" w:color="auto" w:sz="6" w:space="0"/>
            </w:tcBorders>
            <w:shd w:val="clear" w:color="auto" w:fill="auto"/>
            <w:vAlign w:val="center"/>
          </w:tcPr>
          <w:p w14:paraId="2BF6AFB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 w:eastAsia="zh-CN"/>
              </w:rPr>
            </w:pPr>
            <w:r>
              <w:rPr>
                <w:rFonts w:hint="eastAsia" w:ascii="宋体" w:hAnsi="宋体" w:eastAsia="宋体" w:cs="宋体"/>
                <w:sz w:val="18"/>
                <w:szCs w:val="18"/>
                <w:lang w:val="en-US" w:eastAsia="zh-CN"/>
              </w:rPr>
              <w:t>0</w:t>
            </w:r>
          </w:p>
        </w:tc>
        <w:tc>
          <w:tcPr>
            <w:tcW w:w="549" w:type="dxa"/>
            <w:tcBorders>
              <w:top w:val="nil"/>
              <w:left w:val="nil"/>
              <w:bottom w:val="single" w:color="auto" w:sz="6" w:space="0"/>
              <w:right w:val="single" w:color="auto" w:sz="6" w:space="0"/>
            </w:tcBorders>
            <w:shd w:val="clear" w:color="auto" w:fill="auto"/>
            <w:vAlign w:val="center"/>
          </w:tcPr>
          <w:p w14:paraId="667DEA0D">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 w:eastAsia="zh-CN"/>
              </w:rPr>
            </w:pPr>
            <w:r>
              <w:rPr>
                <w:rFonts w:hint="eastAsia" w:ascii="宋体" w:hAnsi="宋体" w:eastAsia="宋体" w:cs="宋体"/>
                <w:sz w:val="18"/>
                <w:szCs w:val="18"/>
                <w:lang w:val="en-US" w:eastAsia="zh-CN"/>
              </w:rPr>
              <w:t>1</w:t>
            </w:r>
          </w:p>
        </w:tc>
        <w:tc>
          <w:tcPr>
            <w:tcW w:w="548" w:type="dxa"/>
            <w:tcBorders>
              <w:top w:val="nil"/>
              <w:left w:val="nil"/>
              <w:bottom w:val="single" w:color="auto" w:sz="6" w:space="0"/>
              <w:right w:val="single" w:color="auto" w:sz="6" w:space="0"/>
            </w:tcBorders>
            <w:shd w:val="clear" w:color="auto" w:fill="auto"/>
            <w:vAlign w:val="center"/>
          </w:tcPr>
          <w:p w14:paraId="498B6A87">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7</w:t>
            </w:r>
          </w:p>
        </w:tc>
        <w:tc>
          <w:tcPr>
            <w:tcW w:w="682" w:type="dxa"/>
            <w:tcBorders>
              <w:top w:val="nil"/>
              <w:left w:val="nil"/>
              <w:bottom w:val="single" w:color="auto" w:sz="6" w:space="0"/>
              <w:right w:val="single" w:color="auto" w:sz="6" w:space="0"/>
            </w:tcBorders>
            <w:shd w:val="clear" w:color="auto" w:fill="auto"/>
            <w:vAlign w:val="center"/>
          </w:tcPr>
          <w:p w14:paraId="3B210D39">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 w:eastAsia="zh-CN"/>
              </w:rPr>
            </w:pPr>
            <w:r>
              <w:rPr>
                <w:rFonts w:hint="eastAsia" w:ascii="宋体" w:hAnsi="宋体" w:eastAsia="宋体" w:cs="宋体"/>
                <w:sz w:val="18"/>
                <w:szCs w:val="18"/>
                <w:lang w:val="en-US" w:eastAsia="zh-CN"/>
              </w:rPr>
              <w:t>1</w:t>
            </w:r>
          </w:p>
        </w:tc>
        <w:tc>
          <w:tcPr>
            <w:tcW w:w="600" w:type="dxa"/>
            <w:tcBorders>
              <w:top w:val="nil"/>
              <w:left w:val="nil"/>
              <w:bottom w:val="single" w:color="auto" w:sz="6" w:space="0"/>
              <w:right w:val="single" w:color="auto" w:sz="6" w:space="0"/>
            </w:tcBorders>
            <w:shd w:val="clear" w:color="auto" w:fill="auto"/>
            <w:vAlign w:val="center"/>
          </w:tcPr>
          <w:p w14:paraId="0E831FD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 w:eastAsia="zh-CN"/>
              </w:rPr>
            </w:pPr>
            <w:r>
              <w:rPr>
                <w:rFonts w:hint="default" w:ascii="宋体" w:hAnsi="宋体" w:eastAsia="宋体" w:cs="宋体"/>
                <w:sz w:val="18"/>
                <w:szCs w:val="18"/>
                <w:lang w:val="en" w:eastAsia="zh-CN"/>
              </w:rPr>
              <w:t>0</w:t>
            </w:r>
          </w:p>
        </w:tc>
        <w:tc>
          <w:tcPr>
            <w:tcW w:w="600" w:type="dxa"/>
            <w:tcBorders>
              <w:top w:val="nil"/>
              <w:left w:val="nil"/>
              <w:bottom w:val="single" w:color="auto" w:sz="6" w:space="0"/>
              <w:right w:val="single" w:color="auto" w:sz="6" w:space="0"/>
            </w:tcBorders>
            <w:shd w:val="clear" w:color="auto" w:fill="auto"/>
            <w:vAlign w:val="center"/>
          </w:tcPr>
          <w:p w14:paraId="2AD586EB">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 w:eastAsia="zh-CN"/>
              </w:rPr>
            </w:pPr>
            <w:r>
              <w:rPr>
                <w:rFonts w:hint="default" w:ascii="宋体" w:hAnsi="宋体" w:eastAsia="宋体" w:cs="宋体"/>
                <w:sz w:val="18"/>
                <w:szCs w:val="18"/>
                <w:lang w:val="en" w:eastAsia="zh-CN"/>
              </w:rPr>
              <w:t>1</w:t>
            </w:r>
          </w:p>
        </w:tc>
        <w:tc>
          <w:tcPr>
            <w:tcW w:w="600" w:type="dxa"/>
            <w:tcBorders>
              <w:top w:val="nil"/>
              <w:left w:val="nil"/>
              <w:bottom w:val="single" w:color="auto" w:sz="6" w:space="0"/>
              <w:right w:val="single" w:color="auto" w:sz="6" w:space="0"/>
            </w:tcBorders>
            <w:shd w:val="clear" w:color="auto" w:fill="auto"/>
            <w:vAlign w:val="center"/>
          </w:tcPr>
          <w:p w14:paraId="2384388F">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503" w:type="dxa"/>
            <w:tcBorders>
              <w:top w:val="nil"/>
              <w:left w:val="nil"/>
              <w:bottom w:val="single" w:color="auto" w:sz="6" w:space="0"/>
              <w:right w:val="single" w:color="auto" w:sz="6" w:space="0"/>
            </w:tcBorders>
            <w:shd w:val="clear" w:color="auto" w:fill="auto"/>
            <w:vAlign w:val="center"/>
          </w:tcPr>
          <w:p w14:paraId="37BC3831">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3</w:t>
            </w:r>
          </w:p>
        </w:tc>
        <w:tc>
          <w:tcPr>
            <w:tcW w:w="712" w:type="dxa"/>
            <w:tcBorders>
              <w:top w:val="nil"/>
              <w:left w:val="nil"/>
              <w:bottom w:val="single" w:color="auto" w:sz="6" w:space="0"/>
              <w:right w:val="single" w:color="auto" w:sz="6" w:space="0"/>
            </w:tcBorders>
            <w:shd w:val="clear" w:color="auto" w:fill="auto"/>
            <w:vAlign w:val="center"/>
          </w:tcPr>
          <w:p w14:paraId="07749D44">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 w:eastAsia="zh-CN"/>
              </w:rPr>
            </w:pPr>
            <w:r>
              <w:rPr>
                <w:rFonts w:hint="default" w:ascii="宋体" w:hAnsi="宋体" w:eastAsia="宋体" w:cs="宋体"/>
                <w:sz w:val="18"/>
                <w:szCs w:val="18"/>
                <w:lang w:val="en" w:eastAsia="zh-CN"/>
              </w:rPr>
              <w:t>0</w:t>
            </w:r>
          </w:p>
        </w:tc>
        <w:tc>
          <w:tcPr>
            <w:tcW w:w="600" w:type="dxa"/>
            <w:tcBorders>
              <w:top w:val="nil"/>
              <w:left w:val="nil"/>
              <w:bottom w:val="single" w:color="auto" w:sz="6" w:space="0"/>
              <w:right w:val="single" w:color="auto" w:sz="6" w:space="0"/>
            </w:tcBorders>
            <w:shd w:val="clear" w:color="auto" w:fill="auto"/>
            <w:vAlign w:val="center"/>
          </w:tcPr>
          <w:p w14:paraId="27EF40D5">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 w:eastAsia="zh-CN"/>
              </w:rPr>
            </w:pPr>
            <w:r>
              <w:rPr>
                <w:rFonts w:hint="default" w:ascii="宋体" w:hAnsi="宋体" w:eastAsia="宋体" w:cs="宋体"/>
                <w:sz w:val="18"/>
                <w:szCs w:val="18"/>
                <w:lang w:val="en" w:eastAsia="zh-CN"/>
              </w:rPr>
              <w:t>0</w:t>
            </w:r>
          </w:p>
        </w:tc>
        <w:tc>
          <w:tcPr>
            <w:tcW w:w="600" w:type="dxa"/>
            <w:tcBorders>
              <w:top w:val="nil"/>
              <w:left w:val="nil"/>
              <w:bottom w:val="single" w:color="auto" w:sz="6" w:space="0"/>
              <w:right w:val="single" w:color="auto" w:sz="6" w:space="0"/>
            </w:tcBorders>
            <w:shd w:val="clear" w:color="auto" w:fill="auto"/>
            <w:vAlign w:val="center"/>
          </w:tcPr>
          <w:p w14:paraId="7291DC73">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 w:eastAsia="zh-CN"/>
              </w:rPr>
            </w:pPr>
            <w:r>
              <w:rPr>
                <w:rFonts w:hint="default" w:ascii="宋体" w:hAnsi="宋体" w:eastAsia="宋体" w:cs="宋体"/>
                <w:sz w:val="18"/>
                <w:szCs w:val="18"/>
                <w:lang w:val="en" w:eastAsia="zh-CN"/>
              </w:rPr>
              <w:t>0</w:t>
            </w:r>
          </w:p>
        </w:tc>
        <w:tc>
          <w:tcPr>
            <w:tcW w:w="600" w:type="dxa"/>
            <w:tcBorders>
              <w:top w:val="nil"/>
              <w:left w:val="nil"/>
              <w:bottom w:val="single" w:color="auto" w:sz="6" w:space="0"/>
              <w:right w:val="single" w:color="auto" w:sz="6" w:space="0"/>
            </w:tcBorders>
            <w:shd w:val="clear" w:color="auto" w:fill="auto"/>
            <w:vAlign w:val="center"/>
          </w:tcPr>
          <w:p w14:paraId="22C469D6">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c>
          <w:tcPr>
            <w:tcW w:w="473" w:type="dxa"/>
            <w:tcBorders>
              <w:top w:val="nil"/>
              <w:left w:val="nil"/>
              <w:bottom w:val="single" w:color="auto" w:sz="6" w:space="0"/>
              <w:right w:val="single" w:color="auto" w:sz="6" w:space="0"/>
            </w:tcBorders>
            <w:shd w:val="clear" w:color="auto" w:fill="auto"/>
            <w:vAlign w:val="center"/>
          </w:tcPr>
          <w:p w14:paraId="45971F82">
            <w:pPr>
              <w:pStyle w:val="6"/>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3" w:lineRule="atLeast"/>
              <w:ind w:left="0" w:leftChars="0" w:right="0" w:rightChars="0" w:firstLine="0" w:firstLineChars="0"/>
              <w:jc w:val="center"/>
              <w:rPr>
                <w:rFonts w:hint="default" w:ascii="宋体" w:hAnsi="宋体" w:eastAsia="宋体" w:cs="宋体"/>
                <w:sz w:val="18"/>
                <w:szCs w:val="18"/>
                <w:lang w:val="en-US" w:eastAsia="zh-CN"/>
              </w:rPr>
            </w:pPr>
            <w:r>
              <w:rPr>
                <w:rFonts w:hint="eastAsia" w:ascii="宋体" w:hAnsi="宋体" w:eastAsia="宋体" w:cs="宋体"/>
                <w:sz w:val="18"/>
                <w:szCs w:val="18"/>
                <w:lang w:val="en-US" w:eastAsia="zh-CN"/>
              </w:rPr>
              <w:t>1</w:t>
            </w:r>
          </w:p>
        </w:tc>
      </w:tr>
    </w:tbl>
    <w:p w14:paraId="30EECC31">
      <w:pPr>
        <w:keepNext w:val="0"/>
        <w:keepLines w:val="0"/>
        <w:pageBreakBefore w:val="0"/>
        <w:widowControl w:val="0"/>
        <w:numPr>
          <w:ilvl w:val="0"/>
          <w:numId w:val="0"/>
        </w:numPr>
        <w:kinsoku/>
        <w:wordWrap/>
        <w:overflowPunct/>
        <w:topLinePunct w:val="0"/>
        <w:autoSpaceDE/>
        <w:autoSpaceDN/>
        <w:bidi w:val="0"/>
        <w:adjustRightInd/>
        <w:snapToGrid/>
        <w:spacing w:line="520" w:lineRule="exact"/>
        <w:textAlignment w:val="auto"/>
        <w:rPr>
          <w:rFonts w:hint="eastAsia" w:ascii="黑体" w:hAnsi="黑体" w:eastAsia="黑体" w:cs="黑体"/>
          <w:b w:val="0"/>
          <w:i w:val="0"/>
          <w:caps w:val="0"/>
          <w:color w:val="212121"/>
          <w:spacing w:val="0"/>
          <w:kern w:val="0"/>
          <w:sz w:val="32"/>
          <w:szCs w:val="32"/>
          <w:shd w:val="clear" w:fill="FFFFFF"/>
          <w:lang w:val="en-US" w:eastAsia="zh-CN" w:bidi="ar"/>
        </w:rPr>
      </w:pPr>
    </w:p>
    <w:p w14:paraId="62304020">
      <w:pPr>
        <w:keepNext w:val="0"/>
        <w:keepLines w:val="0"/>
        <w:pageBreakBefore w:val="0"/>
        <w:widowControl w:val="0"/>
        <w:numPr>
          <w:ilvl w:val="0"/>
          <w:numId w:val="0"/>
        </w:numPr>
        <w:kinsoku/>
        <w:wordWrap/>
        <w:overflowPunct/>
        <w:topLinePunct w:val="0"/>
        <w:autoSpaceDE/>
        <w:autoSpaceDN/>
        <w:bidi w:val="0"/>
        <w:adjustRightInd/>
        <w:snapToGrid/>
        <w:spacing w:line="520" w:lineRule="exact"/>
        <w:textAlignment w:val="auto"/>
        <w:rPr>
          <w:rFonts w:hint="eastAsia" w:ascii="仿宋" w:hAnsi="仿宋" w:eastAsia="仿宋" w:cs="仿宋"/>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 xml:space="preserve">    五、存在的问题及改进情况</w:t>
      </w:r>
    </w:p>
    <w:p w14:paraId="0BA0196F">
      <w:pPr>
        <w:keepNext w:val="0"/>
        <w:keepLines w:val="0"/>
        <w:widowControl/>
        <w:suppressLineNumbers w:val="0"/>
        <w:ind w:firstLine="640" w:firstLineChars="200"/>
        <w:jc w:val="left"/>
        <w:rPr>
          <w:rFonts w:hint="default"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全面审视一年来政府信息公开工作，虽取得了一些进展和成效，但仍存在一些差距和不足。一是政策发布和政策解读方式还需多样化，主动公开的精准性有待提高。二是部分单位主动公开意识有待提高。</w:t>
      </w:r>
    </w:p>
    <w:p w14:paraId="511912CC">
      <w:pPr>
        <w:keepNext w:val="0"/>
        <w:keepLines w:val="0"/>
        <w:widowControl/>
        <w:suppressLineNumbers w:val="0"/>
        <w:ind w:firstLine="640" w:firstLineChars="200"/>
        <w:jc w:val="left"/>
        <w:rPr>
          <w:rFonts w:hint="eastAsia" w:ascii="仿宋_GB2312" w:hAnsi="仿宋_GB2312" w:eastAsia="仿宋_GB2312" w:cs="仿宋_GB2312"/>
          <w:kern w:val="0"/>
          <w:sz w:val="32"/>
          <w:szCs w:val="32"/>
          <w:lang w:val="en-US" w:eastAsia="zh-CN" w:bidi="ar"/>
        </w:rPr>
      </w:pPr>
      <w:r>
        <w:rPr>
          <w:rFonts w:hint="eastAsia" w:ascii="仿宋_GB2312" w:hAnsi="仿宋_GB2312" w:eastAsia="仿宋_GB2312" w:cs="仿宋_GB2312"/>
          <w:kern w:val="0"/>
          <w:sz w:val="32"/>
          <w:szCs w:val="32"/>
          <w:lang w:val="en-US" w:eastAsia="zh-CN" w:bidi="ar"/>
        </w:rPr>
        <w:t>改进措施：一是优化丰富政策解读形式，科学规划公开平台专栏，进一步提高政策发布的针对性、科学性、权威性，使各项政府信息获取更加高效；二是建立健全信息发布、规范转载、实施更新等各项工作机制，把政府信息公开作为建设服务型政府的重要载体和有效形式，融入行政管理全流程和公共服务全过程，进一步拓宽公开内容和渠道，推动政务公开线上线下一体化融合发展。</w:t>
      </w:r>
    </w:p>
    <w:p w14:paraId="510713A9">
      <w:pPr>
        <w:keepNext w:val="0"/>
        <w:keepLines w:val="0"/>
        <w:pageBreakBefore w:val="0"/>
        <w:widowControl w:val="0"/>
        <w:numPr>
          <w:ilvl w:val="0"/>
          <w:numId w:val="4"/>
        </w:numPr>
        <w:kinsoku/>
        <w:wordWrap/>
        <w:overflowPunct/>
        <w:topLinePunct w:val="0"/>
        <w:autoSpaceDE/>
        <w:autoSpaceDN/>
        <w:bidi w:val="0"/>
        <w:adjustRightInd/>
        <w:snapToGrid/>
        <w:spacing w:line="520" w:lineRule="exact"/>
        <w:ind w:left="640" w:leftChars="0" w:firstLine="0" w:firstLineChars="0"/>
        <w:textAlignment w:val="auto"/>
        <w:rPr>
          <w:rFonts w:hint="eastAsia" w:ascii="黑体" w:hAnsi="黑体" w:eastAsia="黑体" w:cs="黑体"/>
          <w:b w:val="0"/>
          <w:i w:val="0"/>
          <w:caps w:val="0"/>
          <w:color w:val="212121"/>
          <w:spacing w:val="0"/>
          <w:kern w:val="0"/>
          <w:sz w:val="32"/>
          <w:szCs w:val="32"/>
          <w:shd w:val="clear" w:fill="FFFFFF"/>
          <w:lang w:val="en-US" w:eastAsia="zh-CN" w:bidi="ar"/>
        </w:rPr>
      </w:pPr>
      <w:r>
        <w:rPr>
          <w:rFonts w:hint="eastAsia" w:ascii="黑体" w:hAnsi="黑体" w:eastAsia="黑体" w:cs="黑体"/>
          <w:b w:val="0"/>
          <w:i w:val="0"/>
          <w:caps w:val="0"/>
          <w:color w:val="212121"/>
          <w:spacing w:val="0"/>
          <w:kern w:val="0"/>
          <w:sz w:val="32"/>
          <w:szCs w:val="32"/>
          <w:shd w:val="clear" w:fill="FFFFFF"/>
          <w:lang w:val="en-US" w:eastAsia="zh-CN" w:bidi="ar"/>
        </w:rPr>
        <w:t>其他需要报告的事项</w:t>
      </w:r>
    </w:p>
    <w:p w14:paraId="05154F60">
      <w:pPr>
        <w:keepNext w:val="0"/>
        <w:keepLines w:val="0"/>
        <w:pageBreakBefore w:val="0"/>
        <w:widowControl w:val="0"/>
        <w:numPr>
          <w:ilvl w:val="0"/>
          <w:numId w:val="0"/>
        </w:numPr>
        <w:kinsoku/>
        <w:wordWrap/>
        <w:overflowPunct/>
        <w:topLinePunct w:val="0"/>
        <w:autoSpaceDE/>
        <w:autoSpaceDN/>
        <w:bidi w:val="0"/>
        <w:adjustRightInd/>
        <w:snapToGrid/>
        <w:spacing w:line="520" w:lineRule="exact"/>
        <w:ind w:firstLine="640" w:firstLineChars="200"/>
        <w:textAlignment w:val="auto"/>
        <w:rPr>
          <w:rFonts w:hint="eastAsia" w:ascii="仿宋_GB2312" w:hAnsi="仿宋_GB2312" w:eastAsia="仿宋_GB2312" w:cs="仿宋_GB2312"/>
          <w:b w:val="0"/>
          <w:i w:val="0"/>
          <w:caps w:val="0"/>
          <w:color w:val="auto"/>
          <w:spacing w:val="0"/>
          <w:kern w:val="0"/>
          <w:sz w:val="32"/>
          <w:szCs w:val="32"/>
          <w:shd w:val="clear" w:fill="FFFFFF"/>
          <w:lang w:val="en-US" w:eastAsia="zh-CN" w:bidi="ar"/>
        </w:rPr>
      </w:pPr>
      <w:r>
        <w:rPr>
          <w:rFonts w:hint="eastAsia" w:ascii="仿宋_GB2312" w:hAnsi="仿宋_GB2312" w:eastAsia="仿宋_GB2312" w:cs="仿宋_GB2312"/>
          <w:b w:val="0"/>
          <w:i w:val="0"/>
          <w:caps w:val="0"/>
          <w:color w:val="auto"/>
          <w:spacing w:val="0"/>
          <w:kern w:val="0"/>
          <w:sz w:val="32"/>
          <w:szCs w:val="32"/>
          <w:shd w:val="clear" w:fill="FFFFFF"/>
          <w:lang w:val="en-US" w:eastAsia="zh-CN" w:bidi="ar"/>
        </w:rPr>
        <w:t>2024年，全区各单位全部免费为申请人提供政府信息，无收取信息处理费情况。</w:t>
      </w:r>
    </w:p>
    <w:p w14:paraId="4758127F">
      <w:pPr>
        <w:keepNext w:val="0"/>
        <w:keepLines w:val="0"/>
        <w:pageBreakBefore w:val="0"/>
        <w:widowControl w:val="0"/>
        <w:numPr>
          <w:ilvl w:val="0"/>
          <w:numId w:val="0"/>
        </w:numPr>
        <w:kinsoku/>
        <w:wordWrap/>
        <w:overflowPunct/>
        <w:topLinePunct w:val="0"/>
        <w:autoSpaceDE/>
        <w:autoSpaceDN/>
        <w:bidi w:val="0"/>
        <w:adjustRightInd/>
        <w:snapToGrid/>
        <w:spacing w:line="520" w:lineRule="exact"/>
        <w:textAlignment w:val="auto"/>
        <w:rPr>
          <w:rFonts w:hint="default" w:ascii="黑体" w:hAnsi="黑体" w:eastAsia="黑体" w:cs="黑体"/>
          <w:b w:val="0"/>
          <w:i w:val="0"/>
          <w:caps w:val="0"/>
          <w:color w:val="212121"/>
          <w:spacing w:val="0"/>
          <w:kern w:val="0"/>
          <w:sz w:val="32"/>
          <w:szCs w:val="32"/>
          <w:shd w:val="clear" w:fill="FFFFFF"/>
          <w:lang w:val="en-US" w:eastAsia="zh-CN" w:bidi="ar"/>
        </w:rPr>
      </w:pPr>
    </w:p>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Nimbus Roman No9 L"/>
    <w:panose1 w:val="02020603050405020304"/>
    <w:charset w:val="CC"/>
    <w:family w:val="auto"/>
    <w:pitch w:val="default"/>
    <w:sig w:usb0="00000000" w:usb1="00000000" w:usb2="00000009" w:usb3="00000000" w:csb0="400001FF" w:csb1="FFFF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Nimbus Roman No9 L">
    <w:panose1 w:val="00000000000000000000"/>
    <w:charset w:val="00"/>
    <w:family w:val="auto"/>
    <w:pitch w:val="default"/>
    <w:sig w:usb0="00000000" w:usb1="00000000" w:usb2="00000000" w:usb3="00000000" w:csb0="00000000" w:csb1="00000000"/>
  </w:font>
  <w:font w:name="Calibri">
    <w:altName w:val="DejaVu Sans"/>
    <w:panose1 w:val="020F0502020204030204"/>
    <w:charset w:val="00"/>
    <w:family w:val="swiss"/>
    <w:pitch w:val="default"/>
    <w:sig w:usb0="00000000" w:usb1="00000000" w:usb2="00000001" w:usb3="00000000" w:csb0="0000019F" w:csb1="00000000"/>
  </w:font>
  <w:font w:name="DejaVu Sans">
    <w:panose1 w:val="020B0603030804020204"/>
    <w:charset w:val="00"/>
    <w:family w:val="auto"/>
    <w:pitch w:val="default"/>
    <w:sig w:usb0="E7006EFF" w:usb1="D200FDFF" w:usb2="0A246029" w:usb3="0400200C" w:csb0="600001FF" w:csb1="DFFF0000"/>
  </w:font>
  <w:font w:name="方正书宋_GBK">
    <w:panose1 w:val="02000000000000000000"/>
    <w:charset w:val="86"/>
    <w:family w:val="auto"/>
    <w:pitch w:val="default"/>
    <w:sig w:usb0="00000001" w:usb1="08000000" w:usb2="00000000" w:usb3="00000000" w:csb0="00040000" w:csb1="00000000"/>
  </w:font>
  <w:font w:name="等线 Light">
    <w:altName w:val="华文仿宋"/>
    <w:panose1 w:val="02010600030001010101"/>
    <w:charset w:val="00"/>
    <w:family w:val="auto"/>
    <w:pitch w:val="default"/>
    <w:sig w:usb0="00000000" w:usb1="00000000" w:usb2="00000016" w:usb3="00000000" w:csb0="0004000F" w:csb1="00000000"/>
  </w:font>
  <w:font w:name="华文仿宋">
    <w:panose1 w:val="02010600040101010101"/>
    <w:charset w:val="86"/>
    <w:family w:val="auto"/>
    <w:pitch w:val="default"/>
    <w:sig w:usb0="00000287" w:usb1="080F0000" w:usb2="00000000" w:usb3="00000000" w:csb0="0004009F" w:csb1="DFD70000"/>
  </w:font>
  <w:font w:name="方正小标宋_GBK">
    <w:panose1 w:val="02000000000000000000"/>
    <w:charset w:val="86"/>
    <w:family w:val="auto"/>
    <w:pitch w:val="default"/>
    <w:sig w:usb0="00000001" w:usb1="08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Microsoft YaHei UI">
    <w:altName w:val="仿宋"/>
    <w:panose1 w:val="00000000000000000000"/>
    <w:charset w:val="00"/>
    <w:family w:val="auto"/>
    <w:pitch w:val="default"/>
    <w:sig w:usb0="00000000" w:usb1="00000000" w:usb2="00000000" w:usb3="00000000" w:csb0="00000000" w:csb1="00000000"/>
  </w:font>
  <w:font w:name="微软雅黑">
    <w:altName w:val="黑体"/>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622B10">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-154305</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57AAEC">
                          <w:pPr>
                            <w:pStyle w:val="4"/>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12.15pt;height:144pt;width:144pt;mso-position-horizontal:outside;mso-position-horizontal-relative:margin;mso-wrap-style:none;z-index:251659264;mso-width-relative:page;mso-height-relative:page;" filled="f" stroked="f" coordsize="21600,21600" o:gfxdata="UEsDBAoAAAAAAIdO4kAAAAAAAAAAAAAAAAAEAAAAZHJzL1BLAwQUAAAACACHTuJABMMZ+NYAAAAI&#10;AQAADwAAAGRycy9kb3ducmV2LnhtbE2PQU/DMAyF70j8h8hI3LZ07TSq0nQSE+WIxLoDx6wxbaFx&#10;qiTryr/HnOBm+z09f6/cL3YUM/owOFKwWScgkFpnBuoUnJp6lYMIUZPRoyNU8I0B9tXtTakL4670&#10;hvMxdoJDKBRaQR/jVEgZ2h6tDms3IbH24bzVkVffSeP1lcPtKNMk2UmrB+IPvZ7w0GP7dbxYBYe6&#10;afyMwY/v+FJnn69PW3xelLq/2ySPICIu8c8Mv/iMDhUznd2FTBCjAi4SFazSbQaC5TTP+XLmYZc9&#10;gKxK+b9A9QNQSwMEFAAAAAgAh07iQGuF+fsxAgAAYQQAAA4AAABkcnMvZTJvRG9jLnhtbK1UzY7T&#10;MBC+I/EOlu80aRGrKmq6KlsVIVXsSgVxdh2nieQ/2W6T8gDwBpy4cOe5+hx8zk8XLRz2wMUZe8bf&#10;zPfNOIvbVklyEs7XRud0OkkpEZqbotaHnH76uHk1p8QHpgsmjRY5PQtPb5cvXywam4mZqYwshCMA&#10;0T5rbE6rEGyWJJ5XQjE/MVZoOEvjFAvYukNSONYAXclklqY3SWNcYZ3hwnucrnsnHRDdcwBNWdZc&#10;rA0/KqFDj+qEZAGUfFVbT5ddtWUpeLgvSy8CkTkF09CtSAJ7H9dkuWDZwTFb1XwogT2nhCecFKs1&#10;kl6h1iwwcnT1X1Cq5s54U4YJNyrpiXSKgMU0faLNrmJWdFwgtbdX0f3/g+UfTg+O1AUmgRLNFBp+&#10;+f7t8uPX5edXMo3yNNZniNpZxIX2rWlj6HDucRhZt6VT8Qs+BH6Ie76KK9pAeLw0n83nKVwcvnED&#10;nOTxunU+vBNGkWjk1KF7najstPWhDx1DYjZtNrWUOGeZ1KTJ6c3rN2l34eoBuNTIEUn0xUYrtPt2&#10;YLA3xRnEnOknw1u+qZF8y3x4YA6jgILxWMI9llIaJDGDRUll3Jd/ncd4dAheShqMVk41XhIl8r1G&#10;5wAYRsONxn409FHdGcwquoFaOhMXXJCjWTqjPuMFrWIOuJjmyJTTMJp3oR9vvEAuVqsu6Ghdfaj6&#10;C5g7y8JW7yyPaaJ63q6OAWJ2GkeBelUG3TB5XZeGVxJH+899F/X4Z1j+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ATDGfjWAAAACAEAAA8AAAAAAAAAAQAgAAAAIgAAAGRycy9kb3ducmV2LnhtbFBL&#10;AQIUABQAAAAIAIdO4kBrhfn7MQIAAGEEAAAOAAAAAAAAAAEAIAAAACUBAABkcnMvZTJvRG9jLnht&#10;bFBLBQYAAAAABgAGAFkBAADIBQAAAAA=&#10;">
              <v:fill on="f" focussize="0,0"/>
              <v:stroke on="f" weight="0.5pt"/>
              <v:imagedata o:title=""/>
              <o:lock v:ext="edit" aspectratio="f"/>
              <v:textbox inset="0mm,0mm,0mm,0mm" style="mso-fit-shape-to-text:t;">
                <w:txbxContent>
                  <w:p w14:paraId="5157AAEC">
                    <w:pPr>
                      <w:pStyle w:val="4"/>
                      <w:rPr>
                        <w:rFonts w:hint="eastAsia" w:eastAsiaTheme="minorEastAsia"/>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lang w:eastAsia="zh-CN"/>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5F8BD0"/>
    <w:multiLevelType w:val="singleLevel"/>
    <w:tmpl w:val="995F8BD0"/>
    <w:lvl w:ilvl="0" w:tentative="0">
      <w:start w:val="2"/>
      <w:numFmt w:val="decimal"/>
      <w:lvlText w:val="%1."/>
      <w:lvlJc w:val="left"/>
      <w:pPr>
        <w:tabs>
          <w:tab w:val="left" w:pos="312"/>
        </w:tabs>
      </w:pPr>
    </w:lvl>
  </w:abstractNum>
  <w:abstractNum w:abstractNumId="1">
    <w:nsid w:val="B3F40A08"/>
    <w:multiLevelType w:val="singleLevel"/>
    <w:tmpl w:val="B3F40A08"/>
    <w:lvl w:ilvl="0" w:tentative="0">
      <w:start w:val="1"/>
      <w:numFmt w:val="chineseCounting"/>
      <w:suff w:val="nothing"/>
      <w:lvlText w:val="%1、"/>
      <w:lvlJc w:val="left"/>
      <w:rPr>
        <w:rFonts w:hint="eastAsia"/>
      </w:rPr>
    </w:lvl>
  </w:abstractNum>
  <w:abstractNum w:abstractNumId="2">
    <w:nsid w:val="BEFFAA02"/>
    <w:multiLevelType w:val="singleLevel"/>
    <w:tmpl w:val="BEFFAA02"/>
    <w:lvl w:ilvl="0" w:tentative="0">
      <w:start w:val="6"/>
      <w:numFmt w:val="chineseCounting"/>
      <w:suff w:val="nothing"/>
      <w:lvlText w:val="%1、"/>
      <w:lvlJc w:val="left"/>
      <w:pPr>
        <w:ind w:left="640" w:leftChars="0" w:firstLine="0" w:firstLineChars="0"/>
      </w:pPr>
      <w:rPr>
        <w:rFonts w:hint="eastAsia"/>
      </w:rPr>
    </w:lvl>
  </w:abstractNum>
  <w:abstractNum w:abstractNumId="3">
    <w:nsid w:val="DC16339F"/>
    <w:multiLevelType w:val="singleLevel"/>
    <w:tmpl w:val="DC16339F"/>
    <w:lvl w:ilvl="0" w:tentative="0">
      <w:start w:val="1"/>
      <w:numFmt w:val="decimal"/>
      <w:lvlText w:val="%1."/>
      <w:lvlJc w:val="left"/>
      <w:pPr>
        <w:tabs>
          <w:tab w:val="left" w:pos="312"/>
        </w:tabs>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FjNmRjNzE1ZTY5NTJhOGFhNDE3NjI4MjIyNjNkYTMifQ=="/>
  </w:docVars>
  <w:rsids>
    <w:rsidRoot w:val="0ECD42F7"/>
    <w:rsid w:val="028E1087"/>
    <w:rsid w:val="03F047CB"/>
    <w:rsid w:val="099E310B"/>
    <w:rsid w:val="0ECD42F7"/>
    <w:rsid w:val="0FD8590D"/>
    <w:rsid w:val="10C5481F"/>
    <w:rsid w:val="117F5134"/>
    <w:rsid w:val="16D55519"/>
    <w:rsid w:val="16FB3DDE"/>
    <w:rsid w:val="18410EC8"/>
    <w:rsid w:val="23673EE6"/>
    <w:rsid w:val="284E68E2"/>
    <w:rsid w:val="34300537"/>
    <w:rsid w:val="38F74CBA"/>
    <w:rsid w:val="395E0217"/>
    <w:rsid w:val="3E0D2D08"/>
    <w:rsid w:val="3F3175CF"/>
    <w:rsid w:val="3FCC0AE2"/>
    <w:rsid w:val="42332FB4"/>
    <w:rsid w:val="46D7F4E4"/>
    <w:rsid w:val="4ABB4C16"/>
    <w:rsid w:val="52A54DFF"/>
    <w:rsid w:val="53AD6F03"/>
    <w:rsid w:val="56DD6C2F"/>
    <w:rsid w:val="598C7EDD"/>
    <w:rsid w:val="5B7202C3"/>
    <w:rsid w:val="5DB58FA8"/>
    <w:rsid w:val="5FE40303"/>
    <w:rsid w:val="5FFFD311"/>
    <w:rsid w:val="66F566B8"/>
    <w:rsid w:val="69A159EE"/>
    <w:rsid w:val="69D25A60"/>
    <w:rsid w:val="6CC83DB3"/>
    <w:rsid w:val="6F7BA6A2"/>
    <w:rsid w:val="6FD91A11"/>
    <w:rsid w:val="70DC453A"/>
    <w:rsid w:val="72B2744F"/>
    <w:rsid w:val="73509B6A"/>
    <w:rsid w:val="75624514"/>
    <w:rsid w:val="75AF8FEF"/>
    <w:rsid w:val="764A669E"/>
    <w:rsid w:val="76FC1898"/>
    <w:rsid w:val="7A99128F"/>
    <w:rsid w:val="7B521ABA"/>
    <w:rsid w:val="7B6F346D"/>
    <w:rsid w:val="7B7F1FA2"/>
    <w:rsid w:val="7B9FB18D"/>
    <w:rsid w:val="7BF70D4B"/>
    <w:rsid w:val="7C737777"/>
    <w:rsid w:val="90DE258B"/>
    <w:rsid w:val="9ADF15D8"/>
    <w:rsid w:val="9EEA1EA5"/>
    <w:rsid w:val="B5F92116"/>
    <w:rsid w:val="BBDD2530"/>
    <w:rsid w:val="BF6CA166"/>
    <w:rsid w:val="CFDF4BA4"/>
    <w:rsid w:val="D9EF5852"/>
    <w:rsid w:val="DB5DAD06"/>
    <w:rsid w:val="DFCBC079"/>
    <w:rsid w:val="E9BA74AC"/>
    <w:rsid w:val="EBBBF860"/>
    <w:rsid w:val="EFFD1401"/>
    <w:rsid w:val="F35DD7E2"/>
    <w:rsid w:val="F7E3A873"/>
    <w:rsid w:val="F9FFDB3E"/>
    <w:rsid w:val="FA6FB81B"/>
    <w:rsid w:val="FBDF40D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customStyle="1" w:styleId="2">
    <w:name w:val="_Style 1"/>
    <w:qFormat/>
    <w:uiPriority w:val="0"/>
    <w:pPr>
      <w:widowControl w:val="0"/>
      <w:jc w:val="both"/>
    </w:pPr>
    <w:rPr>
      <w:rFonts w:ascii="宋体" w:hAnsi="Times New Roman" w:eastAsia="宋体" w:cs="黑体"/>
      <w:kern w:val="2"/>
      <w:sz w:val="32"/>
      <w:szCs w:val="22"/>
      <w:lang w:val="en-US" w:eastAsia="zh-CN" w:bidi="ar-SA"/>
    </w:rPr>
  </w:style>
  <w:style w:type="paragraph" w:styleId="3">
    <w:name w:val="Normal Indent"/>
    <w:basedOn w:val="1"/>
    <w:qFormat/>
    <w:uiPriority w:val="0"/>
    <w:pPr>
      <w:ind w:firstLine="420" w:firstLineChars="200"/>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styleId="7">
    <w:name w:val="Title"/>
    <w:basedOn w:val="1"/>
    <w:next w:val="1"/>
    <w:qFormat/>
    <w:uiPriority w:val="0"/>
    <w:pPr>
      <w:spacing w:before="240" w:after="60"/>
      <w:jc w:val="center"/>
    </w:pPr>
    <w:rPr>
      <w:rFonts w:ascii="等线 Light" w:hAnsi="等线 Light" w:eastAsia="等线 Light" w:cs="Times New Roman"/>
      <w:b/>
      <w:bCs/>
      <w:sz w:val="32"/>
      <w:szCs w:val="32"/>
    </w:rPr>
  </w:style>
  <w:style w:type="character" w:styleId="10">
    <w:name w:val="Hyperlink"/>
    <w:basedOn w:val="9"/>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3</TotalTime>
  <ScaleCrop>false</ScaleCrop>
  <LinksUpToDate>false</LinksUpToDate>
  <CharactersWithSpaces>0</CharactersWithSpaces>
  <Application>WPS Office_12.8.2.1115_F1E327BC-269C-435d-A152-05C5408002CA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2022-01-14T14:25:00Z</dcterms:created>
  <dc:creator>lenovo</dc:creator>
  <cp:lastModifiedBy>greatwall</cp:lastModifiedBy>
  <cp:lastPrinted>2024-02-23T08:54:00Z</cp:lastPrinted>
  <dcterms:modified xsi:type="dcterms:W3CDTF">2025-02-11T15:14:10Z</dcterms:modified>
  <dc:title>石家庄市新华区人民政府</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2052-12.8.2.1115</vt:lpwstr>
  </property>
  <property fmtid="{D5CDD505-2E9C-101B-9397-08002B2CF9AE}" pid="3" name="ICV">
    <vt:lpwstr>F9D761E31E02A6F712D5A267E2AD79C2_42</vt:lpwstr>
  </property>
</Properties>
</file>