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p>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r>
        <w:rPr>
          <w:rFonts w:hint="eastAsia" w:ascii="方正小标宋简体" w:hAnsi="方正小标宋简体" w:eastAsia="方正小标宋简体" w:cs="方正小标宋简体"/>
          <w:color w:val="333333"/>
          <w:sz w:val="44"/>
          <w:szCs w:val="44"/>
        </w:rPr>
        <w:t>石家庄市医疗保障局</w:t>
      </w:r>
    </w:p>
    <w:p>
      <w:pPr>
        <w:keepNext w:val="0"/>
        <w:keepLines w:val="0"/>
        <w:pageBreakBefore w:val="0"/>
        <w:widowControl/>
        <w:kinsoku/>
        <w:wordWrap/>
        <w:overflowPunct/>
        <w:topLinePunct w:val="0"/>
        <w:autoSpaceDE/>
        <w:autoSpaceDN/>
        <w:bidi w:val="0"/>
        <w:adjustRightInd w:val="0"/>
        <w:snapToGrid w:val="0"/>
        <w:spacing w:after="0" w:line="560" w:lineRule="exact"/>
        <w:ind w:right="0" w:rightChars="0"/>
        <w:jc w:val="center"/>
        <w:textAlignment w:val="auto"/>
        <w:outlineLvl w:val="9"/>
        <w:rPr>
          <w:rFonts w:hint="eastAsia" w:ascii="方正小标宋简体" w:hAnsi="方正小标宋简体" w:eastAsia="方正小标宋简体" w:cs="方正小标宋简体"/>
          <w:color w:val="333333"/>
          <w:sz w:val="44"/>
          <w:szCs w:val="44"/>
        </w:rPr>
      </w:pPr>
      <w:r>
        <w:rPr>
          <w:rFonts w:hint="eastAsia" w:ascii="方正小标宋简体" w:hAnsi="方正小标宋简体" w:eastAsia="方正小标宋简体" w:cs="方正小标宋简体"/>
          <w:color w:val="333333"/>
          <w:sz w:val="44"/>
          <w:szCs w:val="44"/>
        </w:rPr>
        <w:t>2020年政府信息公开工作年度报告</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ascii="黑体" w:hAnsi="黑体" w:eastAsia="黑体" w:cs="宋体"/>
          <w:color w:val="333333"/>
          <w:sz w:val="32"/>
          <w:szCs w:val="24"/>
        </w:rPr>
      </w:pP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ascii="黑体" w:hAnsi="黑体" w:eastAsia="黑体" w:cs="宋体"/>
          <w:color w:val="333333"/>
          <w:sz w:val="32"/>
          <w:szCs w:val="24"/>
        </w:rPr>
      </w:pPr>
      <w:r>
        <w:rPr>
          <w:rFonts w:ascii="黑体" w:hAnsi="黑体" w:eastAsia="黑体" w:cs="宋体"/>
          <w:color w:val="333333"/>
          <w:sz w:val="32"/>
          <w:szCs w:val="24"/>
        </w:rPr>
        <w:t>一、总体情况</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color w:val="333333"/>
          <w:sz w:val="32"/>
          <w:szCs w:val="24"/>
        </w:rPr>
      </w:pPr>
      <w:r>
        <w:rPr>
          <w:rFonts w:hint="eastAsia" w:ascii="仿宋_GB2312" w:hAnsi="仿宋_GB2312" w:eastAsia="仿宋_GB2312" w:cs="仿宋_GB2312"/>
          <w:color w:val="333333"/>
          <w:sz w:val="32"/>
          <w:szCs w:val="24"/>
        </w:rPr>
        <w:t>我局始终把政府信息公开作为一项重要工作来抓，在市政府政务公开办公室的悉心指导下，认真贯彻落实《中华人民共和国</w:t>
      </w:r>
      <w:r>
        <w:rPr>
          <w:rFonts w:hint="eastAsia" w:ascii="仿宋_GB2312" w:hAnsi="仿宋_GB2312" w:eastAsia="仿宋_GB2312" w:cs="仿宋_GB2312"/>
          <w:color w:val="333333"/>
          <w:sz w:val="32"/>
          <w:szCs w:val="24"/>
          <w:lang w:eastAsia="zh-CN"/>
        </w:rPr>
        <w:t>政府</w:t>
      </w:r>
      <w:r>
        <w:rPr>
          <w:rFonts w:hint="eastAsia" w:ascii="仿宋_GB2312" w:hAnsi="仿宋_GB2312" w:eastAsia="仿宋_GB2312" w:cs="仿宋_GB2312"/>
          <w:color w:val="333333"/>
          <w:sz w:val="32"/>
          <w:szCs w:val="24"/>
        </w:rPr>
        <w:t>信息公开条例》（以下简称《条例》）以及省市印发的关于政府信息公开工作的文件精神，不断完善信息公开工作制度和平台建设，全面推进重点领域信息公开，坚持以公开为常态、不公开为例外，主动接受社会和群众的监督，确保医保信息公开工作更加及时、透明、</w:t>
      </w:r>
      <w:r>
        <w:rPr>
          <w:rFonts w:hint="eastAsia" w:ascii="仿宋_GB2312" w:hAnsi="仿宋_GB2312" w:eastAsia="仿宋_GB2312" w:cs="仿宋_GB2312"/>
          <w:color w:val="333333"/>
          <w:sz w:val="32"/>
          <w:szCs w:val="24"/>
          <w:lang w:eastAsia="zh-CN"/>
        </w:rPr>
        <w:t>完善</w:t>
      </w:r>
      <w:r>
        <w:rPr>
          <w:rFonts w:hint="eastAsia" w:ascii="仿宋_GB2312" w:hAnsi="仿宋_GB2312" w:eastAsia="仿宋_GB2312" w:cs="仿宋_GB2312"/>
          <w:color w:val="333333"/>
          <w:sz w:val="32"/>
          <w:szCs w:val="24"/>
        </w:rPr>
        <w:t>。</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color w:val="333333"/>
          <w:sz w:val="32"/>
          <w:szCs w:val="24"/>
        </w:rPr>
        <w:t>（一）提高重视程度，加强组织领导。</w:t>
      </w:r>
      <w:r>
        <w:rPr>
          <w:rFonts w:hint="eastAsia" w:ascii="仿宋_GB2312" w:hAnsi="仿宋_GB2312" w:eastAsia="仿宋_GB2312" w:cs="仿宋_GB2312"/>
          <w:sz w:val="32"/>
          <w:szCs w:val="32"/>
        </w:rPr>
        <w:t>我局政务公开工作领导小组负责全局</w:t>
      </w:r>
      <w:r>
        <w:rPr>
          <w:rFonts w:hint="eastAsia" w:ascii="仿宋_GB2312" w:hAnsi="仿宋_GB2312" w:eastAsia="仿宋_GB2312" w:cs="仿宋_GB2312"/>
          <w:bCs/>
          <w:sz w:val="32"/>
          <w:szCs w:val="32"/>
        </w:rPr>
        <w:t>政府信息公开工作的安排部署、统筹推进、督导检查等。局</w:t>
      </w:r>
      <w:r>
        <w:rPr>
          <w:rFonts w:hint="eastAsia" w:ascii="仿宋_GB2312" w:hAnsi="仿宋_GB2312" w:eastAsia="仿宋_GB2312" w:cs="仿宋_GB2312"/>
          <w:sz w:val="32"/>
          <w:szCs w:val="32"/>
        </w:rPr>
        <w:t>办公室指定了一名专职工作人员负责政府信息公开工作，各处室和直属单位各选派了一名政治素质好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有一定工作能力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责任心强的工作人员兼职政府信息公开工作。领导小组多次召开专题会议，要求各处室（单位）加强主动公开，高标准做好政府信息公开工作。</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b w:val="0"/>
          <w:bCs/>
          <w:color w:val="auto"/>
          <w:sz w:val="32"/>
          <w:szCs w:val="32"/>
        </w:rPr>
      </w:pPr>
      <w:r>
        <w:rPr>
          <w:rFonts w:hint="eastAsia" w:ascii="楷体_GB2312" w:hAnsi="楷体_GB2312" w:eastAsia="楷体_GB2312" w:cs="楷体_GB2312"/>
          <w:color w:val="333333"/>
          <w:sz w:val="32"/>
          <w:szCs w:val="24"/>
        </w:rPr>
        <w:t>（二）打造公开平台，积极主动公开。</w:t>
      </w:r>
      <w:r>
        <w:rPr>
          <w:rFonts w:hint="eastAsia" w:ascii="仿宋_GB2312" w:hAnsi="仿宋_GB2312" w:eastAsia="仿宋_GB2312" w:cs="仿宋_GB2312"/>
          <w:color w:val="333333"/>
          <w:sz w:val="32"/>
          <w:szCs w:val="24"/>
        </w:rPr>
        <w:t>我局网站专门设立信息公开栏目，对群众关切的重要行政法规、规章和规范性文件，方便群众办事的工作机构名称、办公地址、机构设置、职能职责，年度工作规划、发展统计公报等内容进行主动公开。2020年通过网站公开了财政预决算、权力清单、行政处罚、4个人大建议和5个政协提案办理结果等工作事项。其中权力清单中，明确列出行政处罚、行政强制、行政给付、行政确认以及其他事项的实施依据、实施对象、办理时限等内容。对</w:t>
      </w:r>
      <w:r>
        <w:rPr>
          <w:rFonts w:hint="eastAsia" w:ascii="仿宋_GB2312" w:hAnsi="仿宋_GB2312" w:eastAsia="仿宋_GB2312" w:cs="仿宋_GB2312"/>
          <w:bCs/>
          <w:sz w:val="32"/>
          <w:szCs w:val="32"/>
        </w:rPr>
        <w:t>《石家庄市生育保险和职工基本医疗保险合并实施细则》、《石家庄市城镇职工基本医疗保险实施办法》、《石家庄市城乡居民基本医疗保险市级统筹实施方案》等十余个</w:t>
      </w:r>
      <w:r>
        <w:rPr>
          <w:rFonts w:hint="eastAsia" w:ascii="仿宋_GB2312" w:hAnsi="仿宋_GB2312" w:eastAsia="仿宋_GB2312" w:cs="仿宋_GB2312"/>
          <w:sz w:val="32"/>
          <w:szCs w:val="32"/>
          <w:shd w:val="clear" w:color="auto" w:fill="FFFFFF"/>
        </w:rPr>
        <w:t>重要政策文件进行了专业解读。</w:t>
      </w:r>
      <w:r>
        <w:rPr>
          <w:rFonts w:hint="eastAsia" w:ascii="仿宋_GB2312" w:hAnsi="仿宋_GB2312" w:eastAsia="仿宋_GB2312" w:cs="仿宋_GB2312"/>
          <w:bCs/>
          <w:sz w:val="32"/>
          <w:szCs w:val="32"/>
        </w:rPr>
        <w:t>2020年我局官网更新通知公告、工作动态、政策文件等412次。</w:t>
      </w:r>
      <w:r>
        <w:rPr>
          <w:rFonts w:hint="eastAsia" w:ascii="仿宋_GB2312" w:hAnsi="仿宋_GB2312" w:eastAsia="仿宋_GB2312" w:cs="仿宋_GB2312"/>
          <w:b w:val="0"/>
          <w:bCs/>
          <w:color w:val="auto"/>
          <w:sz w:val="32"/>
          <w:szCs w:val="32"/>
        </w:rPr>
        <w:t>我局微信公众号自2020年7月1日上线运行以来，定时发布通知公告、政策文件、科普知识等，更新内容140余次，关注量达12500余次。</w:t>
      </w:r>
      <w:r>
        <w:rPr>
          <w:rFonts w:hint="eastAsia" w:ascii="仿宋_GB2312" w:hAnsi="仿宋_GB2312" w:eastAsia="仿宋_GB2312" w:cs="仿宋_GB2312"/>
          <w:b w:val="0"/>
          <w:bCs/>
          <w:color w:val="auto"/>
          <w:sz w:val="32"/>
          <w:szCs w:val="24"/>
        </w:rPr>
        <w:t>今年我局未公开招考公务员，未建设重大项目，没有行政事业性收费项目，因此没有公开相关方面的内容。</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color w:val="333333"/>
          <w:sz w:val="32"/>
          <w:szCs w:val="24"/>
        </w:rPr>
        <w:t>（三）拓宽宣传渠道，强化政策宣传。</w:t>
      </w:r>
      <w:r>
        <w:rPr>
          <w:rFonts w:hint="eastAsia" w:ascii="仿宋_GB2312" w:hAnsi="仿宋_GB2312" w:eastAsia="仿宋_GB2312" w:cs="仿宋_GB2312"/>
          <w:color w:val="333333"/>
          <w:sz w:val="32"/>
          <w:szCs w:val="24"/>
        </w:rPr>
        <w:t>一是</w:t>
      </w:r>
      <w:r>
        <w:rPr>
          <w:rFonts w:hint="eastAsia" w:ascii="仿宋_GB2312" w:hAnsi="仿宋_GB2312" w:eastAsia="仿宋_GB2312" w:cs="仿宋_GB2312"/>
          <w:sz w:val="32"/>
          <w:szCs w:val="32"/>
          <w:shd w:val="clear" w:color="auto" w:fill="FFFFFF"/>
        </w:rPr>
        <w:t>积极</w:t>
      </w:r>
      <w:r>
        <w:rPr>
          <w:rFonts w:hint="eastAsia" w:ascii="仿宋_GB2312" w:hAnsi="仿宋_GB2312" w:eastAsia="仿宋_GB2312" w:cs="仿宋_GB2312"/>
          <w:bCs/>
          <w:sz w:val="32"/>
          <w:szCs w:val="32"/>
        </w:rPr>
        <w:t>与市政府新闻办对接沟通，全年共召开3次新闻发布会，分别对全面推进全民参保计划、</w:t>
      </w:r>
      <w:r>
        <w:rPr>
          <w:rFonts w:hint="eastAsia" w:ascii="仿宋_GB2312" w:hAnsi="仿宋_GB2312" w:eastAsia="仿宋_GB2312" w:cs="仿宋_GB2312"/>
          <w:sz w:val="32"/>
          <w:szCs w:val="32"/>
        </w:rPr>
        <w:t>跟进落实第三批国家组织药品集中采购和城乡居民基本医疗保险市级统筹等工作进行公开发布，及时回应群众关切。二是</w:t>
      </w:r>
      <w:r>
        <w:rPr>
          <w:rFonts w:hint="eastAsia" w:ascii="仿宋_GB2312" w:hAnsi="仿宋_GB2312" w:eastAsia="仿宋_GB2312" w:cs="仿宋_GB2312"/>
          <w:bCs/>
          <w:sz w:val="32"/>
          <w:szCs w:val="32"/>
        </w:rPr>
        <w:t>通过石家庄日报、河北新闻网、河北青年报等省市主流媒体，刊登医保新闻100余篇，对延长</w:t>
      </w:r>
      <w:r>
        <w:rPr>
          <w:rFonts w:hint="eastAsia" w:ascii="仿宋_GB2312" w:hAnsi="仿宋_GB2312" w:eastAsia="仿宋_GB2312" w:cs="仿宋_GB2312"/>
          <w:sz w:val="32"/>
          <w:szCs w:val="32"/>
        </w:rPr>
        <w:t>2020年度基本医疗保险缴费期</w:t>
      </w:r>
      <w:r>
        <w:rPr>
          <w:rFonts w:hint="eastAsia" w:ascii="仿宋_GB2312" w:hAnsi="仿宋_GB2312" w:eastAsia="仿宋_GB2312" w:cs="仿宋_GB2312"/>
          <w:bCs/>
          <w:sz w:val="32"/>
          <w:szCs w:val="32"/>
        </w:rPr>
        <w:t>、阶段性减征企业职工基本医疗保险费、京津30家医院纳入我市医保定点等医保政策进行了广泛宣传报道。接受河北电视台今日资讯、新闻6号线、石家庄电视台民生关注等栏目组采访11次，积极配合新闻媒体做好医保政策宣传。三是开展医保政策宣传进社区活动，通过悬挂条幅、设置咨询台、发放宣传材料等方式，对全民参保、医药服务管理、医保电子凭证、药品集中采购和打击欺诈骗保等政策进行了广泛宣传。接待群众咨询1500余次，发放宣传材料2万余份，进一步提升了人民群众对医保政策的知晓率。</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color w:val="333333"/>
          <w:sz w:val="32"/>
          <w:szCs w:val="24"/>
        </w:rPr>
      </w:pPr>
      <w:r>
        <w:rPr>
          <w:rFonts w:hint="eastAsia" w:ascii="楷体_GB2312" w:hAnsi="楷体_GB2312" w:eastAsia="楷体_GB2312" w:cs="楷体_GB2312"/>
          <w:bCs/>
          <w:sz w:val="32"/>
          <w:szCs w:val="32"/>
        </w:rPr>
        <w:t>（四）强化舆情监测，回应社会关切。</w:t>
      </w:r>
      <w:r>
        <w:rPr>
          <w:rFonts w:hint="eastAsia" w:ascii="仿宋_GB2312" w:hAnsi="仿宋_GB2312" w:eastAsia="仿宋_GB2312" w:cs="仿宋_GB2312"/>
          <w:bCs/>
          <w:sz w:val="32"/>
          <w:szCs w:val="32"/>
        </w:rPr>
        <w:t>为提高政务舆情回应的主动性、针对性、有效性，我局通过购买第三方服务的方式，</w:t>
      </w:r>
      <w:bookmarkStart w:id="0" w:name="_GoBack"/>
      <w:bookmarkEnd w:id="0"/>
      <w:r>
        <w:rPr>
          <w:rFonts w:hint="eastAsia" w:ascii="仿宋_GB2312" w:hAnsi="仿宋_GB2312" w:eastAsia="仿宋_GB2312" w:cs="仿宋_GB2312"/>
          <w:bCs/>
          <w:sz w:val="32"/>
          <w:szCs w:val="32"/>
        </w:rPr>
        <w:t>对全市医保系统政务舆情进行实时监测，实行舆情监测周报、月报、半年报制度，及时呈局领导，并印发各县（市、区）局，确保发生舆情时能够及时预警、科学研判、稳妥处置、有效回应。</w:t>
      </w:r>
    </w:p>
    <w:p>
      <w:pPr>
        <w:keepNext w:val="0"/>
        <w:keepLines w:val="0"/>
        <w:pageBreakBefore w:val="0"/>
        <w:widowControl/>
        <w:kinsoku/>
        <w:wordWrap/>
        <w:overflowPunct/>
        <w:topLinePunct w:val="0"/>
        <w:autoSpaceDE/>
        <w:autoSpaceDN/>
        <w:bidi w:val="0"/>
        <w:adjustRightInd w:val="0"/>
        <w:snapToGrid w:val="0"/>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color w:val="333333"/>
          <w:sz w:val="32"/>
          <w:szCs w:val="24"/>
        </w:rPr>
        <w:t>（五）</w:t>
      </w:r>
      <w:r>
        <w:rPr>
          <w:rFonts w:hint="eastAsia" w:ascii="楷体_GB2312" w:hAnsi="楷体_GB2312" w:eastAsia="楷体_GB2312" w:cs="楷体_GB2312"/>
          <w:sz w:val="32"/>
          <w:szCs w:val="32"/>
        </w:rPr>
        <w:t>规范政府信息依申请公开办理。</w:t>
      </w:r>
      <w:r>
        <w:rPr>
          <w:rFonts w:hint="eastAsia" w:ascii="仿宋_GB2312" w:hAnsi="仿宋_GB2312" w:eastAsia="仿宋_GB2312" w:cs="仿宋_GB2312"/>
          <w:sz w:val="32"/>
          <w:szCs w:val="32"/>
        </w:rPr>
        <w:t>印发了《石家庄市医疗保障局依申请公开政府信息工作制度》，具体规定了申请公开我局政府信息形式、流程、答复时限等内容，为我局办理依申请公开工作提供了规范性指导。今年以来，我局未收到公开政府信息申请，未引起行政复议、行政诉讼。</w:t>
      </w:r>
    </w:p>
    <w:p>
      <w:pPr>
        <w:adjustRightInd/>
        <w:snapToGrid/>
        <w:spacing w:line="480" w:lineRule="atLeast"/>
        <w:ind w:firstLine="480"/>
        <w:rPr>
          <w:rFonts w:hint="eastAsia" w:ascii="黑体" w:hAnsi="黑体" w:eastAsia="黑体" w:cs="宋体"/>
          <w:color w:val="333333"/>
          <w:sz w:val="32"/>
          <w:szCs w:val="24"/>
        </w:rPr>
      </w:pPr>
      <w:r>
        <w:rPr>
          <w:rFonts w:ascii="黑体" w:hAnsi="黑体" w:eastAsia="黑体" w:cs="宋体"/>
          <w:color w:val="333333"/>
          <w:sz w:val="32"/>
          <w:szCs w:val="24"/>
        </w:rPr>
        <w:t>二、主动公开政府信息情况</w:t>
      </w:r>
    </w:p>
    <w:tbl>
      <w:tblPr>
        <w:tblStyle w:val="4"/>
        <w:tblW w:w="8376" w:type="dxa"/>
        <w:jc w:val="center"/>
        <w:tblLayout w:type="fixed"/>
        <w:tblCellMar>
          <w:top w:w="15" w:type="dxa"/>
          <w:left w:w="15" w:type="dxa"/>
          <w:bottom w:w="15" w:type="dxa"/>
          <w:right w:w="15" w:type="dxa"/>
        </w:tblCellMar>
      </w:tblPr>
      <w:tblGrid>
        <w:gridCol w:w="2808"/>
        <w:gridCol w:w="305"/>
        <w:gridCol w:w="1765"/>
        <w:gridCol w:w="125"/>
        <w:gridCol w:w="1265"/>
        <w:gridCol w:w="6"/>
        <w:gridCol w:w="2102"/>
      </w:tblGrid>
      <w:tr>
        <w:tblPrEx>
          <w:tblCellMar>
            <w:top w:w="15" w:type="dxa"/>
            <w:left w:w="15" w:type="dxa"/>
            <w:bottom w:w="15" w:type="dxa"/>
            <w:right w:w="15" w:type="dxa"/>
          </w:tblCellMar>
        </w:tblPrEx>
        <w:trPr>
          <w:trHeight w:val="655" w:hRule="atLeast"/>
          <w:jc w:val="center"/>
        </w:trPr>
        <w:tc>
          <w:tcPr>
            <w:tcW w:w="8376" w:type="dxa"/>
            <w:gridSpan w:val="7"/>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第二十条第（一）项</w:t>
            </w:r>
          </w:p>
        </w:tc>
      </w:tr>
      <w:tr>
        <w:tblPrEx>
          <w:tblCellMar>
            <w:top w:w="15" w:type="dxa"/>
            <w:left w:w="15" w:type="dxa"/>
            <w:bottom w:w="15" w:type="dxa"/>
            <w:right w:w="15" w:type="dxa"/>
          </w:tblCellMar>
        </w:tblPrEx>
        <w:trPr>
          <w:trHeight w:val="882"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189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本年新</w:t>
            </w:r>
            <w:r>
              <w:rPr>
                <w:rFonts w:hint="eastAsia" w:ascii="仿宋" w:hAnsi="仿宋" w:eastAsia="仿宋" w:cs="宋体"/>
                <w:sz w:val="24"/>
                <w:szCs w:val="24"/>
              </w:rPr>
              <w:br w:type="textWrapping"/>
            </w:r>
            <w:r>
              <w:rPr>
                <w:rFonts w:hint="eastAsia" w:ascii="仿宋" w:hAnsi="仿宋" w:eastAsia="仿宋" w:cs="宋体"/>
                <w:sz w:val="24"/>
                <w:szCs w:val="24"/>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本年新</w:t>
            </w:r>
            <w:r>
              <w:rPr>
                <w:rFonts w:hint="eastAsia" w:ascii="仿宋" w:hAnsi="仿宋" w:eastAsia="仿宋" w:cs="宋体"/>
                <w:sz w:val="24"/>
                <w:szCs w:val="24"/>
              </w:rPr>
              <w:br w:type="textWrapping"/>
            </w:r>
            <w:r>
              <w:rPr>
                <w:rFonts w:hint="eastAsia" w:ascii="仿宋" w:hAnsi="仿宋" w:eastAsia="仿宋" w:cs="宋体"/>
                <w:sz w:val="24"/>
                <w:szCs w:val="24"/>
              </w:rPr>
              <w:t>公开数量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对外公开总数量</w:t>
            </w:r>
          </w:p>
        </w:tc>
      </w:tr>
      <w:tr>
        <w:tblPrEx>
          <w:tblCellMar>
            <w:top w:w="15" w:type="dxa"/>
            <w:left w:w="15" w:type="dxa"/>
            <w:bottom w:w="15" w:type="dxa"/>
            <w:right w:w="15" w:type="dxa"/>
          </w:tblCellMar>
        </w:tblPrEx>
        <w:trPr>
          <w:trHeight w:val="523"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规章</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471"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规范性文件</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宋体"/>
                <w:sz w:val="24"/>
                <w:szCs w:val="24"/>
                <w:lang w:val="en"/>
              </w:rPr>
              <w:t>1</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仿宋"/>
                <w:sz w:val="24"/>
                <w:szCs w:val="24"/>
                <w:lang w:val="en"/>
              </w:rPr>
              <w:t>1</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hint="default" w:ascii="宋体" w:hAnsi="宋体" w:eastAsia="宋体" w:cs="宋体"/>
                <w:sz w:val="24"/>
                <w:szCs w:val="24"/>
                <w:lang w:val="en"/>
              </w:rPr>
            </w:pPr>
            <w:r>
              <w:rPr>
                <w:rFonts w:hint="default" w:ascii="仿宋" w:hAnsi="仿宋" w:eastAsia="仿宋" w:cs="宋体"/>
                <w:sz w:val="24"/>
                <w:szCs w:val="24"/>
                <w:lang w:val="en"/>
              </w:rPr>
              <w:t>2</w:t>
            </w:r>
          </w:p>
        </w:tc>
      </w:tr>
      <w:tr>
        <w:tblPrEx>
          <w:tblCellMar>
            <w:top w:w="15" w:type="dxa"/>
            <w:left w:w="15" w:type="dxa"/>
            <w:bottom w:w="15" w:type="dxa"/>
            <w:right w:w="15" w:type="dxa"/>
          </w:tblCellMar>
        </w:tblPrEx>
        <w:trPr>
          <w:trHeight w:val="735"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第二十条第（五）项</w:t>
            </w:r>
          </w:p>
        </w:tc>
      </w:tr>
      <w:tr>
        <w:tblPrEx>
          <w:tblCellMar>
            <w:top w:w="15" w:type="dxa"/>
            <w:left w:w="15" w:type="dxa"/>
            <w:bottom w:w="15" w:type="dxa"/>
            <w:right w:w="15" w:type="dxa"/>
          </w:tblCellMar>
        </w:tblPrEx>
        <w:trPr>
          <w:trHeight w:val="634"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07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上一年项目数量</w:t>
            </w:r>
          </w:p>
        </w:tc>
        <w:tc>
          <w:tcPr>
            <w:tcW w:w="1396"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本年增/减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处理决定数量</w:t>
            </w:r>
          </w:p>
        </w:tc>
      </w:tr>
      <w:tr>
        <w:tblPrEx>
          <w:tblCellMar>
            <w:top w:w="15" w:type="dxa"/>
            <w:left w:w="15" w:type="dxa"/>
            <w:bottom w:w="15" w:type="dxa"/>
            <w:right w:w="15" w:type="dxa"/>
          </w:tblCellMar>
        </w:tblPrEx>
        <w:trPr>
          <w:trHeight w:val="528"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行政许可</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550"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其他对外管理服务事项</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720"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第二十条第（六）项</w:t>
            </w:r>
          </w:p>
        </w:tc>
      </w:tr>
      <w:tr>
        <w:tblPrEx>
          <w:tblCellMar>
            <w:top w:w="15" w:type="dxa"/>
            <w:left w:w="15" w:type="dxa"/>
            <w:bottom w:w="15" w:type="dxa"/>
            <w:right w:w="15" w:type="dxa"/>
          </w:tblCellMar>
        </w:tblPrEx>
        <w:trPr>
          <w:trHeight w:val="686"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070"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上一年项目数量</w:t>
            </w:r>
          </w:p>
        </w:tc>
        <w:tc>
          <w:tcPr>
            <w:tcW w:w="1396" w:type="dxa"/>
            <w:gridSpan w:val="3"/>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本年增/减</w:t>
            </w:r>
          </w:p>
        </w:tc>
        <w:tc>
          <w:tcPr>
            <w:tcW w:w="210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90" w:lineRule="atLeast"/>
              <w:jc w:val="center"/>
              <w:rPr>
                <w:rFonts w:ascii="宋体" w:hAnsi="宋体" w:eastAsia="宋体" w:cs="宋体"/>
                <w:sz w:val="24"/>
                <w:szCs w:val="24"/>
              </w:rPr>
            </w:pPr>
            <w:r>
              <w:rPr>
                <w:rFonts w:hint="eastAsia" w:ascii="仿宋" w:hAnsi="仿宋" w:eastAsia="仿宋" w:cs="宋体"/>
                <w:sz w:val="24"/>
                <w:szCs w:val="24"/>
              </w:rPr>
              <w:t>处理决定数量</w:t>
            </w:r>
          </w:p>
        </w:tc>
      </w:tr>
      <w:tr>
        <w:tblPrEx>
          <w:tblCellMar>
            <w:top w:w="15" w:type="dxa"/>
            <w:left w:w="15" w:type="dxa"/>
            <w:bottom w:w="15" w:type="dxa"/>
            <w:right w:w="15" w:type="dxa"/>
          </w:tblCellMar>
        </w:tblPrEx>
        <w:trPr>
          <w:trHeight w:val="430"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行政处罚</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1</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1</w:t>
            </w:r>
          </w:p>
        </w:tc>
      </w:tr>
      <w:tr>
        <w:tblPrEx>
          <w:tblCellMar>
            <w:top w:w="15" w:type="dxa"/>
            <w:left w:w="15" w:type="dxa"/>
            <w:bottom w:w="15" w:type="dxa"/>
            <w:right w:w="15" w:type="dxa"/>
          </w:tblCellMar>
        </w:tblPrEx>
        <w:trPr>
          <w:trHeight w:val="409"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行政强制</w:t>
            </w:r>
          </w:p>
        </w:tc>
        <w:tc>
          <w:tcPr>
            <w:tcW w:w="207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13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210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915"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第二十条第（八）项</w:t>
            </w:r>
          </w:p>
        </w:tc>
      </w:tr>
      <w:tr>
        <w:tblPrEx>
          <w:tblCellMar>
            <w:top w:w="15" w:type="dxa"/>
            <w:left w:w="15" w:type="dxa"/>
            <w:bottom w:w="15" w:type="dxa"/>
            <w:right w:w="15" w:type="dxa"/>
          </w:tblCellMar>
        </w:tblPrEx>
        <w:trPr>
          <w:trHeight w:val="705"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2195"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上一年项目数量</w:t>
            </w:r>
          </w:p>
        </w:tc>
        <w:tc>
          <w:tcPr>
            <w:tcW w:w="3373" w:type="dxa"/>
            <w:gridSpan w:val="3"/>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本年增/减</w:t>
            </w:r>
          </w:p>
        </w:tc>
      </w:tr>
      <w:tr>
        <w:tblPrEx>
          <w:tblCellMar>
            <w:top w:w="15" w:type="dxa"/>
            <w:left w:w="15" w:type="dxa"/>
            <w:bottom w:w="15" w:type="dxa"/>
            <w:right w:w="15" w:type="dxa"/>
          </w:tblCellMar>
        </w:tblPrEx>
        <w:trPr>
          <w:trHeight w:val="551" w:hRule="atLeast"/>
          <w:jc w:val="center"/>
        </w:trPr>
        <w:tc>
          <w:tcPr>
            <w:tcW w:w="2808"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行政事业性收费</w:t>
            </w:r>
          </w:p>
        </w:tc>
        <w:tc>
          <w:tcPr>
            <w:tcW w:w="2195" w:type="dxa"/>
            <w:gridSpan w:val="3"/>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3373"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870" w:hRule="atLeast"/>
          <w:jc w:val="center"/>
        </w:trPr>
        <w:tc>
          <w:tcPr>
            <w:tcW w:w="8376" w:type="dxa"/>
            <w:gridSpan w:val="7"/>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第二十条第（九）项</w:t>
            </w:r>
          </w:p>
        </w:tc>
      </w:tr>
      <w:tr>
        <w:tblPrEx>
          <w:tblCellMar>
            <w:top w:w="15" w:type="dxa"/>
            <w:left w:w="15" w:type="dxa"/>
            <w:bottom w:w="15" w:type="dxa"/>
            <w:right w:w="15" w:type="dxa"/>
          </w:tblCellMar>
        </w:tblPrEx>
        <w:trPr>
          <w:trHeight w:val="750"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信息内容</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采购项目数量</w:t>
            </w:r>
          </w:p>
        </w:tc>
        <w:tc>
          <w:tcPr>
            <w:tcW w:w="3373" w:type="dxa"/>
            <w:gridSpan w:val="3"/>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采购总金额</w:t>
            </w:r>
          </w:p>
        </w:tc>
      </w:tr>
      <w:tr>
        <w:tblPrEx>
          <w:tblCellMar>
            <w:top w:w="15" w:type="dxa"/>
            <w:left w:w="15" w:type="dxa"/>
            <w:bottom w:w="15" w:type="dxa"/>
            <w:right w:w="15" w:type="dxa"/>
          </w:tblCellMar>
        </w:tblPrEx>
        <w:trPr>
          <w:trHeight w:val="694" w:hRule="atLeast"/>
          <w:jc w:val="center"/>
        </w:trPr>
        <w:tc>
          <w:tcPr>
            <w:tcW w:w="3113" w:type="dxa"/>
            <w:gridSpan w:val="2"/>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政府集中采购</w:t>
            </w:r>
          </w:p>
        </w:tc>
        <w:tc>
          <w:tcPr>
            <w:tcW w:w="189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2</w:t>
            </w:r>
          </w:p>
        </w:tc>
        <w:tc>
          <w:tcPr>
            <w:tcW w:w="3373" w:type="dxa"/>
            <w:gridSpan w:val="3"/>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34</w:t>
            </w:r>
            <w:r>
              <w:rPr>
                <w:rFonts w:hint="eastAsia" w:ascii="仿宋" w:hAnsi="仿宋" w:eastAsia="仿宋" w:cs="宋体"/>
                <w:sz w:val="24"/>
                <w:szCs w:val="24"/>
                <w:lang w:val="en-US" w:eastAsia="zh-CN"/>
              </w:rPr>
              <w:t>6.7</w:t>
            </w:r>
            <w:r>
              <w:rPr>
                <w:rFonts w:hint="eastAsia" w:ascii="仿宋" w:hAnsi="仿宋" w:eastAsia="仿宋" w:cs="宋体"/>
                <w:sz w:val="24"/>
                <w:szCs w:val="24"/>
              </w:rPr>
              <w:t>万元</w:t>
            </w:r>
          </w:p>
        </w:tc>
      </w:tr>
    </w:tbl>
    <w:p>
      <w:pPr>
        <w:adjustRightInd/>
        <w:snapToGrid/>
        <w:spacing w:line="480" w:lineRule="atLeast"/>
        <w:ind w:firstLine="480"/>
        <w:rPr>
          <w:rFonts w:hint="eastAsia" w:ascii="黑体" w:hAnsi="黑体" w:eastAsia="黑体" w:cs="宋体"/>
          <w:color w:val="333333"/>
          <w:sz w:val="32"/>
          <w:szCs w:val="32"/>
        </w:rPr>
      </w:pPr>
      <w:r>
        <w:rPr>
          <w:rFonts w:ascii="黑体" w:hAnsi="黑体" w:eastAsia="黑体" w:cs="宋体"/>
          <w:color w:val="333333"/>
          <w:sz w:val="32"/>
          <w:szCs w:val="32"/>
        </w:rPr>
        <w:t>三、收到和处理政府信息公开申请情况</w:t>
      </w:r>
    </w:p>
    <w:tbl>
      <w:tblPr>
        <w:tblStyle w:val="4"/>
        <w:tblW w:w="8522" w:type="dxa"/>
        <w:jc w:val="center"/>
        <w:tblLayout w:type="fixed"/>
        <w:tblCellMar>
          <w:top w:w="15" w:type="dxa"/>
          <w:left w:w="15" w:type="dxa"/>
          <w:bottom w:w="15" w:type="dxa"/>
          <w:right w:w="15" w:type="dxa"/>
        </w:tblCellMar>
      </w:tblPr>
      <w:tblGrid>
        <w:gridCol w:w="807"/>
        <w:gridCol w:w="853"/>
        <w:gridCol w:w="1485"/>
        <w:gridCol w:w="1080"/>
        <w:gridCol w:w="623"/>
        <w:gridCol w:w="680"/>
        <w:gridCol w:w="812"/>
        <w:gridCol w:w="795"/>
        <w:gridCol w:w="735"/>
        <w:gridCol w:w="652"/>
      </w:tblGrid>
      <w:tr>
        <w:tblPrEx>
          <w:tblCellMar>
            <w:top w:w="15" w:type="dxa"/>
            <w:left w:w="15" w:type="dxa"/>
            <w:bottom w:w="15" w:type="dxa"/>
            <w:right w:w="15" w:type="dxa"/>
          </w:tblCellMar>
        </w:tblPrEx>
        <w:trPr>
          <w:jc w:val="center"/>
        </w:trPr>
        <w:tc>
          <w:tcPr>
            <w:tcW w:w="3145"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（本列数据的勾稽关系为：第一项加第二项之和，等于第三项加第四项之和）</w:t>
            </w:r>
          </w:p>
        </w:tc>
        <w:tc>
          <w:tcPr>
            <w:tcW w:w="5377"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申请人情况</w:t>
            </w:r>
          </w:p>
        </w:tc>
      </w:tr>
      <w:tr>
        <w:tblPrEx>
          <w:tblCellMar>
            <w:top w:w="15" w:type="dxa"/>
            <w:left w:w="15" w:type="dxa"/>
            <w:bottom w:w="15" w:type="dxa"/>
            <w:right w:w="15" w:type="dxa"/>
          </w:tblCellMar>
        </w:tblPrEx>
        <w:trPr>
          <w:jc w:val="center"/>
        </w:trPr>
        <w:tc>
          <w:tcPr>
            <w:tcW w:w="3145" w:type="dxa"/>
            <w:gridSpan w:val="3"/>
            <w:vMerge w:val="continue"/>
            <w:tcBorders>
              <w:top w:val="single" w:color="auto" w:sz="8" w:space="0"/>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080"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自然人</w:t>
            </w:r>
          </w:p>
        </w:tc>
        <w:tc>
          <w:tcPr>
            <w:tcW w:w="3645"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法人或其他组织</w:t>
            </w:r>
          </w:p>
        </w:tc>
        <w:tc>
          <w:tcPr>
            <w:tcW w:w="652"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r>
      <w:tr>
        <w:tblPrEx>
          <w:tblCellMar>
            <w:top w:w="15" w:type="dxa"/>
            <w:left w:w="15" w:type="dxa"/>
            <w:bottom w:w="15" w:type="dxa"/>
            <w:right w:w="15" w:type="dxa"/>
          </w:tblCellMar>
        </w:tblPrEx>
        <w:trPr>
          <w:jc w:val="center"/>
        </w:trPr>
        <w:tc>
          <w:tcPr>
            <w:tcW w:w="3145" w:type="dxa"/>
            <w:gridSpan w:val="3"/>
            <w:vMerge w:val="continue"/>
            <w:tcBorders>
              <w:top w:val="single" w:color="auto" w:sz="8" w:space="0"/>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080"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商业企业</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科研机构</w:t>
            </w:r>
          </w:p>
        </w:tc>
        <w:tc>
          <w:tcPr>
            <w:tcW w:w="81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社会公益组织</w:t>
            </w:r>
          </w:p>
        </w:tc>
        <w:tc>
          <w:tcPr>
            <w:tcW w:w="79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法律服务机构</w:t>
            </w:r>
          </w:p>
        </w:tc>
        <w:tc>
          <w:tcPr>
            <w:tcW w:w="73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w:t>
            </w:r>
          </w:p>
        </w:tc>
        <w:tc>
          <w:tcPr>
            <w:tcW w:w="652"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r>
      <w:tr>
        <w:tblPrEx>
          <w:tblCellMar>
            <w:top w:w="15" w:type="dxa"/>
            <w:left w:w="15" w:type="dxa"/>
            <w:bottom w:w="15" w:type="dxa"/>
            <w:right w:w="15" w:type="dxa"/>
          </w:tblCellMar>
        </w:tblPrEx>
        <w:trPr>
          <w:trHeight w:val="810" w:hRule="atLeast"/>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一、本年新收政府信息公开申请数量</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仿宋"/>
                <w:sz w:val="24"/>
                <w:szCs w:val="24"/>
              </w:rPr>
              <w:t>0</w:t>
            </w:r>
          </w:p>
        </w:tc>
      </w:tr>
      <w:tr>
        <w:tblPrEx>
          <w:tblCellMar>
            <w:top w:w="15" w:type="dxa"/>
            <w:left w:w="15" w:type="dxa"/>
            <w:bottom w:w="15" w:type="dxa"/>
            <w:right w:w="15" w:type="dxa"/>
          </w:tblCellMar>
        </w:tblPrEx>
        <w:trPr>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二、上年结转政府信息公开申请数量</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三、本年度办理结果</w:t>
            </w: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（一）予以公开</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（二）部分公开（区分处理的，只计这一情形，不计其他情形）</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（三）不予公开</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1.属于国家秘密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2.其他法律行政法规禁止公开</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1320"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3.危及“三安全一稳定”</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330"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4.保护第三方合法权益</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5.属于三类内部事务信息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trHeight w:val="1306"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6.属于四类过程性信息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7.属于行政执法案卷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8.属于行政查询事项</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（四）无法提供</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1.本机关不掌握相关政府信息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2.没有现成信息需要另行制作</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3.补正后申请内容仍不明确</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（五）不予处理</w:t>
            </w: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1.信访举报投诉类申请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2.重复申请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3.要求提供公开出版物</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trHeight w:val="694" w:hRule="atLeast"/>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4.无正当理由大量反复申请</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853"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148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5.要求行政机关确认或重新出具已获取信息</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（六）其他处理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r>
        <w:tblPrEx>
          <w:tblCellMar>
            <w:top w:w="15" w:type="dxa"/>
            <w:left w:w="15" w:type="dxa"/>
            <w:bottom w:w="15" w:type="dxa"/>
            <w:right w:w="15" w:type="dxa"/>
          </w:tblCellMar>
        </w:tblPrEx>
        <w:trPr>
          <w:jc w:val="center"/>
        </w:trPr>
        <w:tc>
          <w:tcPr>
            <w:tcW w:w="80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2338"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（七）总计</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r>
      <w:tr>
        <w:tblPrEx>
          <w:tblCellMar>
            <w:top w:w="15" w:type="dxa"/>
            <w:left w:w="15" w:type="dxa"/>
            <w:bottom w:w="15" w:type="dxa"/>
            <w:right w:w="15" w:type="dxa"/>
          </w:tblCellMar>
        </w:tblPrEx>
        <w:trPr>
          <w:jc w:val="center"/>
        </w:trPr>
        <w:tc>
          <w:tcPr>
            <w:tcW w:w="3145"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rPr>
                <w:rFonts w:ascii="宋体" w:hAnsi="宋体" w:eastAsia="宋体" w:cs="宋体"/>
                <w:sz w:val="24"/>
                <w:szCs w:val="24"/>
              </w:rPr>
            </w:pPr>
            <w:r>
              <w:rPr>
                <w:rFonts w:hint="eastAsia" w:ascii="仿宋" w:hAnsi="仿宋" w:eastAsia="仿宋" w:cs="宋体"/>
                <w:sz w:val="24"/>
                <w:szCs w:val="24"/>
              </w:rPr>
              <w:t>四、结转下年度继续办理</w:t>
            </w:r>
          </w:p>
        </w:tc>
        <w:tc>
          <w:tcPr>
            <w:tcW w:w="10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2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8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81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79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73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652"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bl>
    <w:p>
      <w:pPr>
        <w:adjustRightInd/>
        <w:snapToGrid/>
        <w:spacing w:line="480" w:lineRule="atLeast"/>
        <w:rPr>
          <w:rFonts w:hint="eastAsia" w:ascii="黑体" w:hAnsi="黑体" w:eastAsia="黑体" w:cs="宋体"/>
          <w:color w:val="333333"/>
          <w:sz w:val="24"/>
          <w:szCs w:val="24"/>
        </w:rPr>
      </w:pPr>
      <w:r>
        <w:rPr>
          <w:rFonts w:hint="eastAsia" w:ascii="宋体" w:hAnsi="宋体" w:eastAsia="宋体" w:cs="宋体"/>
          <w:color w:val="333333"/>
          <w:sz w:val="32"/>
          <w:szCs w:val="32"/>
        </w:rPr>
        <w:t> </w:t>
      </w:r>
      <w:r>
        <w:rPr>
          <w:rFonts w:ascii="黑体" w:hAnsi="黑体" w:eastAsia="黑体" w:cs="宋体"/>
          <w:color w:val="333333"/>
          <w:sz w:val="32"/>
          <w:szCs w:val="32"/>
        </w:rPr>
        <w:t>四、政府信息公开行政复议、行政诉讼情况</w:t>
      </w:r>
    </w:p>
    <w:tbl>
      <w:tblPr>
        <w:tblStyle w:val="4"/>
        <w:tblW w:w="8522" w:type="dxa"/>
        <w:jc w:val="center"/>
        <w:tblLayout w:type="fixed"/>
        <w:tblCellMar>
          <w:top w:w="15" w:type="dxa"/>
          <w:left w:w="15" w:type="dxa"/>
          <w:bottom w:w="15" w:type="dxa"/>
          <w:right w:w="15" w:type="dxa"/>
        </w:tblCellMar>
      </w:tblPr>
      <w:tblGrid>
        <w:gridCol w:w="577"/>
        <w:gridCol w:w="576"/>
        <w:gridCol w:w="576"/>
        <w:gridCol w:w="576"/>
        <w:gridCol w:w="576"/>
        <w:gridCol w:w="576"/>
        <w:gridCol w:w="576"/>
        <w:gridCol w:w="576"/>
        <w:gridCol w:w="576"/>
        <w:gridCol w:w="576"/>
        <w:gridCol w:w="576"/>
        <w:gridCol w:w="576"/>
        <w:gridCol w:w="576"/>
        <w:gridCol w:w="576"/>
        <w:gridCol w:w="457"/>
      </w:tblGrid>
      <w:tr>
        <w:tblPrEx>
          <w:tblCellMar>
            <w:top w:w="15" w:type="dxa"/>
            <w:left w:w="15" w:type="dxa"/>
            <w:bottom w:w="15" w:type="dxa"/>
            <w:right w:w="15" w:type="dxa"/>
          </w:tblCellMar>
        </w:tblPrEx>
        <w:trPr>
          <w:jc w:val="center"/>
        </w:trPr>
        <w:tc>
          <w:tcPr>
            <w:tcW w:w="2881"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行政复议</w:t>
            </w:r>
          </w:p>
        </w:tc>
        <w:tc>
          <w:tcPr>
            <w:tcW w:w="5641"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行政诉讼</w:t>
            </w:r>
          </w:p>
        </w:tc>
      </w:tr>
      <w:tr>
        <w:tblPrEx>
          <w:tblCellMar>
            <w:top w:w="15" w:type="dxa"/>
            <w:left w:w="15" w:type="dxa"/>
            <w:bottom w:w="15" w:type="dxa"/>
            <w:right w:w="15" w:type="dxa"/>
          </w:tblCellMar>
        </w:tblPrEx>
        <w:trPr>
          <w:jc w:val="center"/>
        </w:trPr>
        <w:tc>
          <w:tcPr>
            <w:tcW w:w="577"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576"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c>
          <w:tcPr>
            <w:tcW w:w="288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未经复议直接起诉</w:t>
            </w:r>
          </w:p>
        </w:tc>
        <w:tc>
          <w:tcPr>
            <w:tcW w:w="2761"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复议后起诉</w:t>
            </w:r>
          </w:p>
        </w:tc>
      </w:tr>
      <w:tr>
        <w:tblPrEx>
          <w:tblCellMar>
            <w:top w:w="15" w:type="dxa"/>
            <w:left w:w="15" w:type="dxa"/>
            <w:bottom w:w="15" w:type="dxa"/>
            <w:right w:w="15" w:type="dxa"/>
          </w:tblCellMar>
        </w:tblPrEx>
        <w:trPr>
          <w:jc w:val="center"/>
        </w:trPr>
        <w:tc>
          <w:tcPr>
            <w:tcW w:w="577" w:type="dxa"/>
            <w:vMerge w:val="continue"/>
            <w:tcBorders>
              <w:top w:val="nil"/>
              <w:left w:val="single" w:color="auto" w:sz="8" w:space="0"/>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nil"/>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vMerge w:val="continue"/>
            <w:tcBorders>
              <w:top w:val="single" w:color="auto" w:sz="8" w:space="0"/>
              <w:left w:val="nil"/>
              <w:bottom w:val="single" w:color="auto" w:sz="8" w:space="0"/>
              <w:right w:val="single" w:color="auto" w:sz="8" w:space="0"/>
            </w:tcBorders>
            <w:vAlign w:val="center"/>
          </w:tcPr>
          <w:p>
            <w:pPr>
              <w:adjustRightInd/>
              <w:snapToGrid/>
              <w:spacing w:after="0"/>
              <w:rPr>
                <w:rFonts w:ascii="宋体" w:hAnsi="宋体" w:eastAsia="宋体" w:cs="宋体"/>
                <w:sz w:val="24"/>
                <w:szCs w:val="24"/>
              </w:rPr>
            </w:pP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结果维持</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结果纠正</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其他结果</w:t>
            </w:r>
          </w:p>
        </w:tc>
        <w:tc>
          <w:tcPr>
            <w:tcW w:w="57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尚未审结</w:t>
            </w:r>
          </w:p>
        </w:tc>
        <w:tc>
          <w:tcPr>
            <w:tcW w:w="45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总计</w:t>
            </w:r>
          </w:p>
        </w:tc>
      </w:tr>
      <w:tr>
        <w:tblPrEx>
          <w:tblCellMar>
            <w:top w:w="15" w:type="dxa"/>
            <w:left w:w="15" w:type="dxa"/>
            <w:bottom w:w="15" w:type="dxa"/>
            <w:right w:w="15" w:type="dxa"/>
          </w:tblCellMar>
        </w:tblPrEx>
        <w:trPr>
          <w:jc w:val="center"/>
        </w:trPr>
        <w:tc>
          <w:tcPr>
            <w:tcW w:w="577"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57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仿宋"/>
                <w:sz w:val="24"/>
                <w:szCs w:val="24"/>
              </w:rPr>
              <w:t>0</w:t>
            </w:r>
          </w:p>
        </w:tc>
        <w:tc>
          <w:tcPr>
            <w:tcW w:w="45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adjustRightInd/>
              <w:snapToGrid/>
              <w:spacing w:after="0" w:line="480" w:lineRule="atLeast"/>
              <w:jc w:val="center"/>
              <w:rPr>
                <w:rFonts w:ascii="宋体" w:hAnsi="宋体" w:eastAsia="宋体" w:cs="宋体"/>
                <w:sz w:val="24"/>
                <w:szCs w:val="24"/>
              </w:rPr>
            </w:pPr>
            <w:r>
              <w:rPr>
                <w:rFonts w:hint="eastAsia" w:ascii="仿宋" w:hAnsi="仿宋" w:eastAsia="仿宋" w:cs="宋体"/>
                <w:sz w:val="24"/>
                <w:szCs w:val="24"/>
              </w:rPr>
              <w:t>0</w:t>
            </w:r>
          </w:p>
        </w:tc>
      </w:tr>
    </w:tbl>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黑体" w:hAnsi="黑体" w:eastAsia="黑体" w:cs="黑体"/>
          <w:bCs/>
          <w:sz w:val="32"/>
          <w:szCs w:val="32"/>
        </w:rPr>
      </w:pPr>
      <w:r>
        <w:rPr>
          <w:rFonts w:hint="eastAsia" w:ascii="黑体" w:hAnsi="黑体" w:eastAsia="黑体" w:cs="黑体"/>
          <w:bCs/>
          <w:sz w:val="32"/>
          <w:szCs w:val="32"/>
        </w:rPr>
        <w:t>五、存在的主要问题及改进情况</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经过两年学习探索，</w:t>
      </w:r>
      <w:r>
        <w:rPr>
          <w:rFonts w:hint="eastAsia" w:ascii="仿宋_GB2312" w:hAnsi="仿宋_GB2312" w:eastAsia="仿宋_GB2312" w:cs="仿宋_GB2312"/>
          <w:bCs/>
          <w:sz w:val="32"/>
          <w:szCs w:val="32"/>
          <w:lang w:eastAsia="zh-CN"/>
        </w:rPr>
        <w:t>我局</w:t>
      </w:r>
      <w:r>
        <w:rPr>
          <w:rFonts w:hint="eastAsia" w:ascii="仿宋_GB2312" w:hAnsi="仿宋_GB2312" w:eastAsia="仿宋_GB2312" w:cs="仿宋_GB2312"/>
          <w:bCs/>
          <w:sz w:val="32"/>
          <w:szCs w:val="32"/>
        </w:rPr>
        <w:t>在政府信息公开工作方面虽然取得了一些成效，但仍存在不足和薄弱环节，主要表现为个别</w:t>
      </w:r>
      <w:r>
        <w:rPr>
          <w:rFonts w:hint="eastAsia" w:ascii="仿宋_GB2312" w:hAnsi="仿宋_GB2312" w:eastAsia="仿宋_GB2312" w:cs="仿宋_GB2312"/>
          <w:bCs/>
          <w:sz w:val="32"/>
          <w:szCs w:val="32"/>
          <w:lang w:eastAsia="zh-CN"/>
        </w:rPr>
        <w:t>处室</w:t>
      </w:r>
      <w:r>
        <w:rPr>
          <w:rFonts w:hint="eastAsia" w:ascii="仿宋_GB2312" w:hAnsi="仿宋_GB2312" w:eastAsia="仿宋_GB2312" w:cs="仿宋_GB2312"/>
          <w:bCs/>
          <w:sz w:val="32"/>
          <w:szCs w:val="32"/>
        </w:rPr>
        <w:t>对政府信息公开工作重视程度不够，公开内容和形式有待丰富完善。在下一步工作中，将</w:t>
      </w:r>
      <w:r>
        <w:rPr>
          <w:rFonts w:hint="eastAsia" w:ascii="仿宋_GB2312" w:hAnsi="仿宋_GB2312" w:eastAsia="仿宋_GB2312" w:cs="仿宋_GB2312"/>
          <w:bCs/>
          <w:sz w:val="32"/>
          <w:szCs w:val="32"/>
          <w:lang w:eastAsia="zh-CN"/>
        </w:rPr>
        <w:t>重点做好以下工作</w:t>
      </w:r>
      <w:r>
        <w:rPr>
          <w:rFonts w:hint="eastAsia" w:ascii="仿宋_GB2312" w:hAnsi="仿宋_GB2312" w:eastAsia="仿宋_GB2312" w:cs="仿宋_GB2312"/>
          <w:bCs/>
          <w:sz w:val="32"/>
          <w:szCs w:val="32"/>
        </w:rPr>
        <w:t>：</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（一）建立完善工作机制。</w:t>
      </w:r>
      <w:r>
        <w:rPr>
          <w:rFonts w:hint="eastAsia" w:ascii="仿宋_GB2312" w:hAnsi="仿宋_GB2312" w:eastAsia="仿宋_GB2312" w:cs="仿宋_GB2312"/>
          <w:bCs/>
          <w:sz w:val="32"/>
          <w:szCs w:val="32"/>
        </w:rPr>
        <w:t>进一步建立完善政府信息公开工作各项规章制度，建立领导小组定期开会研究、定期督导考核的工作机制，把政府信息公开工作纳入更加重要的议事日程。</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（二）学习借鉴先进经验。</w:t>
      </w:r>
      <w:r>
        <w:rPr>
          <w:rFonts w:hint="eastAsia" w:ascii="仿宋_GB2312" w:hAnsi="仿宋_GB2312" w:eastAsia="仿宋_GB2312" w:cs="仿宋_GB2312"/>
          <w:bCs/>
          <w:sz w:val="32"/>
          <w:szCs w:val="32"/>
        </w:rPr>
        <w:t>我局政府信息公开工作虽然取得了一些阶段性成果，但是与群众的期望相比还存在一定差距。在接下来的工作中我们将加强与上级部门、其他政府部门的沟通交流，学习先进经验，弥补自身短板，进而提高我局政府信息公开工作的质量和实效。</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（三）打造专业工作队伍。</w:t>
      </w:r>
      <w:r>
        <w:rPr>
          <w:rFonts w:hint="eastAsia" w:ascii="仿宋_GB2312" w:hAnsi="仿宋_GB2312" w:eastAsia="仿宋_GB2312" w:cs="仿宋_GB2312"/>
          <w:bCs/>
          <w:sz w:val="32"/>
          <w:szCs w:val="32"/>
        </w:rPr>
        <w:t>定期组织政府信息公开工作培训，邀请专家系统、全面地讲解新时代政府信息公开的意义、举措、常见问题以及应对措施等内容，切实提升政府信息公开工作人员的专业素养，打造一支专业政府信息公开队伍。</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黑体" w:hAnsi="黑体" w:eastAsia="黑体" w:cs="黑体"/>
          <w:bCs/>
          <w:sz w:val="32"/>
          <w:szCs w:val="32"/>
        </w:rPr>
      </w:pPr>
      <w:r>
        <w:rPr>
          <w:rFonts w:hint="eastAsia" w:ascii="黑体" w:hAnsi="黑体" w:eastAsia="黑体" w:cs="黑体"/>
          <w:bCs/>
          <w:sz w:val="32"/>
          <w:szCs w:val="32"/>
        </w:rPr>
        <w:t>六、其他需要报告的事项</w:t>
      </w:r>
    </w:p>
    <w:p>
      <w:pPr>
        <w:keepNext w:val="0"/>
        <w:keepLines w:val="0"/>
        <w:pageBreakBefore w:val="0"/>
        <w:widowControl/>
        <w:kinsoku/>
        <w:wordWrap/>
        <w:overflowPunct/>
        <w:topLinePunct w:val="0"/>
        <w:autoSpaceDE/>
        <w:autoSpaceDN/>
        <w:bidi w:val="0"/>
        <w:adjustRightInd w:val="0"/>
        <w:snapToGrid w:val="0"/>
        <w:spacing w:after="0" w:line="560" w:lineRule="exact"/>
        <w:ind w:left="0" w:leftChars="0" w:right="0" w:rightChars="0" w:firstLine="640" w:firstLineChars="200"/>
        <w:jc w:val="both"/>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无</w:t>
      </w:r>
    </w:p>
    <w:p>
      <w:pPr>
        <w:spacing w:line="220" w:lineRule="atLeast"/>
        <w:rPr>
          <w:rFonts w:ascii="仿宋" w:hAnsi="仿宋" w:eastAsia="仿宋"/>
          <w:sz w:val="32"/>
          <w:szCs w:val="32"/>
        </w:rPr>
      </w:pPr>
    </w:p>
    <w:sectPr>
      <w:pgSz w:w="11906" w:h="16838"/>
      <w:pgMar w:top="2098" w:right="1474" w:bottom="1984" w:left="1587" w:header="708" w:footer="709" w:gutter="0"/>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1B5E84"/>
    <w:rsid w:val="002907EE"/>
    <w:rsid w:val="002D4270"/>
    <w:rsid w:val="00323B43"/>
    <w:rsid w:val="00383A2C"/>
    <w:rsid w:val="003D37D8"/>
    <w:rsid w:val="00426133"/>
    <w:rsid w:val="004358AB"/>
    <w:rsid w:val="006C2489"/>
    <w:rsid w:val="00726A06"/>
    <w:rsid w:val="007655C1"/>
    <w:rsid w:val="00774908"/>
    <w:rsid w:val="00890790"/>
    <w:rsid w:val="008B7726"/>
    <w:rsid w:val="008C0586"/>
    <w:rsid w:val="0091732C"/>
    <w:rsid w:val="00921AD1"/>
    <w:rsid w:val="009C5E99"/>
    <w:rsid w:val="00A225E9"/>
    <w:rsid w:val="00AD3893"/>
    <w:rsid w:val="00BC5B24"/>
    <w:rsid w:val="00C26276"/>
    <w:rsid w:val="00C73F50"/>
    <w:rsid w:val="00CE76F1"/>
    <w:rsid w:val="00D31D50"/>
    <w:rsid w:val="00D745F4"/>
    <w:rsid w:val="00DC76F3"/>
    <w:rsid w:val="00EA43E8"/>
    <w:rsid w:val="00F31701"/>
    <w:rsid w:val="07B67B11"/>
    <w:rsid w:val="08A834BB"/>
    <w:rsid w:val="09774C55"/>
    <w:rsid w:val="21920158"/>
    <w:rsid w:val="28A672D2"/>
    <w:rsid w:val="2B8A07A6"/>
    <w:rsid w:val="31313A1E"/>
    <w:rsid w:val="34F36398"/>
    <w:rsid w:val="38316B66"/>
    <w:rsid w:val="420E70EC"/>
    <w:rsid w:val="442735F9"/>
    <w:rsid w:val="445F5FF8"/>
    <w:rsid w:val="4CB75348"/>
    <w:rsid w:val="555952B0"/>
    <w:rsid w:val="573A3A49"/>
    <w:rsid w:val="5DF93C0C"/>
    <w:rsid w:val="67652789"/>
    <w:rsid w:val="694140C0"/>
    <w:rsid w:val="6B372D3C"/>
    <w:rsid w:val="720D7533"/>
    <w:rsid w:val="729D2BA4"/>
    <w:rsid w:val="75681DCC"/>
    <w:rsid w:val="7FFFE9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1"/>
    <w:basedOn w:val="1"/>
    <w:next w:val="1"/>
    <w:link w:val="9"/>
    <w:qFormat/>
    <w:uiPriority w:val="0"/>
    <w:pPr>
      <w:widowControl w:val="0"/>
      <w:adjustRightInd/>
      <w:snapToGrid/>
      <w:spacing w:before="100" w:beforeAutospacing="1" w:after="100" w:afterAutospacing="1"/>
      <w:outlineLvl w:val="0"/>
    </w:pPr>
    <w:rPr>
      <w:rFonts w:hint="eastAsia" w:ascii="宋体" w:hAnsi="宋体" w:eastAsia="宋体" w:cs="Times New Roman"/>
      <w:b/>
      <w:kern w:val="44"/>
      <w:sz w:val="48"/>
      <w:szCs w:val="48"/>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3">
    <w:name w:val="Balloon Text"/>
    <w:basedOn w:val="1"/>
    <w:link w:val="8"/>
    <w:unhideWhenUsed/>
    <w:uiPriority w:val="99"/>
    <w:pPr>
      <w:spacing w:after="0"/>
    </w:pPr>
    <w:rPr>
      <w:sz w:val="18"/>
      <w:szCs w:val="18"/>
    </w:rPr>
  </w:style>
  <w:style w:type="character" w:styleId="6">
    <w:name w:val="Hyperlink"/>
    <w:basedOn w:val="5"/>
    <w:unhideWhenUsed/>
    <w:qFormat/>
    <w:uiPriority w:val="99"/>
    <w:rPr>
      <w:color w:val="0000FF"/>
      <w:u w:val="single"/>
    </w:rPr>
  </w:style>
  <w:style w:type="character" w:customStyle="1" w:styleId="7">
    <w:name w:val="apple-converted-space"/>
    <w:basedOn w:val="5"/>
    <w:qFormat/>
    <w:uiPriority w:val="0"/>
  </w:style>
  <w:style w:type="character" w:customStyle="1" w:styleId="8">
    <w:name w:val="批注框文本 Char"/>
    <w:basedOn w:val="5"/>
    <w:link w:val="3"/>
    <w:semiHidden/>
    <w:qFormat/>
    <w:uiPriority w:val="99"/>
    <w:rPr>
      <w:rFonts w:ascii="Tahoma" w:hAnsi="Tahoma"/>
      <w:sz w:val="18"/>
      <w:szCs w:val="18"/>
    </w:rPr>
  </w:style>
  <w:style w:type="character" w:customStyle="1" w:styleId="9">
    <w:name w:val="标题 1 Char"/>
    <w:basedOn w:val="5"/>
    <w:link w:val="2"/>
    <w:qFormat/>
    <w:uiPriority w:val="0"/>
    <w:rPr>
      <w:rFonts w:ascii="宋体" w:hAnsi="宋体" w:eastAsia="宋体" w:cs="Times New Roman"/>
      <w:b/>
      <w:kern w:val="44"/>
      <w:sz w:val="48"/>
      <w:szCs w:val="4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515</Words>
  <Characters>2942</Characters>
  <Lines>24</Lines>
  <Paragraphs>6</Paragraphs>
  <TotalTime>2</TotalTime>
  <ScaleCrop>false</ScaleCrop>
  <LinksUpToDate>false</LinksUpToDate>
  <CharactersWithSpaces>3451</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2008-09-12T01:20:00Z</dcterms:created>
  <dc:creator>Administrator</dc:creator>
  <cp:lastModifiedBy>jing</cp:lastModifiedBy>
  <dcterms:modified xsi:type="dcterms:W3CDTF">2024-02-06T09:11:12Z</dcterms:modified>
  <dc:title>石家庄市医疗保障局</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3669B1E45EE844B28EAB45B1E2FA5323</vt:lpwstr>
  </property>
</Properties>
</file>