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460" w:lineRule="exact"/>
        <w:jc w:val="center"/>
        <w:textAlignment w:val="auto"/>
        <w:rPr>
          <w:rFonts w:hint="eastAsia" w:ascii="宋体" w:hAnsi="宋体" w:eastAsia="宋体" w:cs="宋体"/>
          <w:b/>
          <w:bCs/>
          <w:i w:val="0"/>
          <w:caps w:val="0"/>
          <w:color w:val="212121"/>
          <w:spacing w:val="0"/>
          <w:sz w:val="44"/>
          <w:szCs w:val="44"/>
          <w:shd w:val="clear" w:fill="FFFFFF"/>
        </w:rPr>
      </w:pPr>
    </w:p>
    <w:p>
      <w:pPr>
        <w:keepNext w:val="0"/>
        <w:keepLines w:val="0"/>
        <w:pageBreakBefore w:val="0"/>
        <w:kinsoku/>
        <w:wordWrap/>
        <w:overflowPunct/>
        <w:topLinePunct w:val="0"/>
        <w:autoSpaceDE/>
        <w:autoSpaceDN/>
        <w:bidi w:val="0"/>
        <w:adjustRightInd/>
        <w:snapToGrid/>
        <w:spacing w:line="460" w:lineRule="exact"/>
        <w:jc w:val="center"/>
        <w:textAlignment w:val="auto"/>
        <w:rPr>
          <w:rFonts w:hint="eastAsia" w:ascii="宋体" w:hAnsi="宋体" w:eastAsia="宋体" w:cs="宋体"/>
          <w:b/>
          <w:bCs/>
          <w:i w:val="0"/>
          <w:caps w:val="0"/>
          <w:color w:val="212121"/>
          <w:spacing w:val="0"/>
          <w:sz w:val="44"/>
          <w:szCs w:val="44"/>
          <w:shd w:val="clear" w:fill="FFFFFF"/>
        </w:rPr>
      </w:pPr>
      <w:r>
        <w:rPr>
          <w:rFonts w:hint="eastAsia" w:ascii="宋体" w:hAnsi="宋体" w:eastAsia="宋体" w:cs="宋体"/>
          <w:b/>
          <w:bCs/>
          <w:i w:val="0"/>
          <w:caps w:val="0"/>
          <w:color w:val="212121"/>
          <w:spacing w:val="0"/>
          <w:sz w:val="44"/>
          <w:szCs w:val="44"/>
          <w:shd w:val="clear" w:fill="FFFFFF"/>
        </w:rPr>
        <w:t>石家庄市202</w:t>
      </w:r>
      <w:r>
        <w:rPr>
          <w:rFonts w:hint="eastAsia" w:ascii="宋体" w:hAnsi="宋体" w:eastAsia="宋体" w:cs="宋体"/>
          <w:b/>
          <w:bCs/>
          <w:i w:val="0"/>
          <w:caps w:val="0"/>
          <w:color w:val="212121"/>
          <w:spacing w:val="0"/>
          <w:sz w:val="44"/>
          <w:szCs w:val="44"/>
          <w:shd w:val="clear" w:fill="FFFFFF"/>
          <w:lang w:val="en-US" w:eastAsia="zh-CN"/>
        </w:rPr>
        <w:t>2</w:t>
      </w:r>
      <w:r>
        <w:rPr>
          <w:rFonts w:hint="eastAsia" w:ascii="宋体" w:hAnsi="宋体" w:eastAsia="宋体" w:cs="宋体"/>
          <w:b/>
          <w:bCs/>
          <w:i w:val="0"/>
          <w:caps w:val="0"/>
          <w:color w:val="212121"/>
          <w:spacing w:val="0"/>
          <w:sz w:val="44"/>
          <w:szCs w:val="44"/>
          <w:shd w:val="clear" w:fill="FFFFFF"/>
        </w:rPr>
        <w:t>年政府信息公开工作</w:t>
      </w:r>
    </w:p>
    <w:p>
      <w:pPr>
        <w:keepNext w:val="0"/>
        <w:keepLines w:val="0"/>
        <w:pageBreakBefore w:val="0"/>
        <w:kinsoku/>
        <w:wordWrap/>
        <w:overflowPunct/>
        <w:topLinePunct w:val="0"/>
        <w:autoSpaceDE/>
        <w:autoSpaceDN/>
        <w:bidi w:val="0"/>
        <w:adjustRightInd/>
        <w:snapToGrid/>
        <w:spacing w:line="460" w:lineRule="exact"/>
        <w:jc w:val="center"/>
        <w:textAlignment w:val="auto"/>
        <w:rPr>
          <w:rFonts w:hint="eastAsia" w:ascii="宋体" w:hAnsi="宋体" w:eastAsia="宋体" w:cs="宋体"/>
          <w:b/>
          <w:bCs/>
          <w:i w:val="0"/>
          <w:caps w:val="0"/>
          <w:color w:val="666666"/>
          <w:spacing w:val="0"/>
          <w:sz w:val="44"/>
          <w:szCs w:val="44"/>
          <w:shd w:val="clear" w:fill="FFFFFF"/>
        </w:rPr>
      </w:pPr>
      <w:r>
        <w:rPr>
          <w:rFonts w:hint="eastAsia" w:ascii="宋体" w:hAnsi="宋体" w:eastAsia="宋体" w:cs="宋体"/>
          <w:b/>
          <w:bCs/>
          <w:i w:val="0"/>
          <w:caps w:val="0"/>
          <w:color w:val="212121"/>
          <w:spacing w:val="0"/>
          <w:sz w:val="44"/>
          <w:szCs w:val="44"/>
          <w:shd w:val="clear" w:fill="FFFFFF"/>
        </w:rPr>
        <w:t>年</w:t>
      </w:r>
      <w:r>
        <w:rPr>
          <w:rFonts w:hint="eastAsia" w:ascii="宋体" w:hAnsi="宋体" w:eastAsia="宋体" w:cs="宋体"/>
          <w:b/>
          <w:bCs/>
          <w:i w:val="0"/>
          <w:caps w:val="0"/>
          <w:color w:val="212121"/>
          <w:spacing w:val="0"/>
          <w:sz w:val="44"/>
          <w:szCs w:val="44"/>
          <w:shd w:val="clear" w:fill="FFFFFF"/>
          <w:lang w:val="en-US" w:eastAsia="zh-CN"/>
        </w:rPr>
        <w:t xml:space="preserve"> </w:t>
      </w:r>
      <w:r>
        <w:rPr>
          <w:rFonts w:hint="eastAsia" w:ascii="宋体" w:hAnsi="宋体" w:eastAsia="宋体" w:cs="宋体"/>
          <w:b/>
          <w:bCs/>
          <w:i w:val="0"/>
          <w:caps w:val="0"/>
          <w:color w:val="212121"/>
          <w:spacing w:val="0"/>
          <w:sz w:val="44"/>
          <w:szCs w:val="44"/>
          <w:shd w:val="clear" w:fill="FFFFFF"/>
        </w:rPr>
        <w:t>度</w:t>
      </w:r>
      <w:r>
        <w:rPr>
          <w:rFonts w:hint="eastAsia" w:ascii="宋体" w:hAnsi="宋体" w:eastAsia="宋体" w:cs="宋体"/>
          <w:b/>
          <w:bCs/>
          <w:i w:val="0"/>
          <w:caps w:val="0"/>
          <w:color w:val="212121"/>
          <w:spacing w:val="0"/>
          <w:sz w:val="44"/>
          <w:szCs w:val="44"/>
          <w:shd w:val="clear" w:fill="FFFFFF"/>
          <w:lang w:val="en-US" w:eastAsia="zh-CN"/>
        </w:rPr>
        <w:t xml:space="preserve"> </w:t>
      </w:r>
      <w:r>
        <w:rPr>
          <w:rFonts w:hint="eastAsia" w:ascii="宋体" w:hAnsi="宋体" w:eastAsia="宋体" w:cs="宋体"/>
          <w:b/>
          <w:bCs/>
          <w:i w:val="0"/>
          <w:caps w:val="0"/>
          <w:color w:val="212121"/>
          <w:spacing w:val="0"/>
          <w:sz w:val="44"/>
          <w:szCs w:val="44"/>
          <w:shd w:val="clear" w:fill="FFFFFF"/>
        </w:rPr>
        <w:t>报</w:t>
      </w:r>
      <w:r>
        <w:rPr>
          <w:rFonts w:hint="eastAsia" w:ascii="宋体" w:hAnsi="宋体" w:eastAsia="宋体" w:cs="宋体"/>
          <w:b/>
          <w:bCs/>
          <w:i w:val="0"/>
          <w:caps w:val="0"/>
          <w:color w:val="212121"/>
          <w:spacing w:val="0"/>
          <w:sz w:val="44"/>
          <w:szCs w:val="44"/>
          <w:shd w:val="clear" w:fill="FFFFFF"/>
          <w:lang w:val="en-US" w:eastAsia="zh-CN"/>
        </w:rPr>
        <w:t xml:space="preserve"> </w:t>
      </w:r>
      <w:r>
        <w:rPr>
          <w:rFonts w:hint="eastAsia" w:ascii="宋体" w:hAnsi="宋体" w:eastAsia="宋体" w:cs="宋体"/>
          <w:b/>
          <w:bCs/>
          <w:i w:val="0"/>
          <w:caps w:val="0"/>
          <w:color w:val="212121"/>
          <w:spacing w:val="0"/>
          <w:sz w:val="44"/>
          <w:szCs w:val="44"/>
          <w:shd w:val="clear" w:fill="FFFFFF"/>
        </w:rPr>
        <w:t>告</w:t>
      </w:r>
    </w:p>
    <w:p>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hanging="360"/>
        <w:rPr>
          <w:rFonts w:hint="eastAsia" w:ascii="宋体" w:hAnsi="宋体" w:eastAsia="宋体" w:cs="宋体"/>
          <w:color w:val="666666"/>
          <w:sz w:val="18"/>
          <w:szCs w:val="18"/>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caps w:val="0"/>
          <w:color w:val="auto"/>
          <w:spacing w:val="0"/>
          <w:sz w:val="32"/>
          <w:szCs w:val="32"/>
          <w:shd w:val="clear" w:fill="FFFFFF"/>
          <w:lang w:val="en-US" w:eastAsia="zh-CN"/>
        </w:rPr>
      </w:pPr>
      <w:r>
        <w:rPr>
          <w:rFonts w:hint="eastAsia" w:ascii="仿宋" w:hAnsi="仿宋" w:eastAsia="仿宋" w:cs="仿宋"/>
          <w:i w:val="0"/>
          <w:caps w:val="0"/>
          <w:color w:val="auto"/>
          <w:spacing w:val="0"/>
          <w:sz w:val="32"/>
          <w:szCs w:val="32"/>
          <w:shd w:val="clear" w:fill="FFFFFF"/>
        </w:rPr>
        <w:t>本</w:t>
      </w:r>
      <w:r>
        <w:rPr>
          <w:rFonts w:hint="eastAsia" w:ascii="仿宋" w:hAnsi="仿宋" w:eastAsia="仿宋" w:cs="仿宋"/>
          <w:i w:val="0"/>
          <w:caps w:val="0"/>
          <w:color w:val="auto"/>
          <w:spacing w:val="0"/>
          <w:sz w:val="32"/>
          <w:szCs w:val="32"/>
          <w:shd w:val="clear" w:fill="FFFFFF"/>
          <w:lang w:eastAsia="zh-CN"/>
        </w:rPr>
        <w:t>年度</w:t>
      </w:r>
      <w:r>
        <w:rPr>
          <w:rFonts w:hint="eastAsia" w:ascii="仿宋" w:hAnsi="仿宋" w:eastAsia="仿宋" w:cs="仿宋"/>
          <w:i w:val="0"/>
          <w:caps w:val="0"/>
          <w:color w:val="auto"/>
          <w:spacing w:val="0"/>
          <w:sz w:val="32"/>
          <w:szCs w:val="32"/>
          <w:shd w:val="clear" w:fill="FFFFFF"/>
        </w:rPr>
        <w:t>报告</w:t>
      </w:r>
      <w:r>
        <w:rPr>
          <w:rFonts w:hint="eastAsia" w:ascii="仿宋" w:hAnsi="仿宋" w:eastAsia="仿宋" w:cs="仿宋"/>
          <w:i w:val="0"/>
          <w:caps w:val="0"/>
          <w:color w:val="auto"/>
          <w:spacing w:val="0"/>
          <w:sz w:val="32"/>
          <w:szCs w:val="32"/>
          <w:shd w:val="clear" w:fill="FFFFFF"/>
          <w:lang w:eastAsia="zh-CN"/>
        </w:rPr>
        <w:t>按照</w:t>
      </w:r>
      <w:r>
        <w:rPr>
          <w:rFonts w:hint="eastAsia" w:ascii="仿宋" w:hAnsi="仿宋" w:eastAsia="仿宋" w:cs="仿宋"/>
          <w:i w:val="0"/>
          <w:caps w:val="0"/>
          <w:color w:val="auto"/>
          <w:spacing w:val="0"/>
          <w:sz w:val="32"/>
          <w:szCs w:val="32"/>
          <w:shd w:val="clear" w:fill="FFFFFF"/>
          <w:lang w:val="en-US" w:eastAsia="zh-CN"/>
        </w:rPr>
        <w:t>《中华人民共和国政府信息公开条例》和《中华人民共和国政府信息公开工作年度报告格式》要求，</w:t>
      </w:r>
      <w:r>
        <w:rPr>
          <w:rFonts w:hint="eastAsia" w:ascii="仿宋" w:hAnsi="仿宋" w:eastAsia="仿宋" w:cs="仿宋"/>
          <w:i w:val="0"/>
          <w:caps w:val="0"/>
          <w:color w:val="auto"/>
          <w:spacing w:val="0"/>
          <w:sz w:val="32"/>
          <w:szCs w:val="32"/>
          <w:shd w:val="clear" w:fill="FFFFFF"/>
        </w:rPr>
        <w:t>在</w:t>
      </w:r>
      <w:r>
        <w:rPr>
          <w:rFonts w:hint="eastAsia" w:ascii="仿宋" w:hAnsi="仿宋" w:eastAsia="仿宋" w:cs="仿宋"/>
          <w:i w:val="0"/>
          <w:caps w:val="0"/>
          <w:color w:val="auto"/>
          <w:spacing w:val="0"/>
          <w:sz w:val="32"/>
          <w:szCs w:val="32"/>
          <w:shd w:val="clear" w:fill="FFFFFF"/>
          <w:lang w:eastAsia="zh-CN"/>
        </w:rPr>
        <w:t>综合</w:t>
      </w:r>
      <w:r>
        <w:rPr>
          <w:rFonts w:hint="eastAsia" w:ascii="仿宋" w:hAnsi="仿宋" w:eastAsia="仿宋" w:cs="仿宋"/>
          <w:i w:val="0"/>
          <w:caps w:val="0"/>
          <w:color w:val="auto"/>
          <w:spacing w:val="0"/>
          <w:sz w:val="32"/>
          <w:szCs w:val="32"/>
          <w:shd w:val="clear" w:fill="FFFFFF"/>
        </w:rPr>
        <w:t>各</w:t>
      </w:r>
      <w:r>
        <w:rPr>
          <w:rFonts w:hint="eastAsia" w:ascii="仿宋" w:hAnsi="仿宋" w:eastAsia="仿宋" w:cs="仿宋"/>
          <w:i w:val="0"/>
          <w:caps w:val="0"/>
          <w:color w:val="auto"/>
          <w:spacing w:val="0"/>
          <w:sz w:val="32"/>
          <w:szCs w:val="32"/>
          <w:shd w:val="clear" w:fill="FFFFFF"/>
          <w:lang w:eastAsia="zh-CN"/>
        </w:rPr>
        <w:t>县</w:t>
      </w: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市、区</w:t>
      </w: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政府和市</w:t>
      </w:r>
      <w:r>
        <w:rPr>
          <w:rFonts w:hint="eastAsia" w:ascii="仿宋" w:hAnsi="仿宋" w:eastAsia="仿宋" w:cs="仿宋"/>
          <w:i w:val="0"/>
          <w:caps w:val="0"/>
          <w:color w:val="auto"/>
          <w:spacing w:val="0"/>
          <w:sz w:val="32"/>
          <w:szCs w:val="32"/>
          <w:shd w:val="clear" w:fill="FFFFFF"/>
        </w:rPr>
        <w:t>政府各部门202</w:t>
      </w:r>
      <w:r>
        <w:rPr>
          <w:rFonts w:hint="eastAsia" w:ascii="仿宋" w:hAnsi="仿宋" w:eastAsia="仿宋" w:cs="仿宋"/>
          <w:i w:val="0"/>
          <w:caps w:val="0"/>
          <w:color w:val="auto"/>
          <w:spacing w:val="0"/>
          <w:sz w:val="32"/>
          <w:szCs w:val="32"/>
          <w:shd w:val="clear" w:fill="FFFFFF"/>
          <w:lang w:val="en-US" w:eastAsia="zh-CN"/>
        </w:rPr>
        <w:t>2</w:t>
      </w:r>
      <w:r>
        <w:rPr>
          <w:rFonts w:hint="eastAsia" w:ascii="仿宋" w:hAnsi="仿宋" w:eastAsia="仿宋" w:cs="仿宋"/>
          <w:i w:val="0"/>
          <w:caps w:val="0"/>
          <w:color w:val="auto"/>
          <w:spacing w:val="0"/>
          <w:sz w:val="32"/>
          <w:szCs w:val="32"/>
          <w:shd w:val="clear" w:fill="FFFFFF"/>
        </w:rPr>
        <w:t>年政府信息公开工作年度报告基础上编制</w:t>
      </w:r>
      <w:r>
        <w:rPr>
          <w:rFonts w:hint="eastAsia" w:ascii="仿宋" w:hAnsi="仿宋" w:eastAsia="仿宋" w:cs="仿宋"/>
          <w:i w:val="0"/>
          <w:caps w:val="0"/>
          <w:color w:val="auto"/>
          <w:spacing w:val="0"/>
          <w:sz w:val="32"/>
          <w:szCs w:val="32"/>
          <w:shd w:val="clear" w:fill="FFFFFF"/>
          <w:lang w:val="en-US" w:eastAsia="zh-CN"/>
        </w:rPr>
        <w:t>。报告中所列数据的统计期限为2022年1月1日至2022年12月31日。如对本报告有疑问，请与石家庄市人民政府办公室联系（地址：石家庄市中山东路216号，电话：0311-86689279，电子邮箱：</w:t>
      </w:r>
      <w:r>
        <w:rPr>
          <w:rFonts w:hint="eastAsia" w:ascii="仿宋" w:hAnsi="仿宋" w:eastAsia="仿宋" w:cs="仿宋"/>
          <w:i w:val="0"/>
          <w:caps w:val="0"/>
          <w:color w:val="auto"/>
          <w:spacing w:val="0"/>
          <w:sz w:val="32"/>
          <w:szCs w:val="32"/>
          <w:shd w:val="clear" w:fill="FFFFFF"/>
          <w:lang w:val="en-US" w:eastAsia="zh-CN"/>
        </w:rPr>
        <w:fldChar w:fldCharType="begin"/>
      </w:r>
      <w:r>
        <w:rPr>
          <w:rFonts w:hint="eastAsia" w:ascii="仿宋" w:hAnsi="仿宋" w:eastAsia="仿宋" w:cs="仿宋"/>
          <w:i w:val="0"/>
          <w:caps w:val="0"/>
          <w:color w:val="auto"/>
          <w:spacing w:val="0"/>
          <w:sz w:val="32"/>
          <w:szCs w:val="32"/>
          <w:shd w:val="clear" w:fill="FFFFFF"/>
          <w:lang w:val="en-US" w:eastAsia="zh-CN"/>
        </w:rPr>
        <w:instrText xml:space="preserve"> HYPERLINK "mailto:sjzzwgkc@163.com）。" </w:instrText>
      </w:r>
      <w:r>
        <w:rPr>
          <w:rFonts w:hint="eastAsia" w:ascii="仿宋" w:hAnsi="仿宋" w:eastAsia="仿宋" w:cs="仿宋"/>
          <w:i w:val="0"/>
          <w:caps w:val="0"/>
          <w:color w:val="auto"/>
          <w:spacing w:val="0"/>
          <w:sz w:val="32"/>
          <w:szCs w:val="32"/>
          <w:shd w:val="clear" w:fill="FFFFFF"/>
          <w:lang w:val="en-US" w:eastAsia="zh-CN"/>
        </w:rPr>
        <w:fldChar w:fldCharType="separate"/>
      </w:r>
      <w:r>
        <w:rPr>
          <w:rFonts w:hint="eastAsia" w:ascii="仿宋" w:hAnsi="仿宋" w:eastAsia="仿宋" w:cs="仿宋"/>
          <w:i w:val="0"/>
          <w:caps w:val="0"/>
          <w:color w:val="auto"/>
          <w:spacing w:val="0"/>
          <w:sz w:val="32"/>
          <w:szCs w:val="32"/>
          <w:shd w:val="clear" w:fill="FFFFFF"/>
          <w:lang w:val="en-US" w:eastAsia="zh-CN"/>
        </w:rPr>
        <w:t>sjzzwgkc@163.com）。</w:t>
      </w:r>
      <w:r>
        <w:rPr>
          <w:rFonts w:hint="eastAsia" w:ascii="仿宋" w:hAnsi="仿宋" w:eastAsia="仿宋" w:cs="仿宋"/>
          <w:i w:val="0"/>
          <w:caps w:val="0"/>
          <w:color w:val="auto"/>
          <w:spacing w:val="0"/>
          <w:sz w:val="32"/>
          <w:szCs w:val="32"/>
          <w:shd w:val="clear" w:fill="FFFFFF"/>
          <w:lang w:val="en-US" w:eastAsia="zh-CN"/>
        </w:rPr>
        <w:fldChar w:fldCharType="end"/>
      </w:r>
    </w:p>
    <w:p>
      <w:pPr>
        <w:keepNext w:val="0"/>
        <w:keepLines w:val="0"/>
        <w:pageBreakBefore w:val="0"/>
        <w:numPr>
          <w:ilvl w:val="0"/>
          <w:numId w:val="2"/>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i w:val="0"/>
          <w:caps w:val="0"/>
          <w:color w:val="auto"/>
          <w:spacing w:val="0"/>
          <w:sz w:val="32"/>
          <w:szCs w:val="32"/>
          <w:shd w:val="clear" w:fill="FFFFFF"/>
        </w:rPr>
      </w:pPr>
      <w:r>
        <w:rPr>
          <w:rFonts w:hint="eastAsia" w:ascii="黑体" w:hAnsi="黑体" w:eastAsia="黑体" w:cs="黑体"/>
          <w:i w:val="0"/>
          <w:caps w:val="0"/>
          <w:color w:val="auto"/>
          <w:spacing w:val="0"/>
          <w:sz w:val="32"/>
          <w:szCs w:val="32"/>
          <w:shd w:val="clear" w:fill="FFFFFF"/>
        </w:rPr>
        <w:t>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caps w:val="0"/>
          <w:color w:val="auto"/>
          <w:spacing w:val="0"/>
          <w:sz w:val="32"/>
          <w:szCs w:val="32"/>
          <w:shd w:val="clear" w:fill="FFFFFF"/>
          <w:lang w:val="en-US" w:eastAsia="zh-CN"/>
        </w:rPr>
      </w:pPr>
      <w:r>
        <w:rPr>
          <w:rFonts w:hint="eastAsia" w:ascii="仿宋" w:hAnsi="仿宋" w:eastAsia="仿宋" w:cs="仿宋"/>
          <w:i w:val="0"/>
          <w:caps w:val="0"/>
          <w:color w:val="auto"/>
          <w:spacing w:val="0"/>
          <w:sz w:val="32"/>
          <w:szCs w:val="32"/>
          <w:shd w:val="clear" w:fill="FFFFFF"/>
          <w:lang w:val="en-US" w:eastAsia="zh-CN"/>
        </w:rPr>
        <w:t>2022年，全市政务公开工作认真贯彻落实国家、省关于政务公开工作的决策部署和市委、市政府中心工作，不断加大政府信息主动公开力度，规范依申请公开办理，强化政务公开平台建设等工作，全面推进全市政务公开工作提质增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i w:val="0"/>
          <w:caps w:val="0"/>
          <w:color w:val="auto"/>
          <w:spacing w:val="0"/>
          <w:sz w:val="32"/>
          <w:szCs w:val="32"/>
          <w:shd w:val="clear" w:fill="FFFFFF"/>
          <w:lang w:val="en-US" w:eastAsia="zh-CN"/>
        </w:rPr>
      </w:pPr>
      <w:r>
        <w:rPr>
          <w:rStyle w:val="11"/>
          <w:rFonts w:hint="eastAsia" w:ascii="楷体" w:hAnsi="楷体" w:eastAsia="楷体" w:cs="楷体"/>
          <w:b w:val="0"/>
          <w:bCs/>
          <w:i w:val="0"/>
          <w:caps w:val="0"/>
          <w:color w:val="auto"/>
          <w:spacing w:val="0"/>
          <w:sz w:val="32"/>
          <w:szCs w:val="32"/>
          <w:shd w:val="clear" w:fill="FFFFFF"/>
          <w:lang w:eastAsia="zh-CN"/>
        </w:rPr>
        <w:t>（一）</w:t>
      </w:r>
      <w:r>
        <w:rPr>
          <w:rStyle w:val="11"/>
          <w:rFonts w:hint="eastAsia" w:ascii="楷体" w:hAnsi="楷体" w:eastAsia="楷体" w:cs="楷体"/>
          <w:b w:val="0"/>
          <w:bCs/>
          <w:i w:val="0"/>
          <w:caps w:val="0"/>
          <w:color w:val="auto"/>
          <w:spacing w:val="0"/>
          <w:sz w:val="32"/>
          <w:szCs w:val="32"/>
          <w:shd w:val="clear" w:fill="FFFFFF"/>
        </w:rPr>
        <w:t>主动公开方面</w:t>
      </w:r>
      <w:r>
        <w:rPr>
          <w:rStyle w:val="11"/>
          <w:rFonts w:hint="eastAsia" w:ascii="楷体" w:hAnsi="楷体" w:eastAsia="楷体" w:cs="楷体"/>
          <w:b w:val="0"/>
          <w:bCs/>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lang w:val="en-US" w:eastAsia="zh-CN"/>
        </w:rPr>
        <w:t>认真落实政府预决算公开主体责任，规范政府预决算公开方式，制定了全市部门预决算公开模板，将预决算公开的内容要素全部纳入统一制作的标准化公开模板，积极做好政府债券存续期和惠民惠农财政补贴政策文件清单信息公开，全年在市政府网站公开各类财政信息375条。积极通过政府网站、政务新媒体发布疫情防控相关信息，让公众实时了解最新疫情动态和应对处置工作进展情况</w:t>
      </w:r>
      <w:r>
        <w:rPr>
          <w:rFonts w:hint="default" w:ascii="仿宋" w:hAnsi="仿宋" w:eastAsia="仿宋" w:cs="仿宋"/>
          <w:i w:val="0"/>
          <w:caps w:val="0"/>
          <w:color w:val="auto"/>
          <w:spacing w:val="0"/>
          <w:sz w:val="32"/>
          <w:szCs w:val="32"/>
          <w:shd w:val="clear" w:fill="FFFFFF"/>
          <w:lang w:val="en-US" w:eastAsia="zh-CN"/>
        </w:rPr>
        <w:t>。</w:t>
      </w:r>
      <w:r>
        <w:rPr>
          <w:rFonts w:hint="eastAsia" w:ascii="仿宋" w:hAnsi="仿宋" w:eastAsia="仿宋" w:cs="仿宋"/>
          <w:i w:val="0"/>
          <w:caps w:val="0"/>
          <w:color w:val="auto"/>
          <w:spacing w:val="0"/>
          <w:sz w:val="32"/>
          <w:szCs w:val="32"/>
          <w:shd w:val="clear" w:fill="FFFFFF"/>
          <w:lang w:val="en-US" w:eastAsia="zh-CN"/>
        </w:rPr>
        <w:t>不断加大环境监管信息公开力度，全面实行行政执法公示制度，市环保部门全年共办理和公开污染环境行政处罚案件614件。此外，还及时公开重大建设项目批准服务、批准结果等有关信息，指导教育、卫生健康、公共交通等公共企事业单位主动公开信息。市政府门户网站全年公开各类政府信息13679条，市政府微博微信发布信息3295篇。认真抓好重大政策宣传解读，通过政策问答、图表图解、动漫视频等多种方式增强政策文件的可读性、实效性，特别是对“1+20”稳定经济运行的若干措施及配套政策文件进行了深入精准解读。</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caps w:val="0"/>
          <w:color w:val="auto"/>
          <w:spacing w:val="0"/>
          <w:sz w:val="32"/>
          <w:szCs w:val="32"/>
          <w:shd w:val="clear" w:fill="FFFFFF"/>
          <w:lang w:val="en-US" w:eastAsia="zh-CN"/>
        </w:rPr>
      </w:pPr>
      <w:r>
        <w:rPr>
          <w:rStyle w:val="11"/>
          <w:rFonts w:hint="eastAsia" w:ascii="楷体" w:hAnsi="楷体" w:eastAsia="楷体" w:cs="楷体"/>
          <w:b w:val="0"/>
          <w:bCs/>
          <w:i w:val="0"/>
          <w:caps w:val="0"/>
          <w:color w:val="auto"/>
          <w:spacing w:val="0"/>
          <w:sz w:val="32"/>
          <w:szCs w:val="32"/>
          <w:shd w:val="clear" w:fill="FFFFFF"/>
        </w:rPr>
        <w:t>（二）依申请公开方面。</w:t>
      </w:r>
      <w:r>
        <w:rPr>
          <w:rFonts w:hint="eastAsia" w:ascii="仿宋" w:hAnsi="仿宋" w:eastAsia="仿宋" w:cs="仿宋"/>
          <w:i w:val="0"/>
          <w:caps w:val="0"/>
          <w:color w:val="auto"/>
          <w:spacing w:val="0"/>
          <w:sz w:val="32"/>
          <w:szCs w:val="32"/>
          <w:shd w:val="clear" w:fill="FFFFFF"/>
          <w:lang w:val="en-US" w:eastAsia="zh-CN"/>
        </w:rPr>
        <w:t>认真贯彻执行《河北省政府信息公开申请办理规范》，进一步健全完善政府信息公开申请接收、登记、审核、办理、答复、归档工作制度，对答复书格式进行了统一规范。进一步优化了网上办理流程，提高了依申请公开网上办理透明度。在工作中注重加强与申请人之间的沟通联系，更好地保障人民群众合理信息需求。全市共办理依申请政府信息公开2314件，其中引发行政复议案件185件，行政诉讼案件86件。</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i w:val="0"/>
          <w:caps w:val="0"/>
          <w:color w:val="auto"/>
          <w:spacing w:val="0"/>
          <w:sz w:val="32"/>
          <w:szCs w:val="32"/>
          <w:shd w:val="clear" w:fill="FFFFFF"/>
          <w:lang w:val="en-US" w:eastAsia="zh-CN"/>
        </w:rPr>
      </w:pPr>
      <w:r>
        <w:rPr>
          <w:rStyle w:val="11"/>
          <w:rFonts w:hint="eastAsia" w:ascii="楷体" w:hAnsi="楷体" w:eastAsia="楷体" w:cs="楷体"/>
          <w:b w:val="0"/>
          <w:bCs/>
          <w:i w:val="0"/>
          <w:caps w:val="0"/>
          <w:color w:val="auto"/>
          <w:spacing w:val="0"/>
          <w:sz w:val="32"/>
          <w:szCs w:val="32"/>
          <w:shd w:val="clear" w:fill="FFFFFF"/>
        </w:rPr>
        <w:t>（三）政府信息管理方面。</w:t>
      </w:r>
      <w:r>
        <w:rPr>
          <w:rFonts w:hint="eastAsia" w:ascii="仿宋" w:hAnsi="仿宋" w:eastAsia="仿宋" w:cs="仿宋"/>
          <w:i w:val="0"/>
          <w:caps w:val="0"/>
          <w:color w:val="auto"/>
          <w:spacing w:val="0"/>
          <w:sz w:val="32"/>
          <w:szCs w:val="32"/>
          <w:shd w:val="clear" w:fill="FFFFFF"/>
          <w:lang w:val="en-US" w:eastAsia="zh-CN"/>
        </w:rPr>
        <w:t>以市政府办公室名义印发了《关于进一步规范政府文件信息公开审查工作的通知》，县（市、区）和市政府部门均按要求制作了《拟发公文信息公开审查表》，严格落实公文公开属性源头认定和公开前发布审查工作机制。对市政府规章进行了系统清理，在市政府网站集中公开市政府现行有效规章 59件，并按照国家规范格式，进行了标准化更新，优化了查阅、检索、下载功能。对现行有效的行政规范性文件进行了全面清理，全市共废止行政规范性文件133件。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i w:val="0"/>
          <w:caps w:val="0"/>
          <w:color w:val="auto"/>
          <w:spacing w:val="0"/>
          <w:kern w:val="2"/>
          <w:sz w:val="32"/>
          <w:szCs w:val="32"/>
          <w:shd w:val="clear" w:fill="FFFFFF"/>
          <w:lang w:val="en-US" w:eastAsia="zh-CN" w:bidi="ar-SA"/>
        </w:rPr>
      </w:pPr>
      <w:r>
        <w:rPr>
          <w:rStyle w:val="11"/>
          <w:rFonts w:hint="eastAsia" w:ascii="楷体" w:hAnsi="楷体" w:eastAsia="楷体" w:cs="楷体"/>
          <w:b w:val="0"/>
          <w:bCs/>
          <w:i w:val="0"/>
          <w:caps w:val="0"/>
          <w:color w:val="auto"/>
          <w:spacing w:val="0"/>
          <w:sz w:val="32"/>
          <w:szCs w:val="32"/>
          <w:shd w:val="clear" w:fill="FFFFFF"/>
        </w:rPr>
        <w:t>（四）政府信息公开平台建设方面。</w:t>
      </w:r>
      <w:r>
        <w:rPr>
          <w:rFonts w:hint="eastAsia" w:ascii="仿宋" w:hAnsi="仿宋" w:eastAsia="仿宋" w:cs="仿宋"/>
          <w:i w:val="0"/>
          <w:caps w:val="0"/>
          <w:color w:val="auto"/>
          <w:spacing w:val="0"/>
          <w:kern w:val="2"/>
          <w:sz w:val="32"/>
          <w:szCs w:val="32"/>
          <w:shd w:val="clear" w:fill="FFFFFF"/>
          <w:lang w:val="en-US" w:eastAsia="zh-CN" w:bidi="ar-SA"/>
        </w:rPr>
        <w:t>持续推进政府网站整改整合，加快实施市县两级政府网站在市政府网站云平台的迁移适配和应用提升。在市政府网站建立了政策文件库，汇聚市政府部门和各县（市、区）政策文件，实现了全市政策文件一站式查询。进一步规范了市政府网站信息公开平台建设，设置了政策文件、政府信息公开指南、政府信息公开制度、政府信息公开年报、法定主动公开内容等版块，并组织各级各部门主动公开政策文件等信息。持续强化政务新媒体运维管理，严格稿件审核，不断创新编发形式，做到图文、图集、视频形式多样，对全市政务新媒体持续开展24小时不间断监测，全年共发布、监测微博微信稿件249132篇。积极发挥政府公报作用，全年编发市政府公报12期，公开政策文件50件。在全市各级政务服务大厅、便民服务中心规范设立了政务公开专区，提供政府信息公开查询、信息公开申请、办事咨询等服务，组织撰写的《河北省新乐市高标准建设政务公开专区助力提升发展环境》《石家庄市裕华区建好政务公开专区畅通惠民惠企政策》稿件，被国务院办公厅《政务公开交流》采用，先进经验全国推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i w:val="0"/>
          <w:caps w:val="0"/>
          <w:color w:val="auto"/>
          <w:spacing w:val="0"/>
          <w:kern w:val="2"/>
          <w:sz w:val="32"/>
          <w:szCs w:val="32"/>
          <w:shd w:val="clear" w:fill="FFFFFF"/>
          <w:lang w:val="en-US" w:eastAsia="zh-CN" w:bidi="ar-SA"/>
        </w:rPr>
      </w:pPr>
      <w:r>
        <w:rPr>
          <w:rStyle w:val="11"/>
          <w:rFonts w:hint="eastAsia" w:ascii="楷体" w:hAnsi="楷体" w:eastAsia="楷体" w:cs="楷体"/>
          <w:b w:val="0"/>
          <w:bCs/>
          <w:i w:val="0"/>
          <w:caps w:val="0"/>
          <w:color w:val="auto"/>
          <w:spacing w:val="0"/>
          <w:sz w:val="32"/>
          <w:szCs w:val="32"/>
          <w:u w:val="thick" w:color="FFFFFF" w:themeColor="background1"/>
          <w:shd w:val="clear" w:fill="FFFFFF"/>
        </w:rPr>
        <w:t>（五）监督保障方面。</w:t>
      </w:r>
      <w:r>
        <w:rPr>
          <w:rFonts w:hint="eastAsia" w:ascii="仿宋" w:hAnsi="仿宋" w:eastAsia="仿宋" w:cs="仿宋"/>
          <w:i w:val="0"/>
          <w:caps w:val="0"/>
          <w:color w:val="auto"/>
          <w:spacing w:val="0"/>
          <w:kern w:val="2"/>
          <w:sz w:val="32"/>
          <w:szCs w:val="32"/>
          <w:shd w:val="clear" w:fill="FFFFFF"/>
          <w:lang w:val="en-US" w:eastAsia="zh-CN" w:bidi="ar-SA"/>
        </w:rPr>
        <w:t>组织召开了全市政务公开工作会议，对全市政务公开工作提出了要求，有力促进了工作深入开展。建立了政务公开工作台账，细化实化责任分工，扎实推进各项工作落地落实。围绕政务新媒体、政府信息公开平台、政策解读等工作，定期开展检查核查，对发现的问题及时督促整改到位。积极开展政务公开工作调研，实地指导县（市、区）和市政府部门工作开展。建立了政务公开进展情况定期通报制度，组织开展了政务公开工作专项考核，有力促进了全市政务公开工作水平持续提升。</w:t>
      </w:r>
    </w:p>
    <w:p>
      <w:pPr>
        <w:numPr>
          <w:ilvl w:val="0"/>
          <w:numId w:val="0"/>
        </w:numPr>
        <w:ind w:firstLine="640" w:firstLineChars="200"/>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二、主动公开政府信息情况</w:t>
      </w:r>
    </w:p>
    <w:tbl>
      <w:tblPr>
        <w:tblStyle w:val="9"/>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2130"/>
        <w:gridCol w:w="885"/>
        <w:gridCol w:w="165"/>
        <w:gridCol w:w="1740"/>
        <w:gridCol w:w="1485"/>
        <w:gridCol w:w="205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第二十条第（一）项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1905" w:type="dxa"/>
            <w:gridSpan w:val="2"/>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本年制发件数</w:t>
            </w:r>
          </w:p>
        </w:tc>
        <w:tc>
          <w:tcPr>
            <w:tcW w:w="1485" w:type="dxa"/>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本年废止件数</w:t>
            </w:r>
          </w:p>
        </w:tc>
        <w:tc>
          <w:tcPr>
            <w:tcW w:w="2053" w:type="dxa"/>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现行有效件数</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规章</w:t>
            </w:r>
          </w:p>
        </w:tc>
        <w:tc>
          <w:tcPr>
            <w:tcW w:w="1905" w:type="dxa"/>
            <w:gridSpan w:val="2"/>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1485"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59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规范性文件</w:t>
            </w:r>
          </w:p>
        </w:tc>
        <w:tc>
          <w:tcPr>
            <w:tcW w:w="1905" w:type="dxa"/>
            <w:gridSpan w:val="2"/>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172</w:t>
            </w:r>
          </w:p>
        </w:tc>
        <w:tc>
          <w:tcPr>
            <w:tcW w:w="1485"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133</w:t>
            </w:r>
          </w:p>
        </w:tc>
        <w:tc>
          <w:tcPr>
            <w:tcW w:w="2053"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758</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第二十条第（五）项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5278" w:type="dxa"/>
            <w:gridSpan w:val="3"/>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行政许可</w:t>
            </w:r>
          </w:p>
        </w:tc>
        <w:tc>
          <w:tcPr>
            <w:tcW w:w="5278" w:type="dxa"/>
            <w:gridSpan w:val="3"/>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2171602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第二十条第（六）项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行政处罚</w:t>
            </w:r>
          </w:p>
        </w:tc>
        <w:tc>
          <w:tcPr>
            <w:tcW w:w="6328" w:type="dxa"/>
            <w:gridSpan w:val="5"/>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152873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行政强制</w:t>
            </w:r>
          </w:p>
        </w:tc>
        <w:tc>
          <w:tcPr>
            <w:tcW w:w="6328" w:type="dxa"/>
            <w:gridSpan w:val="5"/>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1799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第二十条第（八）项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本年收费金额（单位：万元）</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行政事业性收费</w:t>
            </w:r>
          </w:p>
        </w:tc>
        <w:tc>
          <w:tcPr>
            <w:tcW w:w="6328" w:type="dxa"/>
            <w:gridSpan w:val="5"/>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238924</w:t>
            </w:r>
          </w:p>
        </w:tc>
      </w:tr>
    </w:tbl>
    <w:p>
      <w:pPr>
        <w:numPr>
          <w:ilvl w:val="0"/>
          <w:numId w:val="0"/>
        </w:numPr>
        <w:ind w:firstLine="320" w:firstLineChars="100"/>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三、收到和处理政府信息公开申请情况</w:t>
      </w:r>
    </w:p>
    <w:tbl>
      <w:tblPr>
        <w:tblStyle w:val="9"/>
        <w:tblW w:w="9247"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Layout w:type="fixed"/>
        <w:tblCellMar>
          <w:top w:w="15" w:type="dxa"/>
          <w:left w:w="15" w:type="dxa"/>
          <w:bottom w:w="15" w:type="dxa"/>
          <w:right w:w="15" w:type="dxa"/>
        </w:tblCellMar>
      </w:tblPr>
      <w:tblGrid>
        <w:gridCol w:w="716"/>
        <w:gridCol w:w="880"/>
        <w:gridCol w:w="2353"/>
        <w:gridCol w:w="939"/>
        <w:gridCol w:w="703"/>
        <w:gridCol w:w="703"/>
        <w:gridCol w:w="900"/>
        <w:gridCol w:w="900"/>
        <w:gridCol w:w="434"/>
        <w:gridCol w:w="71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3949" w:type="dxa"/>
            <w:gridSpan w:val="3"/>
            <w:vMerge w:val="restart"/>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（本列数据的勾稽关系为：第一项加第二项之和，等于第三项加第四项之和）</w:t>
            </w:r>
          </w:p>
        </w:tc>
        <w:tc>
          <w:tcPr>
            <w:tcW w:w="5298" w:type="dxa"/>
            <w:gridSpan w:val="7"/>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3949"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939"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法人或其他组织</w:t>
            </w:r>
          </w:p>
        </w:tc>
        <w:tc>
          <w:tcPr>
            <w:tcW w:w="719" w:type="dxa"/>
            <w:vMerge w:val="restart"/>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3949"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939"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商业企业</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tc>
        <w:tc>
          <w:tcPr>
            <w:tcW w:w="719" w:type="dxa"/>
            <w:vMerge w:val="continue"/>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3949"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一、本年新收政府信息公开申请数量</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2238</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41</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2282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3949"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二、上年结转政府信息公开申请数量</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32</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三、本年度办理结果</w:t>
            </w:r>
          </w:p>
        </w:tc>
        <w:tc>
          <w:tcPr>
            <w:tcW w:w="3233"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（一）予以公开</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999</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11</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1011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3233"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（二）部分公开（区分处理的，只计这一情形，不计其他情形）</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243</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6</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249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公开</w:t>
            </w: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1.属于国家秘密</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6</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其他法律行政法规禁止公开</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3.危及“三安全一稳定”</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4.保护第三方合法权益</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36</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5.属于三类内部事务信息</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8</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8</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6.属于四类过程性信息</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12</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7.属于行政执法案卷</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8.属于行政查询事项</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8</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8</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无法</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提供</w:t>
            </w: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numPr>
                <w:ilvl w:val="0"/>
                <w:numId w:val="4"/>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本机关不掌握相关政府</w:t>
            </w:r>
          </w:p>
          <w:p>
            <w:pPr>
              <w:pStyle w:val="7"/>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Chars="0" w:right="0" w:right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786</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19</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807</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2.没有现成信息需要另行制作</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32</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3.补正后申请内容仍不明确</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（五）</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1.信访举报投诉类申请</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16</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2.重复申请</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17</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17</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3.要求提供公开出版物</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4.无正当理由大量反复申请</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5.要求行政机关确认或重新出具已获取信息</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（六）</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1.申请人无正当理由逾期不补正、行政机关不再处理其政府信息公开申请</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6</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left w:val="nil"/>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2.申请人逾期未按收费通知要求缴纳费用、行政机关不再处理其政府信息公开申请</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tabs>
                <w:tab w:val="left" w:pos="212"/>
              </w:tabs>
              <w:spacing w:before="0" w:beforeAutospacing="0" w:after="0" w:afterAutospacing="0" w:line="23" w:lineRule="atLeast"/>
              <w:ind w:left="0" w:leftChars="0" w:right="0" w:rightChars="0" w:firstLine="0" w:firstLineChars="0"/>
              <w:jc w:val="lef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ab/>
            </w: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tabs>
                <w:tab w:val="left" w:pos="493"/>
              </w:tabs>
              <w:spacing w:before="0" w:beforeAutospacing="0" w:after="0" w:afterAutospacing="0" w:line="23" w:lineRule="atLeast"/>
              <w:ind w:left="0" w:leftChars="0" w:right="0" w:rightChars="0" w:firstLine="0" w:firstLineChars="0"/>
              <w:jc w:val="lef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tabs>
                <w:tab w:val="left" w:pos="503"/>
              </w:tabs>
              <w:spacing w:before="0" w:beforeAutospacing="0" w:after="0" w:afterAutospacing="0" w:line="23" w:lineRule="atLeast"/>
              <w:ind w:left="0" w:leftChars="0" w:right="0" w:rightChars="0" w:firstLine="0" w:firstLineChars="0"/>
              <w:jc w:val="lef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r>
              <w:rPr>
                <w:rFonts w:hint="eastAsia" w:ascii="宋体" w:hAnsi="宋体" w:eastAsia="宋体" w:cs="宋体"/>
                <w:sz w:val="18"/>
                <w:szCs w:val="18"/>
                <w:lang w:val="en-US" w:eastAsia="zh-CN"/>
              </w:rPr>
              <w:tab/>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p>
        </w:tc>
        <w:tc>
          <w:tcPr>
            <w:tcW w:w="235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3.其他</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72</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73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3233"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（七）总计</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2248</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41</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2292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3949"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四、结转下年度继续办理</w:t>
            </w:r>
          </w:p>
        </w:tc>
        <w:tc>
          <w:tcPr>
            <w:tcW w:w="93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22</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tabs>
                <w:tab w:val="left" w:pos="493"/>
              </w:tabs>
              <w:spacing w:before="0" w:beforeAutospacing="0" w:after="0" w:afterAutospacing="0" w:line="23" w:lineRule="atLeast"/>
              <w:ind w:left="0" w:right="0" w:firstLine="0"/>
              <w:jc w:val="lef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tabs>
                <w:tab w:val="left" w:pos="472"/>
              </w:tabs>
              <w:spacing w:before="0" w:beforeAutospacing="0" w:after="0" w:afterAutospacing="0" w:line="23" w:lineRule="atLeast"/>
              <w:ind w:left="0" w:right="0" w:firstLine="0"/>
              <w:jc w:val="lef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p>
        </w:tc>
        <w:tc>
          <w:tcPr>
            <w:tcW w:w="434"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22</w:t>
            </w:r>
          </w:p>
        </w:tc>
      </w:tr>
    </w:tbl>
    <w:p>
      <w:pPr>
        <w:pStyle w:val="3"/>
        <w:rPr>
          <w:rFonts w:hint="eastAsia"/>
          <w:lang w:val="en-US" w:eastAsia="zh-CN"/>
        </w:rPr>
      </w:pPr>
    </w:p>
    <w:p>
      <w:pPr>
        <w:numPr>
          <w:ilvl w:val="0"/>
          <w:numId w:val="0"/>
        </w:numPr>
        <w:ind w:firstLine="640" w:firstLineChars="200"/>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四、政府信息公开行政复议、行政诉讼情况</w:t>
      </w:r>
    </w:p>
    <w:tbl>
      <w:tblPr>
        <w:tblStyle w:val="9"/>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2672" w:type="dxa"/>
            <w:gridSpan w:val="5"/>
            <w:tcBorders>
              <w:top w:val="single" w:color="auto" w:sz="6" w:space="0"/>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行政复议</w:t>
            </w:r>
          </w:p>
        </w:tc>
        <w:tc>
          <w:tcPr>
            <w:tcW w:w="5970" w:type="dxa"/>
            <w:gridSpan w:val="10"/>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540" w:type="dxa"/>
            <w:vMerge w:val="restart"/>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结果维持</w:t>
            </w:r>
          </w:p>
        </w:tc>
        <w:tc>
          <w:tcPr>
            <w:tcW w:w="540" w:type="dxa"/>
            <w:vMerge w:val="restart"/>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结果纠正</w:t>
            </w:r>
          </w:p>
        </w:tc>
        <w:tc>
          <w:tcPr>
            <w:tcW w:w="495" w:type="dxa"/>
            <w:vMerge w:val="restart"/>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其他结果</w:t>
            </w:r>
          </w:p>
        </w:tc>
        <w:tc>
          <w:tcPr>
            <w:tcW w:w="549" w:type="dxa"/>
            <w:vMerge w:val="restart"/>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尚未审结</w:t>
            </w:r>
          </w:p>
        </w:tc>
        <w:tc>
          <w:tcPr>
            <w:tcW w:w="548" w:type="dxa"/>
            <w:vMerge w:val="restart"/>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2985" w:type="dxa"/>
            <w:gridSpan w:val="5"/>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未经复议直接起诉</w:t>
            </w:r>
          </w:p>
        </w:tc>
        <w:tc>
          <w:tcPr>
            <w:tcW w:w="2985" w:type="dxa"/>
            <w:gridSpan w:val="5"/>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vMerge w:val="continue"/>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0" w:type="dxa"/>
            <w:vMerge w:val="continue"/>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495" w:type="dxa"/>
            <w:vMerge w:val="continue"/>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9" w:type="dxa"/>
            <w:vMerge w:val="continue"/>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8" w:type="dxa"/>
            <w:vMerge w:val="continue"/>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682"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503" w:type="dxa"/>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712" w:type="dxa"/>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473" w:type="dxa"/>
            <w:tcBorders>
              <w:top w:val="single" w:color="auto" w:sz="6" w:space="0"/>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540" w:type="dxa"/>
            <w:tcBorders>
              <w:top w:val="nil"/>
              <w:left w:val="single" w:color="auto" w:sz="6" w:space="0"/>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122</w:t>
            </w:r>
          </w:p>
        </w:tc>
        <w:tc>
          <w:tcPr>
            <w:tcW w:w="540"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36</w:t>
            </w:r>
          </w:p>
        </w:tc>
        <w:tc>
          <w:tcPr>
            <w:tcW w:w="495"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13</w:t>
            </w:r>
          </w:p>
        </w:tc>
        <w:tc>
          <w:tcPr>
            <w:tcW w:w="549"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14</w:t>
            </w:r>
          </w:p>
        </w:tc>
        <w:tc>
          <w:tcPr>
            <w:tcW w:w="548"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185</w:t>
            </w:r>
          </w:p>
        </w:tc>
        <w:tc>
          <w:tcPr>
            <w:tcW w:w="682"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17</w:t>
            </w:r>
          </w:p>
        </w:tc>
        <w:tc>
          <w:tcPr>
            <w:tcW w:w="600"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w:t>
            </w:r>
          </w:p>
        </w:tc>
        <w:tc>
          <w:tcPr>
            <w:tcW w:w="600"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11</w:t>
            </w:r>
          </w:p>
        </w:tc>
        <w:tc>
          <w:tcPr>
            <w:tcW w:w="600"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16</w:t>
            </w:r>
          </w:p>
        </w:tc>
        <w:tc>
          <w:tcPr>
            <w:tcW w:w="503"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51</w:t>
            </w:r>
          </w:p>
        </w:tc>
        <w:tc>
          <w:tcPr>
            <w:tcW w:w="712"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12</w:t>
            </w:r>
          </w:p>
        </w:tc>
        <w:tc>
          <w:tcPr>
            <w:tcW w:w="600"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600"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4</w:t>
            </w:r>
          </w:p>
        </w:tc>
        <w:tc>
          <w:tcPr>
            <w:tcW w:w="600"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18</w:t>
            </w:r>
          </w:p>
        </w:tc>
        <w:tc>
          <w:tcPr>
            <w:tcW w:w="473" w:type="dxa"/>
            <w:tcBorders>
              <w:top w:val="nil"/>
              <w:left w:val="nil"/>
              <w:bottom w:val="single" w:color="auto" w:sz="6" w:space="0"/>
              <w:right w:val="single" w:color="auto" w:sz="6" w:space="0"/>
            </w:tcBorders>
            <w:shd w:val="clear" w:color="auto" w:fill="auto"/>
            <w:noWrap/>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35</w:t>
            </w:r>
          </w:p>
        </w:tc>
      </w:tr>
    </w:tbl>
    <w:p>
      <w:pPr>
        <w:pStyle w:val="3"/>
        <w:ind w:left="0" w:leftChars="0" w:firstLine="0" w:firstLineChars="0"/>
        <w:rPr>
          <w:rFonts w:hint="eastAsia"/>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 xml:space="preserve">    五、存在的问题及改进情况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caps w:val="0"/>
          <w:color w:val="auto"/>
          <w:spacing w:val="0"/>
          <w:kern w:val="2"/>
          <w:sz w:val="32"/>
          <w:szCs w:val="32"/>
          <w:shd w:val="clear" w:fill="FFFFFF"/>
          <w:lang w:val="en-US" w:eastAsia="zh-CN" w:bidi="ar-SA"/>
        </w:rPr>
      </w:pPr>
      <w:r>
        <w:rPr>
          <w:rFonts w:hint="eastAsia" w:ascii="仿宋" w:hAnsi="仿宋" w:eastAsia="仿宋" w:cs="仿宋"/>
          <w:i w:val="0"/>
          <w:caps w:val="0"/>
          <w:color w:val="auto"/>
          <w:spacing w:val="0"/>
          <w:kern w:val="2"/>
          <w:sz w:val="32"/>
          <w:szCs w:val="32"/>
          <w:shd w:val="clear" w:fill="FFFFFF"/>
          <w:lang w:val="en-US" w:eastAsia="zh-CN" w:bidi="ar-SA"/>
        </w:rPr>
        <w:t>存在的问题：政务公开工作虽然取得了一些成绩，但与人民群众期待仍有一定差距和不足。一是存在政府信息主动公开不够到位、依申请公开办理不够准确、政策解读不够深入等问题；二是基层政务公开基础有待进一步夯实，基层政务公开标准化规范化工作推进还不平衡；三是基层政务公开工作人员变化较为频繁，导致有些工作人员业务不精不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caps w:val="0"/>
          <w:color w:val="auto"/>
          <w:spacing w:val="0"/>
          <w:kern w:val="2"/>
          <w:sz w:val="32"/>
          <w:szCs w:val="32"/>
          <w:shd w:val="clear" w:fill="FFFFFF"/>
          <w:lang w:val="en-US" w:eastAsia="zh-CN" w:bidi="ar-SA"/>
        </w:rPr>
      </w:pPr>
      <w:r>
        <w:rPr>
          <w:rFonts w:hint="eastAsia" w:ascii="仿宋" w:hAnsi="仿宋" w:eastAsia="仿宋" w:cs="仿宋"/>
          <w:i w:val="0"/>
          <w:caps w:val="0"/>
          <w:color w:val="auto"/>
          <w:spacing w:val="0"/>
          <w:kern w:val="2"/>
          <w:sz w:val="32"/>
          <w:szCs w:val="32"/>
          <w:shd w:val="clear" w:fill="FFFFFF"/>
          <w:lang w:val="en-US" w:eastAsia="zh-CN" w:bidi="ar-SA"/>
        </w:rPr>
        <w:t>针对工作中存在的一些问题，着重做了如下改进：一是建立了全市工作开展情况定期通报制度，督促各单位比学赶超；二是在市政府门户网站设置了政策解读版块，增加了图解图表、媒体解读等内容，不断丰富解读形式，细化解读内容；三是在全市范围内组织开展了政府信息公开法律知识学习问答活动，推动全市各级行政机关工作人员深入学习《中华人民共和国政府信息公开条例》</w:t>
      </w:r>
      <w:bookmarkStart w:id="0" w:name="_GoBack"/>
      <w:bookmarkEnd w:id="0"/>
      <w:r>
        <w:rPr>
          <w:rFonts w:hint="eastAsia" w:ascii="仿宋" w:hAnsi="仿宋" w:eastAsia="仿宋" w:cs="仿宋"/>
          <w:i w:val="0"/>
          <w:caps w:val="0"/>
          <w:color w:val="auto"/>
          <w:spacing w:val="0"/>
          <w:kern w:val="2"/>
          <w:sz w:val="32"/>
          <w:szCs w:val="32"/>
          <w:shd w:val="clear" w:fill="FFFFFF"/>
          <w:lang w:val="en-US" w:eastAsia="zh-CN" w:bidi="ar-SA"/>
        </w:rPr>
        <w:t>和相关法律知识。下一步，将按照国家和省关于政务公开工作的安排部署，围绕贯彻落实《中华人民共和国政府信息公开条例》，继续深入推进主动公开、平台建设、政策解读、依申请公开、基层政务公开等工作，并通过开展业务培训、研讨交流、实地观摩等多种形式，切实增强各级行政机关工作人员公开意识，提高信息发布、政策解读、回应关切的能力，全力提升全市政府信息公开质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六、其他需要报告的事项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i w:val="0"/>
          <w:caps w:val="0"/>
          <w:color w:val="auto"/>
          <w:spacing w:val="0"/>
          <w:kern w:val="2"/>
          <w:sz w:val="32"/>
          <w:szCs w:val="32"/>
          <w:shd w:val="clear" w:fill="FFFFFF"/>
          <w:lang w:val="en-US" w:eastAsia="zh-CN" w:bidi="ar-SA"/>
        </w:rPr>
        <w:t>无其他需要报告的事项。</w:t>
      </w:r>
    </w:p>
    <w:p>
      <w:pPr>
        <w:keepNext w:val="0"/>
        <w:keepLines w:val="0"/>
        <w:pageBreakBefore w:val="0"/>
        <w:kinsoku/>
        <w:wordWrap/>
        <w:overflowPunct/>
        <w:topLinePunct w:val="0"/>
        <w:autoSpaceDE/>
        <w:autoSpaceDN/>
        <w:bidi w:val="0"/>
        <w:adjustRightInd/>
        <w:snapToGrid/>
        <w:spacing w:line="560" w:lineRule="exact"/>
        <w:textAlignment w:val="auto"/>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 w:hAnsi="仿宋" w:eastAsia="仿宋" w:cs="仿宋"/>
          <w:color w:val="auto"/>
          <w:sz w:val="32"/>
          <w:szCs w:val="32"/>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F8BD0"/>
    <w:multiLevelType w:val="singleLevel"/>
    <w:tmpl w:val="995F8BD0"/>
    <w:lvl w:ilvl="0" w:tentative="0">
      <w:start w:val="2"/>
      <w:numFmt w:val="decimal"/>
      <w:lvlText w:val="%1."/>
      <w:lvlJc w:val="left"/>
      <w:pPr>
        <w:tabs>
          <w:tab w:val="left" w:pos="312"/>
        </w:tabs>
      </w:pPr>
    </w:lvl>
  </w:abstractNum>
  <w:abstractNum w:abstractNumId="1">
    <w:nsid w:val="DC16339F"/>
    <w:multiLevelType w:val="singleLevel"/>
    <w:tmpl w:val="DC16339F"/>
    <w:lvl w:ilvl="0" w:tentative="0">
      <w:start w:val="1"/>
      <w:numFmt w:val="decimal"/>
      <w:lvlText w:val="%1."/>
      <w:lvlJc w:val="left"/>
      <w:pPr>
        <w:tabs>
          <w:tab w:val="left" w:pos="312"/>
        </w:tabs>
      </w:pPr>
    </w:lvl>
  </w:abstractNum>
  <w:abstractNum w:abstractNumId="2">
    <w:nsid w:val="FE59DB7A"/>
    <w:multiLevelType w:val="multilevel"/>
    <w:tmpl w:val="FE59DB7A"/>
    <w:lvl w:ilvl="0" w:tentative="0">
      <w:start w:val="1"/>
      <w:numFmt w:val="bullet"/>
      <w:lvlText w:val=""/>
      <w:lvlJc w:val="left"/>
      <w:pPr>
        <w:tabs>
          <w:tab w:val="left" w:pos="720"/>
        </w:tabs>
        <w:ind w:left="720" w:hanging="360"/>
      </w:pPr>
      <w:rPr>
        <w:rFonts w:ascii="Symbol" w:hAnsi="Symbol" w:cs="Symbol"/>
        <w:sz w:val="20"/>
      </w:rPr>
    </w:lvl>
    <w:lvl w:ilvl="1" w:tentative="0">
      <w:start w:val="1"/>
      <w:numFmt w:val="bullet"/>
      <w:lvlText w:val="o"/>
      <w:lvlJc w:val="left"/>
      <w:pPr>
        <w:tabs>
          <w:tab w:val="left" w:pos="1440"/>
        </w:tabs>
        <w:ind w:left="1440" w:hanging="360"/>
      </w:pPr>
      <w:rPr>
        <w:rFonts w:ascii="Courier New" w:hAnsi="Courier New" w:cs="Courier New"/>
        <w:sz w:val="20"/>
      </w:rPr>
    </w:lvl>
    <w:lvl w:ilvl="2" w:tentative="0">
      <w:start w:val="1"/>
      <w:numFmt w:val="bullet"/>
      <w:lvlText w:val=""/>
      <w:lvlJc w:val="left"/>
      <w:pPr>
        <w:tabs>
          <w:tab w:val="left" w:pos="2160"/>
        </w:tabs>
        <w:ind w:left="2160" w:hanging="360"/>
      </w:pPr>
      <w:rPr>
        <w:rFonts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3">
    <w:nsid w:val="4B3FE9FC"/>
    <w:multiLevelType w:val="singleLevel"/>
    <w:tmpl w:val="4B3FE9FC"/>
    <w:lvl w:ilvl="0" w:tentative="0">
      <w:start w:val="1"/>
      <w:numFmt w:val="chineseCounting"/>
      <w:suff w:val="nothing"/>
      <w:lvlText w:val="%1、"/>
      <w:lvlJc w:val="left"/>
      <w:rPr>
        <w:rFonts w:hint="eastAsia"/>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c880d556-5e78-4987-84ce-66207c19bc12"/>
  </w:docVars>
  <w:rsids>
    <w:rsidRoot w:val="17B61A6B"/>
    <w:rsid w:val="001A0B9D"/>
    <w:rsid w:val="007C43BF"/>
    <w:rsid w:val="00B03811"/>
    <w:rsid w:val="01003150"/>
    <w:rsid w:val="018169B2"/>
    <w:rsid w:val="01C668AF"/>
    <w:rsid w:val="01FE7F69"/>
    <w:rsid w:val="026F105E"/>
    <w:rsid w:val="027D2331"/>
    <w:rsid w:val="03084572"/>
    <w:rsid w:val="03770DF5"/>
    <w:rsid w:val="03902C8B"/>
    <w:rsid w:val="039F434B"/>
    <w:rsid w:val="03A575B7"/>
    <w:rsid w:val="03B95856"/>
    <w:rsid w:val="03C26535"/>
    <w:rsid w:val="045A18EB"/>
    <w:rsid w:val="04BB249C"/>
    <w:rsid w:val="050C6757"/>
    <w:rsid w:val="052377CB"/>
    <w:rsid w:val="058F10A0"/>
    <w:rsid w:val="06394C91"/>
    <w:rsid w:val="06B853F5"/>
    <w:rsid w:val="06BA19FA"/>
    <w:rsid w:val="06C31B0E"/>
    <w:rsid w:val="06C96D19"/>
    <w:rsid w:val="06F93A73"/>
    <w:rsid w:val="071661FE"/>
    <w:rsid w:val="080263C4"/>
    <w:rsid w:val="085A7F03"/>
    <w:rsid w:val="087C2243"/>
    <w:rsid w:val="089D50E4"/>
    <w:rsid w:val="08C31450"/>
    <w:rsid w:val="08FA0D07"/>
    <w:rsid w:val="097B3A4A"/>
    <w:rsid w:val="09C64F56"/>
    <w:rsid w:val="09DF19F2"/>
    <w:rsid w:val="09E46A48"/>
    <w:rsid w:val="0A642DA3"/>
    <w:rsid w:val="0B891E3B"/>
    <w:rsid w:val="0B8F1908"/>
    <w:rsid w:val="0C8546E3"/>
    <w:rsid w:val="0CB97B87"/>
    <w:rsid w:val="0D3C0D54"/>
    <w:rsid w:val="0D6935AC"/>
    <w:rsid w:val="0D714B05"/>
    <w:rsid w:val="0D782175"/>
    <w:rsid w:val="0D943FFD"/>
    <w:rsid w:val="0DCA666B"/>
    <w:rsid w:val="0DCE02D5"/>
    <w:rsid w:val="0E5B44AE"/>
    <w:rsid w:val="0EF41989"/>
    <w:rsid w:val="0F601529"/>
    <w:rsid w:val="0F725763"/>
    <w:rsid w:val="10A727C8"/>
    <w:rsid w:val="10A841B4"/>
    <w:rsid w:val="10AB2C58"/>
    <w:rsid w:val="10C95FAF"/>
    <w:rsid w:val="114C19A5"/>
    <w:rsid w:val="11DC2AEF"/>
    <w:rsid w:val="123B6C5B"/>
    <w:rsid w:val="12AC1567"/>
    <w:rsid w:val="12CE78C8"/>
    <w:rsid w:val="12D92182"/>
    <w:rsid w:val="136375E8"/>
    <w:rsid w:val="145B5B15"/>
    <w:rsid w:val="1506622C"/>
    <w:rsid w:val="15684F7D"/>
    <w:rsid w:val="160929FD"/>
    <w:rsid w:val="16273212"/>
    <w:rsid w:val="16A63713"/>
    <w:rsid w:val="16C214DD"/>
    <w:rsid w:val="16FF1B5F"/>
    <w:rsid w:val="172C1AC9"/>
    <w:rsid w:val="17B61A6B"/>
    <w:rsid w:val="18036579"/>
    <w:rsid w:val="184E5EDA"/>
    <w:rsid w:val="185B5021"/>
    <w:rsid w:val="185D45C6"/>
    <w:rsid w:val="18782A55"/>
    <w:rsid w:val="187E75F2"/>
    <w:rsid w:val="18A55AB3"/>
    <w:rsid w:val="18D820E2"/>
    <w:rsid w:val="19246796"/>
    <w:rsid w:val="19280B86"/>
    <w:rsid w:val="19697A84"/>
    <w:rsid w:val="1A517AA9"/>
    <w:rsid w:val="1B377D33"/>
    <w:rsid w:val="1B7B03B0"/>
    <w:rsid w:val="1B864C4F"/>
    <w:rsid w:val="1BC25F50"/>
    <w:rsid w:val="1D555373"/>
    <w:rsid w:val="1DC034B8"/>
    <w:rsid w:val="1DD2647F"/>
    <w:rsid w:val="1DD50259"/>
    <w:rsid w:val="1E1B6148"/>
    <w:rsid w:val="1E2B689A"/>
    <w:rsid w:val="1E645CED"/>
    <w:rsid w:val="1ED91D71"/>
    <w:rsid w:val="1F33052D"/>
    <w:rsid w:val="1F7238AA"/>
    <w:rsid w:val="1F7A73E7"/>
    <w:rsid w:val="1F802061"/>
    <w:rsid w:val="1F8A4704"/>
    <w:rsid w:val="2089267E"/>
    <w:rsid w:val="211E765A"/>
    <w:rsid w:val="21680180"/>
    <w:rsid w:val="21996873"/>
    <w:rsid w:val="22067B30"/>
    <w:rsid w:val="229F0EF8"/>
    <w:rsid w:val="22A23CF1"/>
    <w:rsid w:val="22A52AA6"/>
    <w:rsid w:val="22FF2D1D"/>
    <w:rsid w:val="23444FF0"/>
    <w:rsid w:val="23C20952"/>
    <w:rsid w:val="23D96E39"/>
    <w:rsid w:val="24101F55"/>
    <w:rsid w:val="243E5252"/>
    <w:rsid w:val="24AB255E"/>
    <w:rsid w:val="24BE23FA"/>
    <w:rsid w:val="24F028CD"/>
    <w:rsid w:val="254360C2"/>
    <w:rsid w:val="2597373E"/>
    <w:rsid w:val="26151F2B"/>
    <w:rsid w:val="26656064"/>
    <w:rsid w:val="26C22B69"/>
    <w:rsid w:val="26DF2895"/>
    <w:rsid w:val="26E56616"/>
    <w:rsid w:val="26FB5A88"/>
    <w:rsid w:val="27736602"/>
    <w:rsid w:val="27A86499"/>
    <w:rsid w:val="27D61157"/>
    <w:rsid w:val="283A4EF2"/>
    <w:rsid w:val="283D14EB"/>
    <w:rsid w:val="28AD3E4B"/>
    <w:rsid w:val="28D41359"/>
    <w:rsid w:val="28D75200"/>
    <w:rsid w:val="29D514B6"/>
    <w:rsid w:val="2A272137"/>
    <w:rsid w:val="2A4021E7"/>
    <w:rsid w:val="2AC365AC"/>
    <w:rsid w:val="2B382C4B"/>
    <w:rsid w:val="2BA06721"/>
    <w:rsid w:val="2C422D96"/>
    <w:rsid w:val="2CAE03B6"/>
    <w:rsid w:val="2CC60844"/>
    <w:rsid w:val="2CF72E9E"/>
    <w:rsid w:val="2D2E247E"/>
    <w:rsid w:val="2D946E83"/>
    <w:rsid w:val="2E2941ED"/>
    <w:rsid w:val="2E4C37E3"/>
    <w:rsid w:val="2EC43857"/>
    <w:rsid w:val="2EC53B41"/>
    <w:rsid w:val="2ECA5C3C"/>
    <w:rsid w:val="2F0E0E4A"/>
    <w:rsid w:val="2F1D4518"/>
    <w:rsid w:val="2FC63EAE"/>
    <w:rsid w:val="2FC87949"/>
    <w:rsid w:val="2FE114C7"/>
    <w:rsid w:val="2FF31CD2"/>
    <w:rsid w:val="2FF61750"/>
    <w:rsid w:val="30AE19EA"/>
    <w:rsid w:val="30AE3C41"/>
    <w:rsid w:val="30B16B9F"/>
    <w:rsid w:val="31CC0995"/>
    <w:rsid w:val="321751E6"/>
    <w:rsid w:val="321C6845"/>
    <w:rsid w:val="32A64B09"/>
    <w:rsid w:val="331B0696"/>
    <w:rsid w:val="33557FF6"/>
    <w:rsid w:val="33906C34"/>
    <w:rsid w:val="33C52DE0"/>
    <w:rsid w:val="33C81845"/>
    <w:rsid w:val="33E633E7"/>
    <w:rsid w:val="33F1610F"/>
    <w:rsid w:val="34061AF2"/>
    <w:rsid w:val="340C6E61"/>
    <w:rsid w:val="34845F41"/>
    <w:rsid w:val="34853E63"/>
    <w:rsid w:val="348F43E7"/>
    <w:rsid w:val="34CB2DB9"/>
    <w:rsid w:val="34EF0ABC"/>
    <w:rsid w:val="35342B88"/>
    <w:rsid w:val="35461277"/>
    <w:rsid w:val="358F64F6"/>
    <w:rsid w:val="35915873"/>
    <w:rsid w:val="364119BA"/>
    <w:rsid w:val="365C1296"/>
    <w:rsid w:val="36C42B65"/>
    <w:rsid w:val="37261EC5"/>
    <w:rsid w:val="37867BF3"/>
    <w:rsid w:val="37A716B0"/>
    <w:rsid w:val="38B0512C"/>
    <w:rsid w:val="38B5354D"/>
    <w:rsid w:val="39022215"/>
    <w:rsid w:val="394B3E05"/>
    <w:rsid w:val="39F97052"/>
    <w:rsid w:val="3A79108F"/>
    <w:rsid w:val="3A937575"/>
    <w:rsid w:val="3AAD7B91"/>
    <w:rsid w:val="3AD12AE0"/>
    <w:rsid w:val="3B1F7729"/>
    <w:rsid w:val="3BA14560"/>
    <w:rsid w:val="3C0C533A"/>
    <w:rsid w:val="3C2C1727"/>
    <w:rsid w:val="3CAD568E"/>
    <w:rsid w:val="3CBA0EDE"/>
    <w:rsid w:val="3DB7605C"/>
    <w:rsid w:val="3DBD42C7"/>
    <w:rsid w:val="3ED15AF3"/>
    <w:rsid w:val="3ED477B0"/>
    <w:rsid w:val="3F42169C"/>
    <w:rsid w:val="3FF808CA"/>
    <w:rsid w:val="409160F3"/>
    <w:rsid w:val="413519D4"/>
    <w:rsid w:val="417C375E"/>
    <w:rsid w:val="41FD72C0"/>
    <w:rsid w:val="43080061"/>
    <w:rsid w:val="432B0AAC"/>
    <w:rsid w:val="4362055B"/>
    <w:rsid w:val="43794A82"/>
    <w:rsid w:val="43AF174A"/>
    <w:rsid w:val="43BA677B"/>
    <w:rsid w:val="4402449C"/>
    <w:rsid w:val="44075FF0"/>
    <w:rsid w:val="443710A6"/>
    <w:rsid w:val="446004CB"/>
    <w:rsid w:val="446A421A"/>
    <w:rsid w:val="448F3DF9"/>
    <w:rsid w:val="44CA0506"/>
    <w:rsid w:val="44DB0E63"/>
    <w:rsid w:val="451D33A8"/>
    <w:rsid w:val="4535241C"/>
    <w:rsid w:val="45CD3444"/>
    <w:rsid w:val="468B2F8E"/>
    <w:rsid w:val="46A85979"/>
    <w:rsid w:val="46F46C34"/>
    <w:rsid w:val="47303290"/>
    <w:rsid w:val="476D1DA4"/>
    <w:rsid w:val="47F81BD2"/>
    <w:rsid w:val="48D13FEB"/>
    <w:rsid w:val="49000518"/>
    <w:rsid w:val="4A1C7CC1"/>
    <w:rsid w:val="4A8B41C8"/>
    <w:rsid w:val="4AE334A5"/>
    <w:rsid w:val="4BB67F59"/>
    <w:rsid w:val="4BCC1456"/>
    <w:rsid w:val="4C4974FD"/>
    <w:rsid w:val="4C4A7C85"/>
    <w:rsid w:val="4C5D4256"/>
    <w:rsid w:val="4CC95004"/>
    <w:rsid w:val="4D90536C"/>
    <w:rsid w:val="4DAD0C80"/>
    <w:rsid w:val="4E3D623D"/>
    <w:rsid w:val="4EBB0551"/>
    <w:rsid w:val="50127400"/>
    <w:rsid w:val="50AE2887"/>
    <w:rsid w:val="50EB627F"/>
    <w:rsid w:val="512F458F"/>
    <w:rsid w:val="51303ED5"/>
    <w:rsid w:val="51616303"/>
    <w:rsid w:val="51844039"/>
    <w:rsid w:val="518B6AAF"/>
    <w:rsid w:val="51C05E08"/>
    <w:rsid w:val="51D90D2F"/>
    <w:rsid w:val="5293452B"/>
    <w:rsid w:val="529C583C"/>
    <w:rsid w:val="533723E7"/>
    <w:rsid w:val="537A49E7"/>
    <w:rsid w:val="53C13EB9"/>
    <w:rsid w:val="54356D3F"/>
    <w:rsid w:val="548F7033"/>
    <w:rsid w:val="54B70587"/>
    <w:rsid w:val="54BF6634"/>
    <w:rsid w:val="554A0E96"/>
    <w:rsid w:val="55626A0B"/>
    <w:rsid w:val="55AE5794"/>
    <w:rsid w:val="55BA6BD2"/>
    <w:rsid w:val="55DC6E5A"/>
    <w:rsid w:val="574B477E"/>
    <w:rsid w:val="58357222"/>
    <w:rsid w:val="58770F25"/>
    <w:rsid w:val="58BA2C7D"/>
    <w:rsid w:val="58EC5B14"/>
    <w:rsid w:val="59357979"/>
    <w:rsid w:val="59A50C9C"/>
    <w:rsid w:val="59AB696D"/>
    <w:rsid w:val="59CE74A1"/>
    <w:rsid w:val="59D4784C"/>
    <w:rsid w:val="5A107290"/>
    <w:rsid w:val="5A456987"/>
    <w:rsid w:val="5A925C6B"/>
    <w:rsid w:val="5A942B32"/>
    <w:rsid w:val="5ABB0C90"/>
    <w:rsid w:val="5B106275"/>
    <w:rsid w:val="5B591976"/>
    <w:rsid w:val="5B9D7BA5"/>
    <w:rsid w:val="5BCA6F85"/>
    <w:rsid w:val="5BEE411A"/>
    <w:rsid w:val="5BF751F2"/>
    <w:rsid w:val="5CA119D2"/>
    <w:rsid w:val="5D3716D7"/>
    <w:rsid w:val="5D8061DB"/>
    <w:rsid w:val="5DD2627D"/>
    <w:rsid w:val="5E5D7705"/>
    <w:rsid w:val="5F387F1B"/>
    <w:rsid w:val="5FBC72FD"/>
    <w:rsid w:val="60005C17"/>
    <w:rsid w:val="60C148A7"/>
    <w:rsid w:val="616629CA"/>
    <w:rsid w:val="617F6246"/>
    <w:rsid w:val="619A60B6"/>
    <w:rsid w:val="61CF65C3"/>
    <w:rsid w:val="61DC20A4"/>
    <w:rsid w:val="633F4CAD"/>
    <w:rsid w:val="635921F8"/>
    <w:rsid w:val="635C3FD5"/>
    <w:rsid w:val="64441C82"/>
    <w:rsid w:val="64443D9C"/>
    <w:rsid w:val="64454BFB"/>
    <w:rsid w:val="647B5197"/>
    <w:rsid w:val="64AA5F60"/>
    <w:rsid w:val="66645BCF"/>
    <w:rsid w:val="674E42AB"/>
    <w:rsid w:val="67667A82"/>
    <w:rsid w:val="676C0614"/>
    <w:rsid w:val="676C3F7B"/>
    <w:rsid w:val="68185F97"/>
    <w:rsid w:val="682C37D1"/>
    <w:rsid w:val="687712C6"/>
    <w:rsid w:val="69110442"/>
    <w:rsid w:val="6925347B"/>
    <w:rsid w:val="69523090"/>
    <w:rsid w:val="695D1057"/>
    <w:rsid w:val="698C5357"/>
    <w:rsid w:val="69C51B9C"/>
    <w:rsid w:val="6A6C650A"/>
    <w:rsid w:val="6A703F9C"/>
    <w:rsid w:val="6AE751F5"/>
    <w:rsid w:val="6C160F37"/>
    <w:rsid w:val="6C96255A"/>
    <w:rsid w:val="6D78324C"/>
    <w:rsid w:val="6D8F019B"/>
    <w:rsid w:val="6DAB3DD8"/>
    <w:rsid w:val="6DEB12D2"/>
    <w:rsid w:val="6DF951F3"/>
    <w:rsid w:val="6E0F018C"/>
    <w:rsid w:val="6E1E153C"/>
    <w:rsid w:val="6EB9527E"/>
    <w:rsid w:val="6EC94ACD"/>
    <w:rsid w:val="6F9A327D"/>
    <w:rsid w:val="700238A2"/>
    <w:rsid w:val="70550E90"/>
    <w:rsid w:val="706C6669"/>
    <w:rsid w:val="70782961"/>
    <w:rsid w:val="708D4208"/>
    <w:rsid w:val="70970373"/>
    <w:rsid w:val="70D415BB"/>
    <w:rsid w:val="71097D25"/>
    <w:rsid w:val="712B3DAC"/>
    <w:rsid w:val="718A2F4C"/>
    <w:rsid w:val="71A87746"/>
    <w:rsid w:val="71BD1AF3"/>
    <w:rsid w:val="722D067D"/>
    <w:rsid w:val="72E605D3"/>
    <w:rsid w:val="73713581"/>
    <w:rsid w:val="73811161"/>
    <w:rsid w:val="745A6D68"/>
    <w:rsid w:val="74765506"/>
    <w:rsid w:val="747D0C38"/>
    <w:rsid w:val="74A55A73"/>
    <w:rsid w:val="74B215BC"/>
    <w:rsid w:val="74DB6C76"/>
    <w:rsid w:val="74FB1B34"/>
    <w:rsid w:val="750D10F2"/>
    <w:rsid w:val="757C001F"/>
    <w:rsid w:val="76126C47"/>
    <w:rsid w:val="762B2775"/>
    <w:rsid w:val="76546659"/>
    <w:rsid w:val="76AB20D4"/>
    <w:rsid w:val="76CF7504"/>
    <w:rsid w:val="778201A2"/>
    <w:rsid w:val="778D4EA1"/>
    <w:rsid w:val="78E51FBC"/>
    <w:rsid w:val="791022D6"/>
    <w:rsid w:val="79405F71"/>
    <w:rsid w:val="795407F6"/>
    <w:rsid w:val="79795C79"/>
    <w:rsid w:val="79D411C4"/>
    <w:rsid w:val="79F73F55"/>
    <w:rsid w:val="7A0574B5"/>
    <w:rsid w:val="7A706F36"/>
    <w:rsid w:val="7ABA293E"/>
    <w:rsid w:val="7B281B69"/>
    <w:rsid w:val="7B38212A"/>
    <w:rsid w:val="7B4C18C0"/>
    <w:rsid w:val="7BB82D37"/>
    <w:rsid w:val="7C0A5995"/>
    <w:rsid w:val="7C725E07"/>
    <w:rsid w:val="7CB1477B"/>
    <w:rsid w:val="7CCD2C6F"/>
    <w:rsid w:val="7D127A47"/>
    <w:rsid w:val="7D730A81"/>
    <w:rsid w:val="7D9747E1"/>
    <w:rsid w:val="7D976D88"/>
    <w:rsid w:val="7D9F41EB"/>
    <w:rsid w:val="7E422693"/>
    <w:rsid w:val="7F0E2590"/>
    <w:rsid w:val="7F3A50AC"/>
    <w:rsid w:val="7F481B23"/>
    <w:rsid w:val="7F5358B4"/>
    <w:rsid w:val="7F6F156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Body Text Indent"/>
    <w:basedOn w:val="1"/>
    <w:qFormat/>
    <w:uiPriority w:val="0"/>
    <w:pPr>
      <w:spacing w:after="120"/>
      <w:ind w:left="420" w:left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paragraph" w:styleId="8">
    <w:name w:val="Body Text First Indent 2"/>
    <w:basedOn w:val="4"/>
    <w:qFormat/>
    <w:uiPriority w:val="0"/>
    <w:pPr>
      <w:ind w:firstLine="420"/>
    </w:pPr>
  </w:style>
  <w:style w:type="character" w:styleId="11">
    <w:name w:val="Strong"/>
    <w:basedOn w:val="10"/>
    <w:qFormat/>
    <w:uiPriority w:val="0"/>
    <w:rPr>
      <w:b/>
    </w:rPr>
  </w:style>
  <w:style w:type="character" w:styleId="12">
    <w:name w:val="Hyperlink"/>
    <w:basedOn w:val="10"/>
    <w:qFormat/>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3194</Words>
  <Characters>3373</Characters>
  <Lines>0</Lines>
  <Paragraphs>0</Paragraphs>
  <TotalTime>3</TotalTime>
  <ScaleCrop>false</ScaleCrop>
  <LinksUpToDate>false</LinksUpToDate>
  <CharactersWithSpaces>3395</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2023-03-03T03:05:00Z</dcterms:created>
  <dc:creator>牛渊</dc:creator>
  <cp:lastModifiedBy> </cp:lastModifiedBy>
  <cp:lastPrinted>2023-03-08T08:20:00Z</cp:lastPrinted>
  <dcterms:modified xsi:type="dcterms:W3CDTF">2024-09-11T01:14:13Z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64A3C528BDC34E72BD376C0BDC2B9112</vt:lpwstr>
  </property>
</Properties>
</file>