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_GBK" w:hAnsi="方正小标宋_GBK" w:eastAsia="方正小标宋_GBK" w:cs="方正小标宋_GBK"/>
          <w:b w:val="0"/>
          <w:bCs/>
          <w:i w:val="0"/>
          <w:caps w:val="0"/>
          <w:color w:val="000000"/>
          <w:spacing w:val="0"/>
          <w:sz w:val="44"/>
          <w:szCs w:val="44"/>
        </w:rPr>
      </w:pPr>
      <w:r>
        <w:rPr>
          <w:rFonts w:hint="eastAsia" w:ascii="方正小标宋_GBK" w:hAnsi="方正小标宋_GBK" w:eastAsia="方正小标宋_GBK" w:cs="方正小标宋_GBK"/>
          <w:b w:val="0"/>
          <w:bCs/>
          <w:i w:val="0"/>
          <w:caps w:val="0"/>
          <w:color w:val="000000"/>
          <w:spacing w:val="0"/>
          <w:sz w:val="44"/>
          <w:szCs w:val="44"/>
          <w:lang w:eastAsia="zh-CN"/>
        </w:rPr>
        <w:t>深泽县</w:t>
      </w:r>
      <w:r>
        <w:rPr>
          <w:rFonts w:hint="eastAsia" w:ascii="方正小标宋_GBK" w:hAnsi="方正小标宋_GBK" w:eastAsia="方正小标宋_GBK" w:cs="方正小标宋_GBK"/>
          <w:b w:val="0"/>
          <w:bCs/>
          <w:i w:val="0"/>
          <w:caps w:val="0"/>
          <w:color w:val="000000"/>
          <w:spacing w:val="0"/>
          <w:sz w:val="44"/>
          <w:szCs w:val="44"/>
          <w:lang w:val="en-US" w:eastAsia="zh-CN"/>
        </w:rPr>
        <w:t>2021年</w:t>
      </w:r>
      <w:r>
        <w:rPr>
          <w:rFonts w:hint="eastAsia" w:ascii="方正小标宋_GBK" w:hAnsi="方正小标宋_GBK" w:eastAsia="方正小标宋_GBK" w:cs="方正小标宋_GBK"/>
          <w:b w:val="0"/>
          <w:bCs/>
          <w:i w:val="0"/>
          <w:caps w:val="0"/>
          <w:color w:val="000000"/>
          <w:spacing w:val="0"/>
          <w:sz w:val="44"/>
          <w:szCs w:val="44"/>
        </w:rPr>
        <w:t>政府信息公开工作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_GBK" w:hAnsi="方正小标宋_GBK" w:eastAsia="方正小标宋_GBK" w:cs="方正小标宋_GBK"/>
          <w:b w:val="0"/>
          <w:bCs/>
          <w:i w:val="0"/>
          <w:caps w:val="0"/>
          <w:color w:val="000000"/>
          <w:spacing w:val="0"/>
          <w:sz w:val="44"/>
          <w:szCs w:val="44"/>
        </w:rPr>
      </w:pPr>
      <w:r>
        <w:rPr>
          <w:rFonts w:hint="eastAsia" w:ascii="方正小标宋_GBK" w:hAnsi="方正小标宋_GBK" w:eastAsia="方正小标宋_GBK" w:cs="方正小标宋_GBK"/>
          <w:b w:val="0"/>
          <w:bCs/>
          <w:i w:val="0"/>
          <w:caps w:val="0"/>
          <w:color w:val="000000"/>
          <w:spacing w:val="0"/>
          <w:sz w:val="44"/>
          <w:szCs w:val="44"/>
        </w:rPr>
        <w:t>年</w:t>
      </w:r>
      <w:r>
        <w:rPr>
          <w:rFonts w:hint="eastAsia" w:ascii="方正小标宋_GBK" w:hAnsi="方正小标宋_GBK" w:eastAsia="方正小标宋_GBK" w:cs="方正小标宋_GBK"/>
          <w:b w:val="0"/>
          <w:bCs/>
          <w:i w:val="0"/>
          <w:caps w:val="0"/>
          <w:color w:val="000000"/>
          <w:spacing w:val="0"/>
          <w:sz w:val="44"/>
          <w:szCs w:val="44"/>
          <w:lang w:val="en-US" w:eastAsia="zh-CN"/>
        </w:rPr>
        <w:t xml:space="preserve">  </w:t>
      </w:r>
      <w:r>
        <w:rPr>
          <w:rFonts w:hint="eastAsia" w:ascii="方正小标宋_GBK" w:hAnsi="方正小标宋_GBK" w:eastAsia="方正小标宋_GBK" w:cs="方正小标宋_GBK"/>
          <w:b w:val="0"/>
          <w:bCs/>
          <w:i w:val="0"/>
          <w:caps w:val="0"/>
          <w:color w:val="000000"/>
          <w:spacing w:val="0"/>
          <w:sz w:val="44"/>
          <w:szCs w:val="44"/>
        </w:rPr>
        <w:t>度</w:t>
      </w:r>
      <w:r>
        <w:rPr>
          <w:rFonts w:hint="eastAsia" w:ascii="方正小标宋_GBK" w:hAnsi="方正小标宋_GBK" w:eastAsia="方正小标宋_GBK" w:cs="方正小标宋_GBK"/>
          <w:b w:val="0"/>
          <w:bCs/>
          <w:i w:val="0"/>
          <w:caps w:val="0"/>
          <w:color w:val="000000"/>
          <w:spacing w:val="0"/>
          <w:sz w:val="44"/>
          <w:szCs w:val="44"/>
          <w:lang w:val="en-US" w:eastAsia="zh-CN"/>
        </w:rPr>
        <w:t xml:space="preserve">  </w:t>
      </w:r>
      <w:r>
        <w:rPr>
          <w:rFonts w:hint="eastAsia" w:ascii="方正小标宋_GBK" w:hAnsi="方正小标宋_GBK" w:eastAsia="方正小标宋_GBK" w:cs="方正小标宋_GBK"/>
          <w:b w:val="0"/>
          <w:bCs/>
          <w:i w:val="0"/>
          <w:caps w:val="0"/>
          <w:color w:val="000000"/>
          <w:spacing w:val="0"/>
          <w:sz w:val="44"/>
          <w:szCs w:val="44"/>
        </w:rPr>
        <w:t>报</w:t>
      </w:r>
      <w:r>
        <w:rPr>
          <w:rFonts w:hint="eastAsia" w:ascii="方正小标宋_GBK" w:hAnsi="方正小标宋_GBK" w:eastAsia="方正小标宋_GBK" w:cs="方正小标宋_GBK"/>
          <w:b w:val="0"/>
          <w:bCs/>
          <w:i w:val="0"/>
          <w:caps w:val="0"/>
          <w:color w:val="000000"/>
          <w:spacing w:val="0"/>
          <w:sz w:val="44"/>
          <w:szCs w:val="44"/>
          <w:lang w:val="en-US" w:eastAsia="zh-CN"/>
        </w:rPr>
        <w:t xml:space="preserve">  </w:t>
      </w:r>
      <w:r>
        <w:rPr>
          <w:rFonts w:hint="eastAsia" w:ascii="方正小标宋_GBK" w:hAnsi="方正小标宋_GBK" w:eastAsia="方正小标宋_GBK" w:cs="方正小标宋_GBK"/>
          <w:b w:val="0"/>
          <w:bCs/>
          <w:i w:val="0"/>
          <w:caps w:val="0"/>
          <w:color w:val="000000"/>
          <w:spacing w:val="0"/>
          <w:sz w:val="44"/>
          <w:szCs w:val="44"/>
        </w:rPr>
        <w:t>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bCs w:val="0"/>
          <w:i w:val="0"/>
          <w:caps w:val="0"/>
          <w:color w:val="000000"/>
          <w:spacing w:val="0"/>
          <w:sz w:val="44"/>
          <w:szCs w:val="44"/>
        </w:rPr>
      </w:pP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eastAsia" w:ascii="方正小标宋简体" w:hAnsi="方正小标宋简体" w:eastAsia="方正小标宋简体" w:cs="方正小标宋简体"/>
          <w:b/>
          <w:bCs w:val="0"/>
          <w:i w:val="0"/>
          <w:caps w:val="0"/>
          <w:color w:val="000000"/>
          <w:spacing w:val="0"/>
          <w:sz w:val="44"/>
          <w:szCs w:val="44"/>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本报告依据《中华人民共和国政府信息公开条例》和</w:t>
      </w:r>
      <w:r>
        <w:rPr>
          <w:rFonts w:hint="eastAsia" w:ascii="仿宋_GB2312" w:hAnsi="仿宋_GB2312" w:eastAsia="仿宋_GB2312" w:cs="仿宋_GB2312"/>
          <w:bCs/>
          <w:color w:val="000000"/>
          <w:sz w:val="32"/>
          <w:szCs w:val="32"/>
        </w:rPr>
        <w:t>《</w:t>
      </w:r>
      <w:r>
        <w:rPr>
          <w:rFonts w:hint="eastAsia" w:ascii="仿宋_GB2312" w:hAnsi="仿宋_GB2312" w:eastAsia="仿宋_GB2312" w:cs="仿宋_GB2312"/>
          <w:bCs/>
          <w:color w:val="000000"/>
          <w:sz w:val="32"/>
          <w:szCs w:val="32"/>
          <w:lang w:eastAsia="zh-CN"/>
        </w:rPr>
        <w:t>关于印发</w:t>
      </w:r>
      <w:r>
        <w:rPr>
          <w:rFonts w:hint="eastAsia" w:ascii="仿宋_GB2312" w:hAnsi="仿宋_GB2312" w:eastAsia="仿宋_GB2312" w:cs="仿宋_GB2312"/>
          <w:bCs/>
          <w:color w:val="000000"/>
          <w:sz w:val="32"/>
          <w:szCs w:val="32"/>
          <w:lang w:val="en-US" w:eastAsia="zh-CN"/>
        </w:rPr>
        <w:t>&lt;中华人民共和国政府信息公开工作年度报告格式&gt;的通知</w:t>
      </w:r>
      <w:r>
        <w:rPr>
          <w:rFonts w:hint="eastAsia" w:ascii="仿宋_GB2312" w:hAnsi="仿宋_GB2312" w:eastAsia="仿宋_GB2312" w:cs="仿宋_GB2312"/>
          <w:bCs/>
          <w:color w:val="000000"/>
          <w:sz w:val="32"/>
          <w:szCs w:val="32"/>
        </w:rPr>
        <w:t>》（国</w:t>
      </w:r>
      <w:r>
        <w:rPr>
          <w:rFonts w:hint="eastAsia" w:ascii="仿宋_GB2312" w:hAnsi="仿宋_GB2312" w:eastAsia="仿宋_GB2312" w:cs="仿宋_GB2312"/>
          <w:color w:val="000000"/>
          <w:sz w:val="32"/>
          <w:szCs w:val="32"/>
        </w:rPr>
        <w:t>办公开办函〔20</w:t>
      </w:r>
      <w:r>
        <w:rPr>
          <w:rFonts w:hint="eastAsia" w:ascii="仿宋_GB2312" w:hAnsi="仿宋_GB2312" w:eastAsia="仿宋_GB2312" w:cs="仿宋_GB2312"/>
          <w:color w:val="000000"/>
          <w:sz w:val="32"/>
          <w:szCs w:val="32"/>
          <w:lang w:val="en-US" w:eastAsia="zh-CN"/>
        </w:rPr>
        <w:t>21</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30</w:t>
      </w:r>
      <w:r>
        <w:rPr>
          <w:rFonts w:hint="eastAsia" w:ascii="仿宋_GB2312" w:hAnsi="仿宋_GB2312" w:eastAsia="仿宋_GB2312" w:cs="仿宋_GB2312"/>
          <w:color w:val="000000"/>
          <w:sz w:val="32"/>
          <w:szCs w:val="32"/>
        </w:rPr>
        <w:t>号</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要求，由深泽县人民政府综合县政府各部门和各乡镇年度政府信息公开工作情况编制而成。全文包括总体情况、主动公开政府信息情况、收到和处理政府信息公开申请情况、政府信息公开行政复议和行政诉讼情况、存在的主要问题及改进情况、其他需要报告的事项等。本报告中所列数据的统计期限自2021年1月1日至2021年12月31日。如对本报告有疑问，请与深泽县人民政府办公室联系（地址：深泽县政府办公楼，电话：0311-83522460，电子邮箱：uzxxvx@163.com</w:t>
      </w:r>
      <w:r>
        <w:rPr>
          <w:rFonts w:hint="eastAsia" w:ascii="仿宋_GB2312" w:hAnsi="仿宋_GB2312" w:eastAsia="仿宋_GB2312" w:cs="仿宋_GB2312"/>
          <w:b w:val="0"/>
          <w:i w:val="0"/>
          <w:caps w:val="0"/>
          <w:color w:val="212121"/>
          <w:spacing w:val="0"/>
          <w:kern w:val="0"/>
          <w:sz w:val="32"/>
          <w:szCs w:val="32"/>
          <w:u w:val="none"/>
          <w:shd w:val="clear" w:fill="FFFFFF"/>
          <w:lang w:val="en-US" w:eastAsia="zh-CN" w:bidi="ar"/>
        </w:rPr>
        <w:t>）。</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outlineLvl w:val="9"/>
        <w:rPr>
          <w:rFonts w:hint="eastAsia" w:ascii="黑体" w:hAnsi="黑体" w:eastAsia="黑体" w:cs="黑体"/>
          <w:b w:val="0"/>
          <w:bCs/>
          <w:i w:val="0"/>
          <w:caps w:val="0"/>
          <w:color w:val="000000"/>
          <w:spacing w:val="0"/>
          <w:sz w:val="32"/>
          <w:szCs w:val="32"/>
        </w:rPr>
      </w:pPr>
      <w:r>
        <w:rPr>
          <w:rFonts w:hint="eastAsia" w:ascii="黑体" w:hAnsi="黑体" w:eastAsia="黑体" w:cs="黑体"/>
          <w:b w:val="0"/>
          <w:bCs/>
          <w:i w:val="0"/>
          <w:caps w:val="0"/>
          <w:color w:val="000000"/>
          <w:spacing w:val="0"/>
          <w:sz w:val="32"/>
          <w:szCs w:val="32"/>
        </w:rPr>
        <w:t>总体情况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2021年我县印发了《关于贯彻落实国务院办公厅&lt;公共企事业单位信息公开规定制定办法&gt;实施方案》（</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kern w:val="2"/>
          <w:sz w:val="32"/>
          <w:szCs w:val="32"/>
          <w:lang w:val="en-US" w:eastAsia="zh-CN" w:bidi="ar-SA"/>
        </w:rPr>
        <w:t>）、《深泽县2021年政务公开工作要点》（</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kern w:val="2"/>
          <w:sz w:val="32"/>
          <w:szCs w:val="32"/>
          <w:lang w:val="en-US" w:eastAsia="zh-CN" w:bidi="ar-SA"/>
        </w:rPr>
        <w:t>）、《关于调整县政府政务公开工作领导小组的通知》、《关于进一步加强政务新媒体管理工作的通知》、《关于做好2021年度政务公开考核工作相关事项的通知》等系列文件，围绕主动公开、依申请公开、政策解读、重点领域信息公开等方面着重提升政务公开工作水平。</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主动公开情况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县政府网站发布信息2100余条，政务新媒体发布信息3400余条。其中通过网站发布政策文件20个，政策解读15条；“行政执法专栏”公开了行政许可、行政处罚、行政强制等事前事后执法信息705条；公开权责清单，确定了22个部门2797项权力事项，6个乡镇1134项权力事项；“深泽新闻”公开要闻390条，视频新闻240条；公示“双随机、一公开”</w:t>
      </w:r>
      <w:bookmarkStart w:id="0" w:name="_GoBack"/>
      <w:bookmarkEnd w:id="0"/>
      <w:r>
        <w:rPr>
          <w:rFonts w:hint="eastAsia" w:ascii="仿宋_GB2312" w:hAnsi="仿宋_GB2312" w:eastAsia="仿宋_GB2312" w:cs="仿宋_GB2312"/>
          <w:sz w:val="32"/>
          <w:szCs w:val="32"/>
          <w:lang w:val="en-US" w:eastAsia="zh-CN"/>
        </w:rPr>
        <w:t>抽查信息95条。归集整理并公开我县国民经济和社会发展规划、国土空间规划、专项规划、区域规划及计划方案等相关历史规划33件。</w:t>
      </w:r>
    </w:p>
    <w:p>
      <w:pPr>
        <w:pStyle w:val="2"/>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依申请公开办理</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府信息公开”平台开设“依申请公开”专栏，规范申请流程、完善申请渠道，申请人可通过网络、信函、传真、当面申请等渠道提交“信息公开申请表”。2021年我县收到信息公开申请9件，其中自然人申请6件，商业企业申请3件，已按时限要求规范回复。</w:t>
      </w:r>
    </w:p>
    <w:p>
      <w:pPr>
        <w:pStyle w:val="2"/>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政府信息管理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规范性文件管理，印发《关于全县规范性文件清理结果的通报》，系统清理了本级政府现行有效的规范性文件。加强政务舆情信息处理，2021我县共收到舆情反馈信息15000余条，均可按时回复。不断加强网站信息审核发布、政务新媒体审核发布，严把内容关，不断提升信息发布质量。</w:t>
      </w:r>
    </w:p>
    <w:p>
      <w:pPr>
        <w:pStyle w:val="2"/>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政府信息公开平台建设</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府信息公开”平台开设政策、政府信息公开指南、政府信息公开制度、政府信息公开年报、法定主动公开内容、基层政务公开标准目录、依申请公开等栏目，各栏目持续更新。新增或调整了规划信息、统计信息、乡村振兴、重大会议、重大决策、招考招录、涉农补贴、公共文化服务、社会救助、互动咨询、重点领域信息公开等栏目，不断细化信息内容分类，完善信息公开平台建设。</w:t>
      </w:r>
    </w:p>
    <w:p>
      <w:pPr>
        <w:pStyle w:val="2"/>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监督保障</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印发了《关于调整县政府政务公开工作领导小组的通知》，更新了政务公开工作联络名单，明确了各单位主管负责人及工作联系人，畅通了沟通渠道；印发政务公开工作要点、制定工作台账，逐项推动任务落实,监督工作开展进度；建立政务公开工作群、政务新媒体工作群，加强日常工作联络与沟通。</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仿宋_GB2312" w:eastAsia="仿宋_GB2312" w:cs="仿宋_GB2312"/>
          <w:sz w:val="32"/>
          <w:szCs w:val="32"/>
          <w:lang w:val="en-US" w:eastAsia="zh-CN"/>
        </w:rPr>
      </w:pPr>
    </w:p>
    <w:p>
      <w:pPr>
        <w:pStyle w:val="2"/>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b w:val="0"/>
          <w:bCs/>
          <w:i w:val="0"/>
          <w:caps w:val="0"/>
          <w:color w:val="000000"/>
          <w:spacing w:val="0"/>
          <w:kern w:val="0"/>
          <w:sz w:val="32"/>
          <w:szCs w:val="32"/>
          <w:lang w:val="en-US" w:eastAsia="zh-CN" w:bidi="ar"/>
        </w:rPr>
      </w:pPr>
      <w:r>
        <w:rPr>
          <w:rFonts w:hint="eastAsia" w:ascii="黑体" w:hAnsi="黑体" w:eastAsia="黑体" w:cs="黑体"/>
          <w:b w:val="0"/>
          <w:bCs/>
          <w:i w:val="0"/>
          <w:caps w:val="0"/>
          <w:color w:val="000000"/>
          <w:spacing w:val="0"/>
          <w:kern w:val="0"/>
          <w:sz w:val="32"/>
          <w:szCs w:val="32"/>
          <w:lang w:val="en-US" w:eastAsia="zh-CN" w:bidi="ar"/>
        </w:rPr>
        <w:t>主动公开政府信息情况</w:t>
      </w:r>
    </w:p>
    <w:tbl>
      <w:tblPr>
        <w:tblStyle w:val="8"/>
        <w:tblpPr w:leftFromText="180" w:rightFromText="180" w:vertAnchor="text" w:horzAnchor="page" w:tblpX="1136" w:tblpY="258"/>
        <w:tblOverlap w:val="never"/>
        <w:tblW w:w="9740" w:type="dxa"/>
        <w:tblInd w:w="0" w:type="dxa"/>
        <w:shd w:val="clear" w:color="auto" w:fill="auto"/>
        <w:tblLayout w:type="fixed"/>
        <w:tblCellMar>
          <w:top w:w="0" w:type="dxa"/>
          <w:left w:w="0" w:type="dxa"/>
          <w:bottom w:w="0" w:type="dxa"/>
          <w:right w:w="0" w:type="dxa"/>
        </w:tblCellMar>
      </w:tblPr>
      <w:tblGrid>
        <w:gridCol w:w="2435"/>
        <w:gridCol w:w="2435"/>
        <w:gridCol w:w="2435"/>
        <w:gridCol w:w="2435"/>
      </w:tblGrid>
      <w:tr>
        <w:tblPrEx>
          <w:shd w:val="clear" w:color="auto" w:fill="auto"/>
          <w:tblCellMar>
            <w:top w:w="0" w:type="dxa"/>
            <w:left w:w="0" w:type="dxa"/>
            <w:bottom w:w="0" w:type="dxa"/>
            <w:right w:w="0" w:type="dxa"/>
          </w:tblCellMar>
        </w:tblPrEx>
        <w:trPr>
          <w:trHeight w:val="283" w:hRule="atLeast"/>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第二十条第（一）项</w:t>
            </w:r>
          </w:p>
        </w:tc>
      </w:tr>
      <w:tr>
        <w:tblPrEx>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本年制发件数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现行有效件数</w:t>
            </w:r>
          </w:p>
        </w:tc>
      </w:tr>
      <w:tr>
        <w:tblPrEx>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r>
      <w:tr>
        <w:tblPrEx>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10</w:t>
            </w:r>
          </w:p>
        </w:tc>
      </w:tr>
      <w:tr>
        <w:tblPrEx>
          <w:shd w:val="clear" w:color="auto" w:fill="auto"/>
          <w:tblCellMar>
            <w:top w:w="0" w:type="dxa"/>
            <w:left w:w="0" w:type="dxa"/>
            <w:bottom w:w="0" w:type="dxa"/>
            <w:right w:w="0" w:type="dxa"/>
          </w:tblCellMar>
        </w:tblPrEx>
        <w:trPr>
          <w:trHeight w:val="283" w:hRule="atLeast"/>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第二十条第（五）项</w:t>
            </w:r>
          </w:p>
        </w:tc>
      </w:tr>
      <w:tr>
        <w:tblPrEx>
          <w:shd w:val="clear" w:color="auto" w:fill="auto"/>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本年处理决定数量</w:t>
            </w:r>
          </w:p>
        </w:tc>
      </w:tr>
      <w:tr>
        <w:tblPrEx>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8566</w:t>
            </w:r>
          </w:p>
        </w:tc>
      </w:tr>
      <w:tr>
        <w:tblPrEx>
          <w:tblCellMar>
            <w:top w:w="0" w:type="dxa"/>
            <w:left w:w="0" w:type="dxa"/>
            <w:bottom w:w="0" w:type="dxa"/>
            <w:right w:w="0" w:type="dxa"/>
          </w:tblCellMar>
        </w:tblPrEx>
        <w:trPr>
          <w:trHeight w:val="283" w:hRule="atLeast"/>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第二十条第（六）项</w:t>
            </w:r>
          </w:p>
        </w:tc>
      </w:tr>
      <w:tr>
        <w:tblPrEx>
          <w:shd w:val="clear" w:color="auto" w:fill="auto"/>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本年处理决定数量</w:t>
            </w:r>
          </w:p>
        </w:tc>
      </w:tr>
      <w:tr>
        <w:tblPrEx>
          <w:shd w:val="clear" w:color="auto" w:fill="auto"/>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364</w:t>
            </w:r>
          </w:p>
        </w:tc>
      </w:tr>
      <w:tr>
        <w:tblPrEx>
          <w:shd w:val="clear" w:color="auto" w:fill="auto"/>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42</w:t>
            </w:r>
          </w:p>
        </w:tc>
      </w:tr>
      <w:tr>
        <w:tblPrEx>
          <w:shd w:val="clear" w:color="auto" w:fill="auto"/>
          <w:tblCellMar>
            <w:top w:w="0" w:type="dxa"/>
            <w:left w:w="0" w:type="dxa"/>
            <w:bottom w:w="0" w:type="dxa"/>
            <w:right w:w="0" w:type="dxa"/>
          </w:tblCellMar>
        </w:tblPrEx>
        <w:trPr>
          <w:trHeight w:val="283" w:hRule="atLeast"/>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第二十条第（八）项</w:t>
            </w:r>
          </w:p>
        </w:tc>
      </w:tr>
      <w:tr>
        <w:tblPrEx>
          <w:shd w:val="clear" w:color="auto" w:fill="auto"/>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本年收费金额（单位：万元）</w:t>
            </w:r>
          </w:p>
        </w:tc>
      </w:tr>
      <w:tr>
        <w:tblPrEx>
          <w:shd w:val="clear" w:color="auto" w:fill="auto"/>
          <w:tblCellMar>
            <w:top w:w="0" w:type="dxa"/>
            <w:left w:w="0" w:type="dxa"/>
            <w:bottom w:w="0" w:type="dxa"/>
            <w:right w:w="0" w:type="dxa"/>
          </w:tblCellMar>
        </w:tblPrEx>
        <w:trPr>
          <w:trHeight w:val="283" w:hRule="atLeast"/>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outlineLvl w:val="9"/>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5141</w:t>
            </w:r>
          </w:p>
        </w:tc>
      </w:tr>
    </w:tbl>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200"/>
        <w:textAlignment w:val="auto"/>
        <w:rPr>
          <w:rFonts w:hint="eastAsia" w:ascii="黑体" w:hAnsi="黑体" w:eastAsia="黑体" w:cs="黑体"/>
          <w:b/>
          <w:i w:val="0"/>
          <w:caps w:val="0"/>
          <w:color w:val="000000"/>
          <w:spacing w:val="0"/>
          <w:kern w:val="0"/>
          <w:sz w:val="32"/>
          <w:szCs w:val="32"/>
          <w:lang w:val="en-US" w:eastAsia="zh-CN" w:bidi="ar"/>
        </w:rPr>
      </w:pPr>
    </w:p>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200"/>
        <w:textAlignment w:val="auto"/>
        <w:rPr>
          <w:rFonts w:hint="eastAsia" w:ascii="仿宋_GB2312" w:hAnsi="仿宋_GB2312" w:eastAsia="仿宋_GB2312" w:cs="仿宋_GB2312"/>
          <w:b w:val="0"/>
          <w:bCs/>
          <w:sz w:val="32"/>
          <w:szCs w:val="32"/>
          <w:lang w:val="en-US" w:eastAsia="zh-CN"/>
        </w:rPr>
      </w:pPr>
      <w:r>
        <w:rPr>
          <w:rFonts w:hint="eastAsia" w:ascii="黑体" w:hAnsi="黑体" w:eastAsia="黑体" w:cs="黑体"/>
          <w:b w:val="0"/>
          <w:bCs/>
          <w:i w:val="0"/>
          <w:caps w:val="0"/>
          <w:color w:val="000000"/>
          <w:spacing w:val="0"/>
          <w:kern w:val="0"/>
          <w:sz w:val="32"/>
          <w:szCs w:val="32"/>
          <w:lang w:val="en-US" w:eastAsia="zh-CN" w:bidi="ar"/>
        </w:rPr>
        <w:t>三、收到和处理政府信息公开申请情况</w:t>
      </w:r>
    </w:p>
    <w:tbl>
      <w:tblPr>
        <w:tblStyle w:val="8"/>
        <w:tblW w:w="97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81"/>
        <w:gridCol w:w="958"/>
        <w:gridCol w:w="3307"/>
        <w:gridCol w:w="702"/>
        <w:gridCol w:w="702"/>
        <w:gridCol w:w="702"/>
        <w:gridCol w:w="702"/>
        <w:gridCol w:w="702"/>
        <w:gridCol w:w="702"/>
        <w:gridCol w:w="4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046"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（本列数据的勾稽关系为：第一项加第二项之和，等于第三项加第四项之和）</w:t>
            </w:r>
          </w:p>
        </w:tc>
        <w:tc>
          <w:tcPr>
            <w:tcW w:w="4696"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046"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702"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自然人</w:t>
            </w:r>
          </w:p>
        </w:tc>
        <w:tc>
          <w:tcPr>
            <w:tcW w:w="351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法人或其他组织</w:t>
            </w:r>
          </w:p>
        </w:tc>
        <w:tc>
          <w:tcPr>
            <w:tcW w:w="48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046"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702"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商业</w:t>
            </w:r>
          </w:p>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企业</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科研</w:t>
            </w:r>
          </w:p>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机构</w:t>
            </w:r>
          </w:p>
        </w:tc>
        <w:tc>
          <w:tcPr>
            <w:tcW w:w="702"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社会公益组织</w:t>
            </w:r>
          </w:p>
        </w:tc>
        <w:tc>
          <w:tcPr>
            <w:tcW w:w="702"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法律服务机构</w:t>
            </w:r>
          </w:p>
        </w:tc>
        <w:tc>
          <w:tcPr>
            <w:tcW w:w="702"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其他</w:t>
            </w:r>
          </w:p>
        </w:tc>
        <w:tc>
          <w:tcPr>
            <w:tcW w:w="48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046"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一、本年新收政府信息公开申请数量</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3</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046"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二、上年结转政府信息公开申请数量</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三、本年度办理结果</w:t>
            </w:r>
          </w:p>
        </w:tc>
        <w:tc>
          <w:tcPr>
            <w:tcW w:w="42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（一）予以公开</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1</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3</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48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42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（二）部分公开（区分处理的，只计这一情形，不计其他情形）</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1</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（三）不予公开</w:t>
            </w: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1.属于国家秘密</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2.其他法律行政法规禁止公开</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3.危及“三安全一稳定”</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4.保护第三方合法权益</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5.属于三类内部事务信息</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6.属于四类过程性信息</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7.属于行政执法案卷</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8.属于行政查询事项</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（四）无法提供</w:t>
            </w: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1.本机关不掌握相关政府信息</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3</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2.没有现成信息需要另行制作</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3.补正后申请内容仍不明确</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（五）不予处理</w:t>
            </w: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1.信访举报投诉类申请</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2.重复申请</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3.要求提供公开出版物</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4.无正当理由大量反复申请</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5.要求行政机关确认或重新出具已获取信息</w:t>
            </w:r>
          </w:p>
        </w:tc>
        <w:tc>
          <w:tcPr>
            <w:tcW w:w="702"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1</w:t>
            </w:r>
          </w:p>
        </w:tc>
        <w:tc>
          <w:tcPr>
            <w:tcW w:w="702"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outset"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（六）其他处理</w:t>
            </w:r>
          </w:p>
        </w:tc>
        <w:tc>
          <w:tcPr>
            <w:tcW w:w="3307"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1.申请人无正当理由逾期不补正、行政机关不再处理其政府信息公开申请</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2.申请人逾期未按收费通知要求缴纳费用、行政机关不再处理其政府信息公开申请</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958"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3307"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3.其他</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1"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42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（七）总计</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6</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3</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046"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四、结转下年度继续办理</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702" w:type="dxa"/>
            <w:tcBorders>
              <w:top w:val="nil"/>
              <w:left w:val="nil"/>
              <w:bottom w:val="single" w:color="auto" w:sz="8" w:space="0"/>
              <w:right w:val="single" w:color="auto" w:sz="8" w:space="0"/>
            </w:tcBorders>
            <w:shd w:val="clear" w:color="auto" w:fill="auto"/>
            <w:tcMar>
              <w:left w:w="57" w:type="dxa"/>
              <w:right w:w="57"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w:t>
            </w:r>
          </w:p>
        </w:tc>
        <w:tc>
          <w:tcPr>
            <w:tcW w:w="484" w:type="dxa"/>
            <w:tcBorders>
              <w:top w:val="nil"/>
              <w:left w:val="nil"/>
              <w:bottom w:val="single" w:color="auto" w:sz="8" w:space="0"/>
              <w:right w:val="single" w:color="auto" w:sz="8" w:space="0"/>
            </w:tcBorders>
            <w:shd w:val="clear" w:color="auto" w:fill="auto"/>
            <w:tcMar>
              <w:left w:w="57" w:type="dxa"/>
              <w:right w:w="57" w:type="dxa"/>
            </w:tcMar>
            <w:vAlign w:val="top"/>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r>
    </w:tbl>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四、政府信息公开行政复议、行政诉讼情况</w:t>
      </w:r>
    </w:p>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32"/>
          <w:szCs w:val="32"/>
          <w:lang w:val="en-US" w:eastAsia="zh-CN"/>
        </w:rPr>
      </w:pPr>
    </w:p>
    <w:tbl>
      <w:tblPr>
        <w:tblStyle w:val="8"/>
        <w:tblW w:w="973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2"/>
        <w:gridCol w:w="642"/>
        <w:gridCol w:w="643"/>
        <w:gridCol w:w="643"/>
        <w:gridCol w:w="643"/>
        <w:gridCol w:w="643"/>
        <w:gridCol w:w="643"/>
        <w:gridCol w:w="643"/>
        <w:gridCol w:w="643"/>
        <w:gridCol w:w="7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行政复议</w:t>
            </w:r>
          </w:p>
        </w:tc>
        <w:tc>
          <w:tcPr>
            <w:tcW w:w="65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结果</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其他</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尚未</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未经复议直接起诉</w:t>
            </w:r>
          </w:p>
        </w:tc>
        <w:tc>
          <w:tcPr>
            <w:tcW w:w="33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结果</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结果</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其他</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尚未</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结果</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结果</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其他</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尚未</w:t>
            </w:r>
            <w:r>
              <w:rPr>
                <w:rFonts w:hint="eastAsia" w:ascii="仿宋_GB2312" w:hAnsi="仿宋_GB2312" w:eastAsia="仿宋_GB2312" w:cs="仿宋_GB2312"/>
                <w:sz w:val="28"/>
                <w:szCs w:val="28"/>
                <w:lang w:val="en-US" w:eastAsia="zh-CN"/>
              </w:rPr>
              <w:br w:type="textWrapping"/>
            </w:r>
            <w:r>
              <w:rPr>
                <w:rFonts w:hint="eastAsia" w:ascii="仿宋_GB2312" w:hAnsi="仿宋_GB2312" w:eastAsia="仿宋_GB2312" w:cs="仿宋_GB2312"/>
                <w:sz w:val="28"/>
                <w:szCs w:val="28"/>
                <w:lang w:val="en-US" w:eastAsia="zh-CN"/>
              </w:rPr>
              <w:t>审结</w:t>
            </w:r>
          </w:p>
        </w:tc>
        <w:tc>
          <w:tcPr>
            <w:tcW w:w="7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0 </w:t>
            </w:r>
          </w:p>
        </w:tc>
        <w:tc>
          <w:tcPr>
            <w:tcW w:w="7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bl>
    <w:p>
      <w:pPr>
        <w:pStyle w:val="2"/>
        <w:keepNext w:val="0"/>
        <w:keepLines w:val="0"/>
        <w:pageBreakBefore w:val="0"/>
        <w:numPr>
          <w:ilvl w:val="0"/>
          <w:numId w:val="0"/>
        </w:numPr>
        <w:kinsoku/>
        <w:wordWrap/>
        <w:overflowPunct/>
        <w:topLinePunct w:val="0"/>
        <w:autoSpaceDE/>
        <w:autoSpaceDN/>
        <w:bidi w:val="0"/>
        <w:adjustRightInd/>
        <w:snapToGrid/>
        <w:spacing w:line="560" w:lineRule="exact"/>
        <w:ind w:leftChars="0"/>
        <w:textAlignment w:val="auto"/>
        <w:rPr>
          <w:rFonts w:hint="eastAsia" w:ascii="仿宋_GB2312" w:hAnsi="仿宋_GB2312" w:eastAsia="仿宋_GB2312" w:cs="仿宋_GB2312"/>
          <w:sz w:val="32"/>
          <w:szCs w:val="32"/>
          <w:lang w:val="en-US" w:eastAsia="zh-CN"/>
        </w:rPr>
      </w:pPr>
    </w:p>
    <w:p>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432" w:lineRule="auto"/>
        <w:ind w:firstLine="640" w:firstLineChars="200"/>
        <w:jc w:val="both"/>
        <w:textAlignment w:val="auto"/>
        <w:outlineLvl w:val="9"/>
        <w:rPr>
          <w:rFonts w:hint="eastAsia"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五、存在的主要问题及改进情况</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outlineLvl w:val="9"/>
        <w:rPr>
          <w:rFonts w:hint="eastAsia" w:ascii="仿宋_GB2312" w:hAnsi="sinsum" w:eastAsia="仿宋_GB2312"/>
          <w:color w:val="000000" w:themeColor="text1"/>
          <w:sz w:val="32"/>
          <w:shd w:val="clear" w:color="auto" w:fill="FFFFFF"/>
          <w:lang w:val="en-US" w:eastAsia="zh-CN"/>
          <w14:textFill>
            <w14:solidFill>
              <w14:schemeClr w14:val="tx1"/>
            </w14:solidFill>
          </w14:textFill>
        </w:rPr>
      </w:pPr>
      <w:r>
        <w:rPr>
          <w:rFonts w:hint="eastAsia" w:ascii="仿宋_GB2312" w:hAnsi="sinsum" w:eastAsia="仿宋_GB2312"/>
          <w:color w:val="000000" w:themeColor="text1"/>
          <w:sz w:val="32"/>
          <w:shd w:val="clear" w:color="auto" w:fill="FFFFFF"/>
          <w:lang w:val="en-US" w:eastAsia="zh-CN"/>
          <w14:textFill>
            <w14:solidFill>
              <w14:schemeClr w14:val="tx1"/>
            </w14:solidFill>
          </w14:textFill>
        </w:rPr>
        <w:t>2021年政务公开工作不断提升，但</w:t>
      </w:r>
      <w:r>
        <w:rPr>
          <w:rFonts w:hint="eastAsia" w:ascii="仿宋_GB2312" w:hAnsi="sinsum" w:eastAsia="仿宋_GB2312"/>
          <w:color w:val="000000" w:themeColor="text1"/>
          <w:sz w:val="32"/>
          <w:shd w:val="clear" w:color="auto" w:fill="FFFFFF"/>
          <w14:textFill>
            <w14:solidFill>
              <w14:schemeClr w14:val="tx1"/>
            </w14:solidFill>
          </w14:textFill>
        </w:rPr>
        <w:t>存在</w:t>
      </w:r>
      <w:r>
        <w:rPr>
          <w:rFonts w:hint="eastAsia" w:ascii="仿宋_GB2312" w:hAnsi="sinsum" w:eastAsia="仿宋_GB2312"/>
          <w:color w:val="000000" w:themeColor="text1"/>
          <w:sz w:val="32"/>
          <w:shd w:val="clear" w:color="auto" w:fill="FFFFFF"/>
          <w:lang w:val="en-US" w:eastAsia="zh-CN"/>
          <w14:textFill>
            <w14:solidFill>
              <w14:schemeClr w14:val="tx1"/>
            </w14:solidFill>
          </w14:textFill>
        </w:rPr>
        <w:t>一些</w:t>
      </w:r>
      <w:r>
        <w:rPr>
          <w:rFonts w:hint="eastAsia" w:ascii="仿宋_GB2312" w:hAnsi="sinsum" w:eastAsia="仿宋_GB2312"/>
          <w:color w:val="000000" w:themeColor="text1"/>
          <w:sz w:val="32"/>
          <w:shd w:val="clear" w:color="auto" w:fill="FFFFFF"/>
          <w14:textFill>
            <w14:solidFill>
              <w14:schemeClr w14:val="tx1"/>
            </w14:solidFill>
          </w14:textFill>
        </w:rPr>
        <w:t>问题：</w:t>
      </w:r>
      <w:r>
        <w:rPr>
          <w:rFonts w:hint="eastAsia" w:ascii="仿宋_GB2312" w:hAnsi="sinsum" w:eastAsia="仿宋_GB2312"/>
          <w:color w:val="000000" w:themeColor="text1"/>
          <w:sz w:val="32"/>
          <w:shd w:val="clear" w:color="auto" w:fill="FFFFFF"/>
          <w:lang w:val="en-US" w:eastAsia="zh-CN"/>
          <w14:textFill>
            <w14:solidFill>
              <w14:schemeClr w14:val="tx1"/>
            </w14:solidFill>
          </w14:textFill>
        </w:rPr>
        <w:t>一是政策解读形式不够丰富，政策解读内容有待进一步优化。二是政府信息平台还需进一步完善，信息内容归类需更加准确。三是政府网站及政务新媒体运营管理需进一步规范。下一步我县将重点完善政府信息公开平台建设，围绕重点中心工作优化栏目设置，做到信息合理有序分类，便于信息快速搜索查询；强化政策文件解读力度，进一步落实政策文件与解读文件同步发布，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充分利用网站、微信、政务服务大厅等不断拓展政策文件获取渠道。</w:t>
      </w:r>
    </w:p>
    <w:p>
      <w:pPr>
        <w:pStyle w:val="5"/>
        <w:widowControl/>
        <w:shd w:val="clear" w:color="auto" w:fill="FFFFFF"/>
        <w:spacing w:before="0" w:beforeAutospacing="0" w:after="0" w:afterAutospacing="0" w:line="560" w:lineRule="exact"/>
        <w:ind w:firstLine="640" w:firstLineChars="200"/>
        <w:jc w:val="both"/>
        <w:rPr>
          <w:rFonts w:hint="eastAsia" w:ascii="黑体" w:hAnsi="黑体" w:eastAsia="黑体"/>
          <w:color w:val="000000" w:themeColor="text1"/>
          <w:sz w:val="32"/>
          <w14:textFill>
            <w14:solidFill>
              <w14:schemeClr w14:val="tx1"/>
            </w14:solidFill>
          </w14:textFill>
        </w:rPr>
      </w:pPr>
      <w:r>
        <w:rPr>
          <w:rStyle w:val="10"/>
          <w:rFonts w:hint="eastAsia" w:ascii="黑体" w:hAnsi="黑体" w:eastAsia="黑体"/>
          <w:b w:val="0"/>
          <w:color w:val="000000" w:themeColor="text1"/>
          <w:sz w:val="32"/>
          <w:shd w:val="clear" w:color="auto" w:fill="FFFFFF"/>
          <w14:textFill>
            <w14:solidFill>
              <w14:schemeClr w14:val="tx1"/>
            </w14:solidFill>
          </w14:textFill>
        </w:rPr>
        <w:t>六、其他需要报告的事项</w:t>
      </w:r>
    </w:p>
    <w:p>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sinsum" w:eastAsia="仿宋_GB2312"/>
          <w:color w:val="000000" w:themeColor="text1"/>
          <w:sz w:val="32"/>
          <w:shd w:val="clear" w:color="auto" w:fill="FFFFFF"/>
          <w:lang w:val="en-US" w:eastAsia="zh-CN"/>
          <w14:textFill>
            <w14:solidFill>
              <w14:schemeClr w14:val="tx1"/>
            </w14:solidFill>
          </w14:textFill>
        </w:rPr>
        <w:t>无</w:t>
      </w:r>
    </w:p>
    <w:sectPr>
      <w:pgSz w:w="11906" w:h="16838"/>
      <w:pgMar w:top="2098" w:right="1587"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方正小标宋_GBK">
    <w:altName w:val="微软雅黑"/>
    <w:panose1 w:val="03000509000000000000"/>
    <w:charset w:val="86"/>
    <w:family w:val="auto"/>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sinsum">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E968D0"/>
    <w:multiLevelType w:val="singleLevel"/>
    <w:tmpl w:val="37E968D0"/>
    <w:lvl w:ilvl="0" w:tentative="0">
      <w:start w:val="1"/>
      <w:numFmt w:val="chineseCounting"/>
      <w:suff w:val="nothing"/>
      <w:lvlText w:val="%1、"/>
      <w:lvlJc w:val="left"/>
      <w:rPr>
        <w:rFonts w:hint="eastAsia"/>
      </w:rPr>
    </w:lvl>
  </w:abstractNum>
  <w:abstractNum w:abstractNumId="1">
    <w:nsid w:val="7FF2D3AC"/>
    <w:multiLevelType w:val="singleLevel"/>
    <w:tmpl w:val="7FF2D3AC"/>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1bd02554-37c3-428c-ae11-0b1e7400f9b4"/>
  </w:docVars>
  <w:rsids>
    <w:rsidRoot w:val="6BC745DC"/>
    <w:rsid w:val="001C1F7D"/>
    <w:rsid w:val="0122109A"/>
    <w:rsid w:val="01503C14"/>
    <w:rsid w:val="018E3BA9"/>
    <w:rsid w:val="031532C0"/>
    <w:rsid w:val="03BF4FCD"/>
    <w:rsid w:val="04FE7D62"/>
    <w:rsid w:val="05402346"/>
    <w:rsid w:val="05884DD4"/>
    <w:rsid w:val="05BD107D"/>
    <w:rsid w:val="06254657"/>
    <w:rsid w:val="06B26F6A"/>
    <w:rsid w:val="074B5A77"/>
    <w:rsid w:val="08100E59"/>
    <w:rsid w:val="089457F6"/>
    <w:rsid w:val="08EF193C"/>
    <w:rsid w:val="092755F8"/>
    <w:rsid w:val="09B37CA3"/>
    <w:rsid w:val="0C1A3FC2"/>
    <w:rsid w:val="0C485DFB"/>
    <w:rsid w:val="0D4A7408"/>
    <w:rsid w:val="11236551"/>
    <w:rsid w:val="11DB4D01"/>
    <w:rsid w:val="145A5DBF"/>
    <w:rsid w:val="147F32FD"/>
    <w:rsid w:val="1A0B075D"/>
    <w:rsid w:val="1A8049B5"/>
    <w:rsid w:val="1A9B67C1"/>
    <w:rsid w:val="1AC8469E"/>
    <w:rsid w:val="1BA352D4"/>
    <w:rsid w:val="1BA74CC6"/>
    <w:rsid w:val="1BD06F33"/>
    <w:rsid w:val="1BEF2936"/>
    <w:rsid w:val="1BF7695E"/>
    <w:rsid w:val="1CB5408E"/>
    <w:rsid w:val="1D1220BA"/>
    <w:rsid w:val="1DA93299"/>
    <w:rsid w:val="1ECE7ADE"/>
    <w:rsid w:val="1F2B42D5"/>
    <w:rsid w:val="1F3E1CA7"/>
    <w:rsid w:val="1F4B1207"/>
    <w:rsid w:val="203415EF"/>
    <w:rsid w:val="20856803"/>
    <w:rsid w:val="20D03066"/>
    <w:rsid w:val="22466957"/>
    <w:rsid w:val="23D045A9"/>
    <w:rsid w:val="255605C5"/>
    <w:rsid w:val="25902A89"/>
    <w:rsid w:val="25B506DC"/>
    <w:rsid w:val="268D00DE"/>
    <w:rsid w:val="27AB7FDC"/>
    <w:rsid w:val="293509C5"/>
    <w:rsid w:val="29A34BEE"/>
    <w:rsid w:val="29BF417B"/>
    <w:rsid w:val="2A51257E"/>
    <w:rsid w:val="2A8C3C6C"/>
    <w:rsid w:val="2AC332FB"/>
    <w:rsid w:val="2C833540"/>
    <w:rsid w:val="2CF62A93"/>
    <w:rsid w:val="2D5B209F"/>
    <w:rsid w:val="2D60148F"/>
    <w:rsid w:val="2D8E4088"/>
    <w:rsid w:val="2DB81F8A"/>
    <w:rsid w:val="2E431C8A"/>
    <w:rsid w:val="2F9857C0"/>
    <w:rsid w:val="2FBA15F9"/>
    <w:rsid w:val="2FF846BE"/>
    <w:rsid w:val="30003BEB"/>
    <w:rsid w:val="302620AD"/>
    <w:rsid w:val="30852322"/>
    <w:rsid w:val="317856AF"/>
    <w:rsid w:val="334D13F1"/>
    <w:rsid w:val="33A60CF1"/>
    <w:rsid w:val="344F2DDC"/>
    <w:rsid w:val="34A05BC6"/>
    <w:rsid w:val="34D750A9"/>
    <w:rsid w:val="34D83691"/>
    <w:rsid w:val="35550D45"/>
    <w:rsid w:val="35C40367"/>
    <w:rsid w:val="36B417C0"/>
    <w:rsid w:val="36D300B2"/>
    <w:rsid w:val="3855678D"/>
    <w:rsid w:val="38E0311D"/>
    <w:rsid w:val="391F4955"/>
    <w:rsid w:val="3ABC1FFA"/>
    <w:rsid w:val="3B3752D1"/>
    <w:rsid w:val="3BD63BBF"/>
    <w:rsid w:val="3BFF086B"/>
    <w:rsid w:val="3D5830A0"/>
    <w:rsid w:val="3DA90A4A"/>
    <w:rsid w:val="3DB472C2"/>
    <w:rsid w:val="3E0B728E"/>
    <w:rsid w:val="3F171490"/>
    <w:rsid w:val="3F830AD3"/>
    <w:rsid w:val="40457CD3"/>
    <w:rsid w:val="41BB7A50"/>
    <w:rsid w:val="423C4DF2"/>
    <w:rsid w:val="42C31613"/>
    <w:rsid w:val="44714D55"/>
    <w:rsid w:val="46047C16"/>
    <w:rsid w:val="46287BC9"/>
    <w:rsid w:val="46374328"/>
    <w:rsid w:val="467F7AC9"/>
    <w:rsid w:val="469F4849"/>
    <w:rsid w:val="46CF61C9"/>
    <w:rsid w:val="473D4E6A"/>
    <w:rsid w:val="49992D1B"/>
    <w:rsid w:val="4A626AA2"/>
    <w:rsid w:val="4A9E4333"/>
    <w:rsid w:val="4AAF226D"/>
    <w:rsid w:val="4AF74423"/>
    <w:rsid w:val="4BD101E1"/>
    <w:rsid w:val="4C033A61"/>
    <w:rsid w:val="4C5D1724"/>
    <w:rsid w:val="4D3079C7"/>
    <w:rsid w:val="4F2A3C9D"/>
    <w:rsid w:val="500D3B87"/>
    <w:rsid w:val="50D35446"/>
    <w:rsid w:val="51374682"/>
    <w:rsid w:val="51BE144E"/>
    <w:rsid w:val="51F91B58"/>
    <w:rsid w:val="522A60FD"/>
    <w:rsid w:val="52E239D5"/>
    <w:rsid w:val="536811BA"/>
    <w:rsid w:val="53FA3C1F"/>
    <w:rsid w:val="541D0F9B"/>
    <w:rsid w:val="54576885"/>
    <w:rsid w:val="54D54E0E"/>
    <w:rsid w:val="55260825"/>
    <w:rsid w:val="553B5C49"/>
    <w:rsid w:val="55C067A5"/>
    <w:rsid w:val="56E11799"/>
    <w:rsid w:val="571A6D98"/>
    <w:rsid w:val="57522F7D"/>
    <w:rsid w:val="58731BDC"/>
    <w:rsid w:val="58DE70AE"/>
    <w:rsid w:val="58F56C24"/>
    <w:rsid w:val="59B546CA"/>
    <w:rsid w:val="59DF0D6E"/>
    <w:rsid w:val="5A276E2E"/>
    <w:rsid w:val="5A6C3E09"/>
    <w:rsid w:val="5B0F5993"/>
    <w:rsid w:val="5B1A65A9"/>
    <w:rsid w:val="5B2D071B"/>
    <w:rsid w:val="5B3F76B1"/>
    <w:rsid w:val="5B4D14FB"/>
    <w:rsid w:val="5B66075D"/>
    <w:rsid w:val="5B6A4890"/>
    <w:rsid w:val="5BFF465A"/>
    <w:rsid w:val="5C330CD3"/>
    <w:rsid w:val="5E5E1175"/>
    <w:rsid w:val="5E6E0708"/>
    <w:rsid w:val="5EC5593A"/>
    <w:rsid w:val="5FC31664"/>
    <w:rsid w:val="600F4484"/>
    <w:rsid w:val="606E00ED"/>
    <w:rsid w:val="61546DBF"/>
    <w:rsid w:val="627E78D0"/>
    <w:rsid w:val="65B43DB7"/>
    <w:rsid w:val="66071ED9"/>
    <w:rsid w:val="67D0655F"/>
    <w:rsid w:val="69CF0581"/>
    <w:rsid w:val="69FB5FCB"/>
    <w:rsid w:val="6AD90461"/>
    <w:rsid w:val="6AF63D71"/>
    <w:rsid w:val="6B113F33"/>
    <w:rsid w:val="6BBE7B3E"/>
    <w:rsid w:val="6BC745DC"/>
    <w:rsid w:val="6CCA42CB"/>
    <w:rsid w:val="6CE742D7"/>
    <w:rsid w:val="6D577C56"/>
    <w:rsid w:val="6D694B7B"/>
    <w:rsid w:val="6E091C67"/>
    <w:rsid w:val="6E5E1FE5"/>
    <w:rsid w:val="6E6B1BC8"/>
    <w:rsid w:val="6E8D38C1"/>
    <w:rsid w:val="6F7934FD"/>
    <w:rsid w:val="6FC71158"/>
    <w:rsid w:val="700722AB"/>
    <w:rsid w:val="7025274B"/>
    <w:rsid w:val="71640E65"/>
    <w:rsid w:val="723C5BA9"/>
    <w:rsid w:val="732C0D16"/>
    <w:rsid w:val="73CE630F"/>
    <w:rsid w:val="73DF2A19"/>
    <w:rsid w:val="73F0437F"/>
    <w:rsid w:val="74814D86"/>
    <w:rsid w:val="751041E7"/>
    <w:rsid w:val="76DA5FA6"/>
    <w:rsid w:val="76F05504"/>
    <w:rsid w:val="77197165"/>
    <w:rsid w:val="78121BDF"/>
    <w:rsid w:val="78377DFF"/>
    <w:rsid w:val="78836AF7"/>
    <w:rsid w:val="78954C30"/>
    <w:rsid w:val="789B2F38"/>
    <w:rsid w:val="7A5755F6"/>
    <w:rsid w:val="7B977B67"/>
    <w:rsid w:val="7BFD1E9C"/>
    <w:rsid w:val="7CAA617C"/>
    <w:rsid w:val="7F1D06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纯文本1"/>
    <w:basedOn w:val="1"/>
    <w:qFormat/>
    <w:uiPriority w:val="0"/>
    <w:rPr>
      <w:rFonts w:ascii="宋体" w:hAnsi="Courier New" w:cs="Courier New"/>
      <w:szCs w:val="21"/>
    </w:rPr>
  </w:style>
  <w:style w:type="paragraph" w:styleId="3">
    <w:name w:val="Normal Indent"/>
    <w:basedOn w:val="1"/>
    <w:unhideWhenUsed/>
    <w:qFormat/>
    <w:uiPriority w:val="0"/>
    <w:pPr>
      <w:spacing w:beforeLines="0" w:afterLines="0"/>
      <w:ind w:firstLine="420" w:firstLineChars="200"/>
    </w:pPr>
    <w:rPr>
      <w:rFonts w:hint="default"/>
      <w:sz w:val="21"/>
    </w:rPr>
  </w:style>
  <w:style w:type="paragraph" w:styleId="4">
    <w:name w:val="Body Text Indent"/>
    <w:basedOn w:val="1"/>
    <w:qFormat/>
    <w:uiPriority w:val="0"/>
    <w:pPr>
      <w:spacing w:after="120"/>
      <w:ind w:left="420" w:leftChars="200"/>
    </w:p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Title"/>
    <w:basedOn w:val="1"/>
    <w:next w:val="1"/>
    <w:qFormat/>
    <w:uiPriority w:val="0"/>
    <w:pPr>
      <w:spacing w:before="240" w:after="60"/>
      <w:jc w:val="center"/>
    </w:pPr>
    <w:rPr>
      <w:rFonts w:ascii="等线 Light" w:hAnsi="等线 Light" w:eastAsia="等线 Light" w:cs="Times New Roman"/>
      <w:b/>
      <w:bCs/>
      <w:sz w:val="32"/>
      <w:szCs w:val="32"/>
    </w:rPr>
  </w:style>
  <w:style w:type="paragraph" w:styleId="7">
    <w:name w:val="Body Text First Indent 2"/>
    <w:basedOn w:val="4"/>
    <w:qFormat/>
    <w:uiPriority w:val="0"/>
    <w:pPr>
      <w:ind w:firstLine="420" w:firstLineChars="200"/>
    </w:pPr>
  </w:style>
  <w:style w:type="character" w:styleId="10">
    <w:name w:val="Strong"/>
    <w:basedOn w:val="9"/>
    <w:unhideWhenUsed/>
    <w:qFormat/>
    <w:uiPriority w:val="0"/>
    <w:rPr>
      <w:rFonts w:hint="default"/>
      <w:b/>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2230</Words>
  <Characters>2356</Characters>
  <Lines>0</Lines>
  <Paragraphs>0</Paragraphs>
  <TotalTime>70</TotalTime>
  <ScaleCrop>false</ScaleCrop>
  <LinksUpToDate>false</LinksUpToDate>
  <CharactersWithSpaces>2563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2022-01-24T06:14:00Z</dcterms:created>
  <dc:creator>Administrator</dc:creator>
  <cp:lastModifiedBy> </cp:lastModifiedBy>
  <cp:lastPrinted>2022-02-10T07:26:00Z</cp:lastPrinted>
  <dcterms:modified xsi:type="dcterms:W3CDTF">2024-09-11T09:04:28Z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7EC4EE663AA94A9780611A9566B5F2C4</vt:lpwstr>
  </property>
</Properties>
</file>