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572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06"/>
        <w:gridCol w:w="533"/>
        <w:gridCol w:w="1035"/>
        <w:gridCol w:w="615"/>
        <w:gridCol w:w="1434"/>
        <w:gridCol w:w="1128"/>
        <w:gridCol w:w="1120"/>
        <w:gridCol w:w="2796"/>
        <w:gridCol w:w="875"/>
        <w:gridCol w:w="3545"/>
        <w:gridCol w:w="1203"/>
        <w:gridCol w:w="43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165" w:hRule="atLeast"/>
        </w:trPr>
        <w:tc>
          <w:tcPr>
            <w:tcW w:w="15729" w:type="dxa"/>
            <w:gridSpan w:val="12"/>
            <w:shd w:val="clear" w:color="auto" w:fill="auto"/>
            <w:vAlign w:val="center"/>
          </w:tcPr>
          <w:p>
            <w:pPr>
              <w:keepNext w:val="0"/>
              <w:keepLines w:val="0"/>
              <w:widowControl/>
              <w:suppressLineNumbers w:val="0"/>
              <w:jc w:val="center"/>
              <w:textAlignment w:val="center"/>
              <w:rPr>
                <w:rFonts w:ascii="方正小标宋简体" w:hAnsi="方正小标宋简体" w:eastAsia="方正小标宋简体" w:cs="方正小标宋简体"/>
                <w:i w:val="0"/>
                <w:color w:val="000000"/>
                <w:sz w:val="52"/>
                <w:szCs w:val="52"/>
                <w:u w:val="none"/>
              </w:rPr>
            </w:pPr>
            <w:r>
              <w:rPr>
                <w:rFonts w:hint="eastAsia" w:ascii="方正小标宋简体" w:hAnsi="方正小标宋简体" w:eastAsia="方正小标宋简体" w:cs="方正小标宋简体"/>
                <w:i w:val="0"/>
                <w:color w:val="000000"/>
                <w:kern w:val="0"/>
                <w:sz w:val="52"/>
                <w:szCs w:val="52"/>
                <w:u w:val="none"/>
                <w:lang w:val="en-US" w:eastAsia="zh-CN" w:bidi="ar"/>
              </w:rPr>
              <w:t>市人防办随机抽查事项清单（2020年版）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170" w:hRule="atLeast"/>
        </w:trPr>
        <w:tc>
          <w:tcPr>
            <w:tcW w:w="15729"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i w:val="0"/>
                <w:color w:val="000000"/>
                <w:sz w:val="48"/>
                <w:szCs w:val="48"/>
                <w:u w:val="none"/>
              </w:rPr>
            </w:pPr>
            <w:r>
              <w:rPr>
                <w:rFonts w:hint="eastAsia" w:ascii="方正小标宋简体" w:hAnsi="方正小标宋简体" w:eastAsia="方正小标宋简体" w:cs="方正小标宋简体"/>
                <w:i w:val="0"/>
                <w:color w:val="000000"/>
                <w:kern w:val="0"/>
                <w:sz w:val="48"/>
                <w:szCs w:val="48"/>
                <w:u w:val="none"/>
                <w:lang w:val="en-US" w:eastAsia="zh-CN" w:bidi="ar"/>
              </w:rPr>
              <w:t>市场监管执法类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245" w:hRule="atLeast"/>
        </w:trPr>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left="0" w:leftChars="0" w:right="0" w:rightChars="0" w:firstLine="0" w:firstLineChars="0"/>
              <w:jc w:val="center"/>
              <w:textAlignment w:val="center"/>
              <w:outlineLvl w:val="9"/>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单位名称</w:t>
            </w: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left="0" w:leftChars="0" w:right="0" w:rightChars="0" w:firstLine="0" w:firstLineChars="0"/>
              <w:jc w:val="center"/>
              <w:textAlignment w:val="center"/>
              <w:outlineLvl w:val="9"/>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序号</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left="0" w:leftChars="0" w:right="0" w:rightChars="0" w:firstLine="0" w:firstLineChars="0"/>
              <w:jc w:val="center"/>
              <w:textAlignment w:val="center"/>
              <w:outlineLvl w:val="9"/>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对应省级部门名称</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left="0" w:leftChars="0" w:right="0" w:rightChars="0" w:firstLine="0" w:firstLineChars="0"/>
              <w:jc w:val="center"/>
              <w:textAlignment w:val="center"/>
              <w:outlineLvl w:val="9"/>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检查项目</w:t>
            </w:r>
          </w:p>
        </w:tc>
        <w:tc>
          <w:tcPr>
            <w:tcW w:w="14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left="0" w:leftChars="0" w:right="0" w:rightChars="0" w:firstLine="0" w:firstLineChars="0"/>
              <w:jc w:val="center"/>
              <w:textAlignment w:val="center"/>
              <w:outlineLvl w:val="9"/>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检查子项</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left="0" w:leftChars="0" w:right="0" w:rightChars="0" w:firstLine="0" w:firstLineChars="0"/>
              <w:jc w:val="center"/>
              <w:textAlignment w:val="center"/>
              <w:outlineLvl w:val="9"/>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事项类别</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left="0" w:leftChars="0" w:right="0" w:rightChars="0" w:firstLine="0" w:firstLineChars="0"/>
              <w:jc w:val="center"/>
              <w:textAlignment w:val="center"/>
              <w:outlineLvl w:val="9"/>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检查主体</w:t>
            </w: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left="0" w:leftChars="0" w:right="0" w:rightChars="0" w:firstLine="0" w:firstLineChars="0"/>
              <w:jc w:val="center"/>
              <w:textAlignment w:val="center"/>
              <w:outlineLvl w:val="9"/>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检查依据</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left="0" w:leftChars="0" w:right="0" w:rightChars="0" w:firstLine="0" w:firstLineChars="0"/>
              <w:jc w:val="center"/>
              <w:textAlignment w:val="center"/>
              <w:outlineLvl w:val="9"/>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检查方式</w:t>
            </w:r>
          </w:p>
        </w:tc>
        <w:tc>
          <w:tcPr>
            <w:tcW w:w="3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left="0" w:leftChars="0" w:right="0" w:rightChars="0" w:firstLine="0" w:firstLineChars="0"/>
              <w:jc w:val="center"/>
              <w:textAlignment w:val="center"/>
              <w:outlineLvl w:val="9"/>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检查内容</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left="0" w:leftChars="0" w:right="0" w:rightChars="0" w:firstLine="0" w:firstLineChars="0"/>
              <w:jc w:val="center"/>
              <w:textAlignment w:val="center"/>
              <w:outlineLvl w:val="9"/>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是否适用跨部门联合“双随机”抽查</w:t>
            </w:r>
          </w:p>
        </w:tc>
        <w:tc>
          <w:tcPr>
            <w:tcW w:w="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left="0" w:leftChars="0" w:right="0" w:rightChars="0" w:firstLine="0" w:firstLineChars="0"/>
              <w:jc w:val="center"/>
              <w:textAlignment w:val="center"/>
              <w:outlineLvl w:val="9"/>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950" w:hRule="atLeast"/>
        </w:trPr>
        <w:tc>
          <w:tcPr>
            <w:tcW w:w="1006" w:type="dxa"/>
            <w:vMerge w:val="restart"/>
            <w:tcBorders>
              <w:top w:val="single" w:color="000000" w:sz="4" w:space="0"/>
              <w:left w:val="single" w:color="000000" w:sz="4" w:space="0"/>
              <w:bottom w:val="single" w:color="000000" w:sz="4" w:space="0"/>
              <w:right w:val="single" w:color="000000" w:sz="4" w:space="0"/>
            </w:tcBorders>
            <w:shd w:val="clear" w:color="auto" w:fill="auto"/>
            <w:textDirection w:val="tbRlV"/>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石家庄市人防办</w:t>
            </w:r>
          </w:p>
        </w:tc>
        <w:tc>
          <w:tcPr>
            <w:tcW w:w="5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省人防办</w:t>
            </w:r>
          </w:p>
        </w:tc>
        <w:tc>
          <w:tcPr>
            <w:tcW w:w="6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对人防工程监理单位的检查</w:t>
            </w:r>
          </w:p>
        </w:tc>
        <w:tc>
          <w:tcPr>
            <w:tcW w:w="14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对人防工程监理单位资质条件的检查</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一般检查事项</w:t>
            </w:r>
          </w:p>
        </w:tc>
        <w:tc>
          <w:tcPr>
            <w:tcW w:w="11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省、设区市人防主管部门</w:t>
            </w: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建设工程质量管理条例》第四条、第四十七条；《人防工程监理行政许可资质管理办法》（国人防﹝2013﹞227号）第二十六条；《河北省人防工程监理单位监督管理办法》（冀人防字〔2016〕35号）第六条第一款。</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实地检查</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书面检查</w:t>
            </w:r>
          </w:p>
        </w:tc>
        <w:tc>
          <w:tcPr>
            <w:tcW w:w="3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现有注册执业人员是否符合资质要求；资质证书是否超过有效期限；是否存在以弄虚作假或者以欺骗等不正当手段取得资质证书行为；法律、法规、规章规定的其他事项。</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是</w:t>
            </w:r>
          </w:p>
        </w:tc>
        <w:tc>
          <w:tcPr>
            <w:tcW w:w="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市场监管执法事项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3" w:hRule="atLeast"/>
        </w:trPr>
        <w:tc>
          <w:tcPr>
            <w:tcW w:w="1006" w:type="dxa"/>
            <w:vMerge w:val="continue"/>
            <w:tcBorders>
              <w:top w:val="single" w:color="000000" w:sz="4" w:space="0"/>
              <w:left w:val="single" w:color="000000" w:sz="4" w:space="0"/>
              <w:bottom w:val="single" w:color="000000" w:sz="4" w:space="0"/>
              <w:right w:val="single" w:color="000000" w:sz="4" w:space="0"/>
            </w:tcBorders>
            <w:shd w:val="clear" w:color="auto" w:fill="auto"/>
            <w:textDirection w:val="tbRlV"/>
            <w:vAlign w:val="center"/>
          </w:tcPr>
          <w:p>
            <w:pPr>
              <w:jc w:val="center"/>
              <w:rPr>
                <w:rFonts w:hint="eastAsia" w:ascii="宋体" w:hAnsi="宋体" w:eastAsia="宋体" w:cs="宋体"/>
                <w:b/>
                <w:i w:val="0"/>
                <w:color w:val="000000"/>
                <w:sz w:val="36"/>
                <w:szCs w:val="36"/>
                <w:u w:val="none"/>
              </w:rPr>
            </w:pPr>
          </w:p>
        </w:tc>
        <w:tc>
          <w:tcPr>
            <w:tcW w:w="5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rPr>
            </w:pPr>
          </w:p>
        </w:tc>
        <w:tc>
          <w:tcPr>
            <w:tcW w:w="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rPr>
            </w:pPr>
          </w:p>
        </w:tc>
        <w:tc>
          <w:tcPr>
            <w:tcW w:w="14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对人防工程监理单位市场行为的检查</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一般检查事项</w:t>
            </w:r>
          </w:p>
        </w:tc>
        <w:tc>
          <w:tcPr>
            <w:tcW w:w="11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rPr>
            </w:pP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建设工程质量管理条例》第四条、第四十七条；《人防工程监理行政许可资质管理办法》（国人防﹝2013﹞227号）第二十六条；《河北省人防工程监理单位监督管理办法》（冀人防字〔2016〕35号）第六条第二款。</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实地检查</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书面检查</w:t>
            </w:r>
          </w:p>
        </w:tc>
        <w:tc>
          <w:tcPr>
            <w:tcW w:w="3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是否存在超越资质证书许可范围承揽业务的行为；监理工程项目有无委托监理合同，监理人员资格证书与承担任务是否相符；是否存在涂改、倒卖、出租、出借或者以其他形式非法转让人防工程监理许可资质证书的行为；是否存在非法转让人防工程监理业务的行为；是否存在借资质承揽业务的行为；工商注册地不在本省的人防工程甲级资质监理单位在开展业务前，是否到省人民防空行政主管部门备案；是否存在不正当竞争行为；法律、法规、规章规定的其他事项。</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是</w:t>
            </w:r>
          </w:p>
        </w:tc>
        <w:tc>
          <w:tcPr>
            <w:tcW w:w="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市场监管执法事项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320" w:hRule="atLeast"/>
        </w:trPr>
        <w:tc>
          <w:tcPr>
            <w:tcW w:w="1006" w:type="dxa"/>
            <w:vMerge w:val="continue"/>
            <w:tcBorders>
              <w:top w:val="single" w:color="000000" w:sz="4" w:space="0"/>
              <w:left w:val="single" w:color="000000" w:sz="4" w:space="0"/>
              <w:bottom w:val="single" w:color="000000" w:sz="4" w:space="0"/>
              <w:right w:val="single" w:color="000000" w:sz="4" w:space="0"/>
            </w:tcBorders>
            <w:shd w:val="clear" w:color="auto" w:fill="auto"/>
            <w:textDirection w:val="tbRlV"/>
            <w:vAlign w:val="center"/>
          </w:tcPr>
          <w:p>
            <w:pPr>
              <w:jc w:val="center"/>
              <w:rPr>
                <w:rFonts w:hint="eastAsia" w:ascii="宋体" w:hAnsi="宋体" w:eastAsia="宋体" w:cs="宋体"/>
                <w:b/>
                <w:i w:val="0"/>
                <w:color w:val="000000"/>
                <w:sz w:val="36"/>
                <w:szCs w:val="36"/>
                <w:u w:val="none"/>
              </w:rPr>
            </w:pPr>
          </w:p>
        </w:tc>
        <w:tc>
          <w:tcPr>
            <w:tcW w:w="5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rPr>
            </w:pPr>
          </w:p>
        </w:tc>
        <w:tc>
          <w:tcPr>
            <w:tcW w:w="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rPr>
            </w:pPr>
          </w:p>
        </w:tc>
        <w:tc>
          <w:tcPr>
            <w:tcW w:w="14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对人防工程监理单位工作质量的检查</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一般检查事项</w:t>
            </w:r>
          </w:p>
        </w:tc>
        <w:tc>
          <w:tcPr>
            <w:tcW w:w="11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rPr>
            </w:pP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建设工程质量管理条例》第四条、第四十七条；《人防工程监理行政许可资质管理办法》（国人防﹝2013﹞227号）第二十四条、第二十六条；《河北省人防工程监理单位监督管理办法》（冀人防字〔2016〕35号）第六条第三款。</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实地检查</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书面检查</w:t>
            </w:r>
          </w:p>
        </w:tc>
        <w:tc>
          <w:tcPr>
            <w:tcW w:w="3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是否按照《建设工程监理规范》要求开展监理业务，单位、分部、分项、检验批和隐蔽工程验收记录是否齐全；是否存在故意损害建设单位和施工承包单位利益的行为；是否存在与建设单位或施工单位串通，弄虚作假、降低工程质量或者将不合格的建设工程、建筑材料、建筑构配件和设备按照合格签字的行为；是否存在与施工承包单位以及建筑材料、建筑构配件和设备供应单位有隶属关系或者其他利害关系；项目监理机构是否与人防工程规模、等级相适应；人防工程项目监理规划、监理实施细则、旁站、巡视、平行检验记录是否符合人防工程特点；人防专用设备进场质量保证资料是否齐全；人防工程档案管理是否符合相关规定；法律、法规、规章规定的其他事项。</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是</w:t>
            </w:r>
          </w:p>
        </w:tc>
        <w:tc>
          <w:tcPr>
            <w:tcW w:w="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市场监管执法事项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465" w:hRule="atLeast"/>
        </w:trPr>
        <w:tc>
          <w:tcPr>
            <w:tcW w:w="1006" w:type="dxa"/>
            <w:vMerge w:val="continue"/>
            <w:tcBorders>
              <w:top w:val="single" w:color="000000" w:sz="4" w:space="0"/>
              <w:left w:val="single" w:color="000000" w:sz="4" w:space="0"/>
              <w:bottom w:val="single" w:color="000000" w:sz="4" w:space="0"/>
              <w:right w:val="single" w:color="000000" w:sz="4" w:space="0"/>
            </w:tcBorders>
            <w:shd w:val="clear" w:color="auto" w:fill="auto"/>
            <w:textDirection w:val="tbRlV"/>
            <w:vAlign w:val="center"/>
          </w:tcPr>
          <w:p>
            <w:pPr>
              <w:jc w:val="center"/>
              <w:rPr>
                <w:rFonts w:hint="eastAsia" w:ascii="宋体" w:hAnsi="宋体" w:eastAsia="宋体" w:cs="宋体"/>
                <w:b/>
                <w:i w:val="0"/>
                <w:color w:val="000000"/>
                <w:sz w:val="36"/>
                <w:szCs w:val="36"/>
                <w:u w:val="none"/>
              </w:rPr>
            </w:pP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省人防办</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对人防工程施工图审查机构的检查</w:t>
            </w:r>
          </w:p>
        </w:tc>
        <w:tc>
          <w:tcPr>
            <w:tcW w:w="14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对人防工程施工图审查机构工作质量的检查</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一般检查事项</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省、设区市、县级人防主管部门</w:t>
            </w: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建设工程质量管理条例》第四条、第四十七条；《人民防空工程施工图设计文件审查管理办法》（国人防﹝2009﹞282号）第二十一条；《河北省人防工程设计单位和施工图审查机构检查检查管理办法》（冀人防字〔2016〕36号）第六条第三款。</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实地检查</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书面检查</w:t>
            </w:r>
          </w:p>
        </w:tc>
        <w:tc>
          <w:tcPr>
            <w:tcW w:w="3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施工图审查依据是否合法有效；施工图审查质量是否符合现行规定要求，是否存在错审、漏审问题；档案管理是否符合要求，存档资料是否齐全有效；施工图审查合格证和审查报告是否存在虚假或伪造情形。法律、法规、规章规定的其他事项。</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是</w:t>
            </w:r>
          </w:p>
        </w:tc>
        <w:tc>
          <w:tcPr>
            <w:tcW w:w="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市场监管执法事项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375" w:hRule="atLeast"/>
        </w:trPr>
        <w:tc>
          <w:tcPr>
            <w:tcW w:w="1006" w:type="dxa"/>
            <w:vMerge w:val="continue"/>
            <w:tcBorders>
              <w:top w:val="single" w:color="000000" w:sz="4" w:space="0"/>
              <w:left w:val="single" w:color="000000" w:sz="4" w:space="0"/>
              <w:bottom w:val="single" w:color="000000" w:sz="4" w:space="0"/>
              <w:right w:val="single" w:color="000000" w:sz="4" w:space="0"/>
            </w:tcBorders>
            <w:shd w:val="clear" w:color="auto" w:fill="auto"/>
            <w:textDirection w:val="tbRlV"/>
            <w:vAlign w:val="center"/>
          </w:tcPr>
          <w:p>
            <w:pPr>
              <w:jc w:val="center"/>
              <w:rPr>
                <w:rFonts w:hint="eastAsia" w:ascii="宋体" w:hAnsi="宋体" w:eastAsia="宋体" w:cs="宋体"/>
                <w:b/>
                <w:i w:val="0"/>
                <w:color w:val="000000"/>
                <w:sz w:val="36"/>
                <w:szCs w:val="36"/>
                <w:u w:val="none"/>
              </w:rPr>
            </w:pP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3</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省人防办</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对人防工程防护设备生产安装企业的检查</w:t>
            </w:r>
          </w:p>
        </w:tc>
        <w:tc>
          <w:tcPr>
            <w:tcW w:w="14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对人防工程防护设备生产安装企业的检查</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一般检查事项</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省、设区市、县级人防主管部门</w:t>
            </w: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《建设工程质量管理条例》第四条、第四十七条；《人民防空工程建设管理规定》第五十六条；《人民防空专用设备生产安装管理暂行办法》（国人防〔2014〕438号）第十三条、第二十二条。</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实地检查</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书面检查</w:t>
            </w:r>
          </w:p>
        </w:tc>
        <w:tc>
          <w:tcPr>
            <w:tcW w:w="3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现有资质条件是否符合已取得资质证书的资质条件要求；是否存在不按照国家规定的标准或者擅自更改图纸生产人防设备的情况；是否允许其他企业挂靠生产或者套牌销售；是否偷工减料、销售伪劣人防设备；人防设备是否存在生产、安装质量问题；是否存在生产、销售、安装不合格或者国家明令淘汰的人防设备；是否按照合同要求，对产品履行维修、保养、更换责任；是否违反国家有关价格管理规定，低于成本销售查产品或者进行价格垄断；是否有安装调试专业队伍，是否按规定对人防设备安装施工进行验收；法律、法规、规章规定的其他事项。</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是</w:t>
            </w:r>
          </w:p>
        </w:tc>
        <w:tc>
          <w:tcPr>
            <w:tcW w:w="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市场监管执法事项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80" w:hRule="atLeast"/>
        </w:trPr>
        <w:tc>
          <w:tcPr>
            <w:tcW w:w="15729"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i w:val="0"/>
                <w:color w:val="000000"/>
                <w:sz w:val="48"/>
                <w:szCs w:val="48"/>
                <w:u w:val="none"/>
              </w:rPr>
            </w:pPr>
            <w:r>
              <w:rPr>
                <w:rFonts w:hint="eastAsia" w:ascii="方正小标宋简体" w:hAnsi="方正小标宋简体" w:eastAsia="方正小标宋简体" w:cs="方正小标宋简体"/>
                <w:i w:val="0"/>
                <w:color w:val="000000"/>
                <w:kern w:val="0"/>
                <w:sz w:val="48"/>
                <w:szCs w:val="48"/>
                <w:u w:val="none"/>
                <w:lang w:val="en-US" w:eastAsia="zh-CN" w:bidi="ar"/>
              </w:rPr>
              <w:t>其他行政执法类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584" w:hRule="atLeast"/>
        </w:trPr>
        <w:tc>
          <w:tcPr>
            <w:tcW w:w="10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石</w:t>
            </w:r>
            <w:r>
              <w:rPr>
                <w:rFonts w:hint="eastAsia" w:ascii="宋体" w:hAnsi="宋体" w:eastAsia="宋体" w:cs="宋体"/>
                <w:b/>
                <w:i w:val="0"/>
                <w:color w:val="000000"/>
                <w:kern w:val="0"/>
                <w:sz w:val="36"/>
                <w:szCs w:val="36"/>
                <w:u w:val="none"/>
                <w:lang w:val="en-US" w:eastAsia="zh-CN" w:bidi="ar"/>
              </w:rPr>
              <w:br w:type="textWrapping"/>
            </w:r>
            <w:r>
              <w:rPr>
                <w:rFonts w:hint="eastAsia" w:ascii="宋体" w:hAnsi="宋体" w:eastAsia="宋体" w:cs="宋体"/>
                <w:b/>
                <w:i w:val="0"/>
                <w:color w:val="000000"/>
                <w:kern w:val="0"/>
                <w:sz w:val="36"/>
                <w:szCs w:val="36"/>
                <w:u w:val="none"/>
                <w:lang w:val="en-US" w:eastAsia="zh-CN" w:bidi="ar"/>
              </w:rPr>
              <w:t>家</w:t>
            </w:r>
            <w:r>
              <w:rPr>
                <w:rFonts w:hint="eastAsia" w:ascii="宋体" w:hAnsi="宋体" w:eastAsia="宋体" w:cs="宋体"/>
                <w:b/>
                <w:i w:val="0"/>
                <w:color w:val="000000"/>
                <w:kern w:val="0"/>
                <w:sz w:val="36"/>
                <w:szCs w:val="36"/>
                <w:u w:val="none"/>
                <w:lang w:val="en-US" w:eastAsia="zh-CN" w:bidi="ar"/>
              </w:rPr>
              <w:br w:type="textWrapping"/>
            </w:r>
            <w:r>
              <w:rPr>
                <w:rFonts w:hint="eastAsia" w:ascii="宋体" w:hAnsi="宋体" w:eastAsia="宋体" w:cs="宋体"/>
                <w:b/>
                <w:i w:val="0"/>
                <w:color w:val="000000"/>
                <w:kern w:val="0"/>
                <w:sz w:val="36"/>
                <w:szCs w:val="36"/>
                <w:u w:val="none"/>
                <w:lang w:val="en-US" w:eastAsia="zh-CN" w:bidi="ar"/>
              </w:rPr>
              <w:t>庄</w:t>
            </w:r>
            <w:r>
              <w:rPr>
                <w:rFonts w:hint="eastAsia" w:ascii="宋体" w:hAnsi="宋体" w:eastAsia="宋体" w:cs="宋体"/>
                <w:b/>
                <w:i w:val="0"/>
                <w:color w:val="000000"/>
                <w:kern w:val="0"/>
                <w:sz w:val="36"/>
                <w:szCs w:val="36"/>
                <w:u w:val="none"/>
                <w:lang w:val="en-US" w:eastAsia="zh-CN" w:bidi="ar"/>
              </w:rPr>
              <w:br w:type="textWrapping"/>
            </w:r>
            <w:r>
              <w:rPr>
                <w:rFonts w:hint="eastAsia" w:ascii="宋体" w:hAnsi="宋体" w:eastAsia="宋体" w:cs="宋体"/>
                <w:b/>
                <w:i w:val="0"/>
                <w:color w:val="000000"/>
                <w:kern w:val="0"/>
                <w:sz w:val="36"/>
                <w:szCs w:val="36"/>
                <w:u w:val="none"/>
                <w:lang w:val="en-US" w:eastAsia="zh-CN" w:bidi="ar"/>
              </w:rPr>
              <w:t>市</w:t>
            </w:r>
            <w:r>
              <w:rPr>
                <w:rFonts w:hint="eastAsia" w:ascii="宋体" w:hAnsi="宋体" w:eastAsia="宋体" w:cs="宋体"/>
                <w:b/>
                <w:i w:val="0"/>
                <w:color w:val="000000"/>
                <w:kern w:val="0"/>
                <w:sz w:val="36"/>
                <w:szCs w:val="36"/>
                <w:u w:val="none"/>
                <w:lang w:val="en-US" w:eastAsia="zh-CN" w:bidi="ar"/>
              </w:rPr>
              <w:br w:type="textWrapping"/>
            </w:r>
            <w:r>
              <w:rPr>
                <w:rFonts w:hint="eastAsia" w:ascii="宋体" w:hAnsi="宋体" w:eastAsia="宋体" w:cs="宋体"/>
                <w:b/>
                <w:i w:val="0"/>
                <w:color w:val="000000"/>
                <w:kern w:val="0"/>
                <w:sz w:val="36"/>
                <w:szCs w:val="36"/>
                <w:u w:val="none"/>
                <w:lang w:val="en-US" w:eastAsia="zh-CN" w:bidi="ar"/>
              </w:rPr>
              <w:t>人</w:t>
            </w:r>
            <w:r>
              <w:rPr>
                <w:rFonts w:hint="eastAsia" w:ascii="宋体" w:hAnsi="宋体" w:eastAsia="宋体" w:cs="宋体"/>
                <w:b/>
                <w:i w:val="0"/>
                <w:color w:val="000000"/>
                <w:kern w:val="0"/>
                <w:sz w:val="36"/>
                <w:szCs w:val="36"/>
                <w:u w:val="none"/>
                <w:lang w:val="en-US" w:eastAsia="zh-CN" w:bidi="ar"/>
              </w:rPr>
              <w:br w:type="textWrapping"/>
            </w:r>
            <w:r>
              <w:rPr>
                <w:rFonts w:hint="eastAsia" w:ascii="宋体" w:hAnsi="宋体" w:eastAsia="宋体" w:cs="宋体"/>
                <w:b/>
                <w:i w:val="0"/>
                <w:color w:val="000000"/>
                <w:kern w:val="0"/>
                <w:sz w:val="36"/>
                <w:szCs w:val="36"/>
                <w:u w:val="none"/>
                <w:lang w:val="en-US" w:eastAsia="zh-CN" w:bidi="ar"/>
              </w:rPr>
              <w:t>防</w:t>
            </w:r>
            <w:r>
              <w:rPr>
                <w:rFonts w:hint="eastAsia" w:ascii="宋体" w:hAnsi="宋体" w:eastAsia="宋体" w:cs="宋体"/>
                <w:b/>
                <w:i w:val="0"/>
                <w:color w:val="000000"/>
                <w:kern w:val="0"/>
                <w:sz w:val="36"/>
                <w:szCs w:val="36"/>
                <w:u w:val="none"/>
                <w:lang w:val="en-US" w:eastAsia="zh-CN" w:bidi="ar"/>
              </w:rPr>
              <w:br w:type="textWrapping"/>
            </w:r>
            <w:r>
              <w:rPr>
                <w:rFonts w:hint="eastAsia" w:ascii="宋体" w:hAnsi="宋体" w:eastAsia="宋体" w:cs="宋体"/>
                <w:b/>
                <w:i w:val="0"/>
                <w:color w:val="000000"/>
                <w:kern w:val="0"/>
                <w:sz w:val="36"/>
                <w:szCs w:val="36"/>
                <w:u w:val="none"/>
                <w:lang w:val="en-US" w:eastAsia="zh-CN" w:bidi="ar"/>
              </w:rPr>
              <w:t>办</w:t>
            </w:r>
          </w:p>
        </w:tc>
        <w:tc>
          <w:tcPr>
            <w:tcW w:w="5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省人防办</w:t>
            </w:r>
          </w:p>
        </w:tc>
        <w:tc>
          <w:tcPr>
            <w:tcW w:w="6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对人民防空工程建设的检查</w:t>
            </w:r>
          </w:p>
        </w:tc>
        <w:tc>
          <w:tcPr>
            <w:tcW w:w="14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对防空地下室建设的检查</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重点检查事项</w:t>
            </w:r>
          </w:p>
        </w:tc>
        <w:tc>
          <w:tcPr>
            <w:tcW w:w="11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设区市、县级人防主管部门</w:t>
            </w: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中央9号文；《中华人民共和国人民防空法》第四十八条、第四十九条；《建设工程质量管理条例》第四条、第四十七条；《河北省实施&lt;中华人民共和国人民防空法&gt;办法》第十二条、第十三条、第十四条；《河北省结合民用建筑修建防空地下室管理规定》第八条、第九条、第十一条、第十二条、第二十六条。</w:t>
            </w:r>
          </w:p>
        </w:tc>
        <w:tc>
          <w:tcPr>
            <w:tcW w:w="8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实地检查、书面检查</w:t>
            </w:r>
          </w:p>
        </w:tc>
        <w:tc>
          <w:tcPr>
            <w:tcW w:w="3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建设单位是否依法申请办理审批手续；建设单位是否按规定标准修建防空地下室或缴纳易地建设费；建设单位是否按规定办理质量监督手续；建设单位和施工单位在施工中确要变更施工图设计，是否经原施工图审查机构审查并备案；施工单位是否具有相应资质等级,并按照审核批准的施工图设计文件和国家强制性标准的要求施工；防护设备是否符合国家规定的标准，是否按施工图设计文件与主体工程同步建设安装；建设单位是否按照规定组织人防工程竣工验收；人防工程竣工验收后，建设单位是否向审批局或人防主管移交有关资料；验收不合格的，建设单位是否进行整改，整改后仍不合格的，是否按照规定缴纳防空地下室易地建设费；法律、法规、规章规定的其他事项。</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是</w:t>
            </w:r>
          </w:p>
        </w:tc>
        <w:tc>
          <w:tcPr>
            <w:tcW w:w="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其他行政执法</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事项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9" w:hRule="atLeast"/>
        </w:trPr>
        <w:tc>
          <w:tcPr>
            <w:tcW w:w="10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36"/>
                <w:szCs w:val="36"/>
                <w:u w:val="none"/>
              </w:rPr>
            </w:pPr>
          </w:p>
        </w:tc>
        <w:tc>
          <w:tcPr>
            <w:tcW w:w="5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rPr>
            </w:pPr>
          </w:p>
        </w:tc>
        <w:tc>
          <w:tcPr>
            <w:tcW w:w="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rPr>
            </w:pPr>
          </w:p>
        </w:tc>
        <w:tc>
          <w:tcPr>
            <w:tcW w:w="14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对人防工程维护管理的检查</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一般检查事项</w:t>
            </w:r>
          </w:p>
        </w:tc>
        <w:tc>
          <w:tcPr>
            <w:tcW w:w="11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rPr>
            </w:pP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中华人民共和国人民防空法》第二十五条、第二十八条、第四十九条、第五十条；《河北省实施&lt;中华人民共和国人民防空法&gt;实施办法》第十七条；《河北省人民防空工程维护与使用管理条例》第五条、第十三条、第十四条、第十五条、第十六条、第十七条、第十八条、第十九条、第二十四条、第二十五条。</w:t>
            </w:r>
          </w:p>
        </w:tc>
        <w:tc>
          <w:tcPr>
            <w:tcW w:w="8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rPr>
            </w:pPr>
          </w:p>
        </w:tc>
        <w:tc>
          <w:tcPr>
            <w:tcW w:w="3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人防工程维护管理制度是否完善；人防工程维护保养是否达到规定标准；是否存在侵占人民防空工程，偷窃、故意损毁人民防空工程设备设施等影响人民防空工程使用或者降低人民防空工程防护效能的行为；是否存在未取得人民防空主管部门同意，在可能危及人民防空工程安全范围内埋设管道、修建地面设施的行为；是否按规定办理人防工程拆除改造审批手续；拆除人民防空工程后是否按规定补建或者缴纳拆除补偿费；法律、法规、规章规定的其他事项。</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否</w:t>
            </w:r>
          </w:p>
        </w:tc>
        <w:tc>
          <w:tcPr>
            <w:tcW w:w="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其他行政执法</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事项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728" w:hRule="atLeast"/>
        </w:trPr>
        <w:tc>
          <w:tcPr>
            <w:tcW w:w="10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36"/>
                <w:szCs w:val="36"/>
                <w:u w:val="none"/>
              </w:rPr>
            </w:pPr>
          </w:p>
        </w:tc>
        <w:tc>
          <w:tcPr>
            <w:tcW w:w="5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w:t>
            </w: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省人防办</w:t>
            </w:r>
          </w:p>
        </w:tc>
        <w:tc>
          <w:tcPr>
            <w:tcW w:w="6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对人民防空教育的检查</w:t>
            </w:r>
          </w:p>
        </w:tc>
        <w:tc>
          <w:tcPr>
            <w:tcW w:w="14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对人民防空教育的检查</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一般检查事项</w:t>
            </w:r>
          </w:p>
        </w:tc>
        <w:tc>
          <w:tcPr>
            <w:tcW w:w="11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设区市、县级人防主管部门</w:t>
            </w: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《河北省实施〈中华人民共和国人民防空法〉办法》第二十九条第一款。</w:t>
            </w:r>
          </w:p>
        </w:tc>
        <w:tc>
          <w:tcPr>
            <w:tcW w:w="8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实地检查、书面检查</w:t>
            </w:r>
          </w:p>
        </w:tc>
        <w:tc>
          <w:tcPr>
            <w:tcW w:w="3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是否纳入国防教育计划，是否纳入学校课程；是否有专（兼）职人防教师，是否落实师资培训。</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是</w:t>
            </w:r>
          </w:p>
        </w:tc>
        <w:tc>
          <w:tcPr>
            <w:tcW w:w="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其他行政执法</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事项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560" w:hRule="atLeast"/>
        </w:trPr>
        <w:tc>
          <w:tcPr>
            <w:tcW w:w="10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36"/>
                <w:szCs w:val="36"/>
                <w:u w:val="none"/>
              </w:rPr>
            </w:pPr>
          </w:p>
        </w:tc>
        <w:tc>
          <w:tcPr>
            <w:tcW w:w="5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rPr>
            </w:pPr>
          </w:p>
        </w:tc>
        <w:tc>
          <w:tcPr>
            <w:tcW w:w="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rPr>
            </w:pPr>
          </w:p>
        </w:tc>
        <w:tc>
          <w:tcPr>
            <w:tcW w:w="14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对组织群众防空防灾教育和防护技能训练的检查</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一般检查事项</w:t>
            </w:r>
          </w:p>
        </w:tc>
        <w:tc>
          <w:tcPr>
            <w:tcW w:w="11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rPr>
            </w:pP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《河北省人民政府办公厅关于印发河北省人民防空办公室主要职责内设机构和人员编制规定的通知》（冀政办〔2009〕70号）三、（二）。</w:t>
            </w:r>
          </w:p>
        </w:tc>
        <w:tc>
          <w:tcPr>
            <w:tcW w:w="8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rPr>
            </w:pPr>
          </w:p>
        </w:tc>
        <w:tc>
          <w:tcPr>
            <w:tcW w:w="3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是否有群众防空防灾教育和防护技能训练计划；是否有相关资料器材；每年是否组织开展群众性宣传教育和训练演练活动。</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否</w:t>
            </w:r>
          </w:p>
        </w:tc>
        <w:tc>
          <w:tcPr>
            <w:tcW w:w="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其他行政执法</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事项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340" w:hRule="atLeast"/>
        </w:trPr>
        <w:tc>
          <w:tcPr>
            <w:tcW w:w="10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36"/>
                <w:szCs w:val="36"/>
                <w:u w:val="none"/>
              </w:rPr>
            </w:pPr>
          </w:p>
        </w:tc>
        <w:tc>
          <w:tcPr>
            <w:tcW w:w="5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3</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省人防办</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对人民防空信息化建设的检查</w:t>
            </w:r>
          </w:p>
        </w:tc>
        <w:tc>
          <w:tcPr>
            <w:tcW w:w="14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对人民防空通信、警报设备设施安装、拆除、维护的检查</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一般检查事项</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设区市、县（市、区）人防办</w:t>
            </w: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bookmarkStart w:id="0" w:name="_GoBack"/>
            <w:bookmarkEnd w:id="0"/>
            <w:r>
              <w:rPr>
                <w:rFonts w:hint="eastAsia" w:ascii="宋体" w:hAnsi="宋体" w:eastAsia="宋体" w:cs="宋体"/>
                <w:i w:val="0"/>
                <w:color w:val="000000"/>
                <w:kern w:val="0"/>
                <w:sz w:val="24"/>
                <w:szCs w:val="24"/>
                <w:u w:val="none"/>
                <w:lang w:val="en-US" w:eastAsia="zh-CN" w:bidi="ar"/>
              </w:rPr>
              <w:t>中华人民共和国人民防空法》第四十九条；《河北省人民防空通信管理规定》第二十一条第一款、第二十二条、第二十四条。</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实地检查、书面检查</w:t>
            </w:r>
          </w:p>
        </w:tc>
        <w:tc>
          <w:tcPr>
            <w:tcW w:w="3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检查有关单位和个人是否存在阻挠安装人民防空通信、警报设施行为；是否存在擅自拆除人民防空通信、警报设备行为；检查人民防空指挥通信终端设备和警报通信终端设备设置单位对终端设备维护工作是否落实到位；有关单位和个人是否存在在人民防空通信设施保护区内进行危害性作业的行为；法律、法规、规章规定的其他事项。</w:t>
            </w:r>
          </w:p>
        </w:tc>
        <w:tc>
          <w:tcPr>
            <w:tcW w:w="12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否</w:t>
            </w:r>
          </w:p>
        </w:tc>
        <w:tc>
          <w:tcPr>
            <w:tcW w:w="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其他行政执法</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事项</w:t>
            </w:r>
          </w:p>
        </w:tc>
      </w:tr>
    </w:tbl>
    <w:p/>
    <w:sectPr>
      <w:pgSz w:w="16838" w:h="11906" w:orient="landscape"/>
      <w:pgMar w:top="567" w:right="567" w:bottom="567" w:left="56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黑体"/>
    <w:panose1 w:val="02010601030101010101"/>
    <w:charset w:val="86"/>
    <w:family w:val="auto"/>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E1OWZjMDhiYWIxOWYwMWE5ZjljMzIwYTZkZWNjN2MifQ=="/>
    <w:docVar w:name="KSO_WPS_MARK_KEY" w:val="606a3542-079c-45b8-b062-2ca009dbd580"/>
  </w:docVars>
  <w:rsids>
    <w:rsidRoot w:val="17FF63F9"/>
    <w:rsid w:val="17FF63F9"/>
    <w:rsid w:val="43F00399"/>
    <w:rsid w:val="636D73A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w</Company>
  <Pages>5</Pages>
  <Words>3240</Words>
  <Characters>3288</Characters>
  <Lines>0</Lines>
  <Paragraphs>0</Paragraphs>
  <TotalTime>0</TotalTime>
  <ScaleCrop>false</ScaleCrop>
  <LinksUpToDate>false</LinksUpToDate>
  <CharactersWithSpaces>3288</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2020-03-02T03:41:00Z</dcterms:created>
  <dc:creator>wlm</dc:creator>
  <cp:lastModifiedBy>ASUS</cp:lastModifiedBy>
  <dcterms:modified xsi:type="dcterms:W3CDTF">2024-11-05T03:31:43Z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8FBD7FAB163648E9A69B803D90A995E6</vt:lpwstr>
  </property>
</Properties>
</file>