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无极县人民政府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2019年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本报告依据《中华人民共和国政府信息公开条例》规定编制，全文包括总体情况、主动公开政府信息情况、收到和处理政府信息公开申请情况、政府信息公开行政复议及行政诉讼情况、存在的主要问题及改进情况等内容。报告所列数据统计期限为2019年1月1日至2019年12月31日。如对本报告有疑问，请与无极县人民政府办公室联系（地址：无极县建设东路12号，电话0311-85588076，电子邮箱wjxgkb2015@163.com）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2019年，县政府坚持以“不忘初心、牢记使命”主题教育</w:t>
      </w:r>
      <w:bookmarkStart w:id="0" w:name="_GoBack"/>
      <w:bookmarkEnd w:id="0"/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为动力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以不断推进政务公开工作规范化标准化建设为要求，以深入开展政务公开“效能革命”为抓手，进一步丰富政府信息公开内容、形式，积极完善政务公开制度建设、平台建设，全县政府信息公开工作取得了积极成效。</w:t>
      </w:r>
    </w:p>
    <w:p>
      <w:pPr>
        <w:spacing w:line="60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</w:rPr>
        <w:t>扎实做好主动公开。</w:t>
      </w:r>
      <w:r>
        <w:rPr>
          <w:rFonts w:ascii="Times New Roman" w:hAnsi="Times New Roman" w:eastAsia="仿宋_GB2312"/>
          <w:sz w:val="32"/>
          <w:szCs w:val="32"/>
        </w:rPr>
        <w:t>紧紧围绕县委、县政府重大决策部署和公众关切，制定下发了《</w:t>
      </w:r>
      <w:r>
        <w:rPr>
          <w:rFonts w:hint="eastAsia" w:ascii="Times New Roman" w:hAnsi="Times New Roman" w:eastAsia="仿宋_GB2312"/>
          <w:sz w:val="32"/>
          <w:szCs w:val="32"/>
        </w:rPr>
        <w:t>无极县2019年政务公开工作要点</w:t>
      </w:r>
      <w:r>
        <w:rPr>
          <w:rFonts w:ascii="Times New Roman" w:hAnsi="Times New Roman" w:eastAsia="仿宋_GB2312"/>
          <w:sz w:val="32"/>
          <w:szCs w:val="32"/>
        </w:rPr>
        <w:t>》（</w:t>
      </w:r>
      <w:r>
        <w:rPr>
          <w:rFonts w:hint="eastAsia" w:ascii="Times New Roman" w:hAnsi="Times New Roman" w:eastAsia="仿宋_GB2312"/>
          <w:sz w:val="32"/>
          <w:szCs w:val="32"/>
        </w:rPr>
        <w:t>无政公开</w:t>
      </w:r>
      <w:r>
        <w:rPr>
          <w:rFonts w:ascii="Times New Roman" w:hAnsi="Times New Roman" w:eastAsia="仿宋_GB2312"/>
          <w:sz w:val="32"/>
          <w:szCs w:val="32"/>
        </w:rPr>
        <w:t>〔201</w:t>
      </w:r>
      <w:r>
        <w:rPr>
          <w:rFonts w:hint="eastAsia" w:ascii="Times New Roman" w:hAnsi="Times New Roman" w:eastAsia="仿宋_GB2312"/>
          <w:sz w:val="32"/>
          <w:szCs w:val="32"/>
        </w:rPr>
        <w:t>9</w:t>
      </w:r>
      <w:r>
        <w:rPr>
          <w:rFonts w:ascii="Times New Roman" w:hAnsi="Times New Roman" w:eastAsia="仿宋_GB2312"/>
          <w:sz w:val="32"/>
          <w:szCs w:val="32"/>
        </w:rPr>
        <w:t>〕</w:t>
      </w:r>
      <w:r>
        <w:rPr>
          <w:rFonts w:hint="eastAsia" w:ascii="Times New Roman" w:hAnsi="Times New Roman" w:eastAsia="仿宋_GB2312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号）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/>
          <w:sz w:val="32"/>
          <w:szCs w:val="32"/>
        </w:rPr>
        <w:t>《无极县</w:t>
      </w:r>
      <w:r>
        <w:rPr>
          <w:rFonts w:hint="eastAsia" w:ascii="Times New Roman" w:hAnsi="Times New Roman" w:eastAsia="仿宋_GB2312"/>
          <w:sz w:val="32"/>
          <w:szCs w:val="32"/>
        </w:rPr>
        <w:t>人民政府办公室关于认真落实全面推进政务公开工作“效能革命”目标任务责任</w:t>
      </w:r>
      <w:r>
        <w:rPr>
          <w:rFonts w:ascii="Times New Roman" w:hAnsi="Times New Roman" w:eastAsia="仿宋_GB2312"/>
          <w:sz w:val="32"/>
          <w:szCs w:val="32"/>
        </w:rPr>
        <w:t>分解方案》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坚持以“公开为常态，不公开为例外”的原则，</w:t>
      </w:r>
      <w:r>
        <w:rPr>
          <w:rFonts w:hint="eastAsia" w:ascii="Times New Roman" w:hAnsi="Times New Roman" w:eastAsia="仿宋_GB2312"/>
          <w:sz w:val="32"/>
          <w:szCs w:val="32"/>
        </w:rPr>
        <w:t>进一步扩大主动公开范围，重点突出行政职能转变、“三大攻坚战”、财政预决算、优化资源配置、重点民生领域等内容公开，为群众了解全县经济社会发展和办事服务提供了方便。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全年共</w:t>
      </w:r>
      <w:r>
        <w:rPr>
          <w:rFonts w:hint="eastAsia" w:ascii="仿宋" w:hAnsi="仿宋" w:eastAsia="仿宋" w:cs="仿宋"/>
          <w:sz w:val="32"/>
          <w:szCs w:val="32"/>
        </w:rPr>
        <w:t>通过各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级政务公开平台</w:t>
      </w:r>
      <w:r>
        <w:rPr>
          <w:rFonts w:hint="eastAsia" w:ascii="仿宋" w:hAnsi="仿宋" w:eastAsia="仿宋" w:cs="仿宋"/>
          <w:sz w:val="32"/>
          <w:szCs w:val="32"/>
        </w:rPr>
        <w:t>主动公开政府信息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7800余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次，其中</w:t>
      </w:r>
      <w:r>
        <w:rPr>
          <w:rFonts w:hint="eastAsia" w:ascii="仿宋" w:hAnsi="仿宋" w:eastAsia="仿宋" w:cs="仿宋"/>
          <w:bCs/>
          <w:sz w:val="32"/>
          <w:szCs w:val="32"/>
        </w:rPr>
        <w:t>在县政府网站主动公开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政务</w:t>
      </w:r>
      <w:r>
        <w:rPr>
          <w:rFonts w:hint="eastAsia" w:ascii="仿宋" w:hAnsi="仿宋" w:eastAsia="仿宋" w:cs="仿宋"/>
          <w:bCs/>
          <w:sz w:val="32"/>
          <w:szCs w:val="32"/>
        </w:rPr>
        <w:t>信息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2526</w:t>
      </w:r>
      <w:r>
        <w:rPr>
          <w:rFonts w:hint="eastAsia" w:ascii="仿宋" w:hAnsi="仿宋" w:eastAsia="仿宋" w:cs="仿宋"/>
          <w:bCs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次。</w:t>
      </w:r>
    </w:p>
    <w:p>
      <w:pPr>
        <w:spacing w:line="600" w:lineRule="exact"/>
        <w:ind w:firstLine="643" w:firstLineChars="200"/>
        <w:rPr>
          <w:rFonts w:hint="eastAsia" w:ascii="Times New Roman" w:hAnsi="Times New Roman" w:eastAsia="仿宋_GB2312"/>
          <w:color w:val="FF0000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  <w:lang w:val="en-US" w:eastAsia="zh-CN"/>
        </w:rPr>
        <w:t>规范办理</w:t>
      </w:r>
      <w:r>
        <w:rPr>
          <w:rFonts w:hint="eastAsia" w:ascii="楷体_GB2312" w:hAnsi="Times New Roman" w:eastAsia="楷体_GB2312"/>
          <w:b/>
          <w:bCs/>
          <w:sz w:val="32"/>
          <w:szCs w:val="32"/>
        </w:rPr>
        <w:t>依申请公开。</w:t>
      </w:r>
      <w:r>
        <w:rPr>
          <w:rFonts w:hint="eastAsia" w:ascii="Times New Roman" w:hAnsi="Times New Roman" w:eastAsia="仿宋_GB2312"/>
          <w:sz w:val="32"/>
          <w:szCs w:val="32"/>
        </w:rPr>
        <w:t>根据新《条例》要求，对</w:t>
      </w:r>
      <w:r>
        <w:rPr>
          <w:rFonts w:ascii="Times New Roman" w:hAnsi="Times New Roman" w:eastAsia="仿宋_GB2312"/>
          <w:sz w:val="32"/>
          <w:szCs w:val="32"/>
        </w:rPr>
        <w:t>《政府信息公开指南》进行了修改，完善</w:t>
      </w:r>
      <w:r>
        <w:rPr>
          <w:rFonts w:hint="eastAsia" w:ascii="Times New Roman" w:hAnsi="Times New Roman" w:eastAsia="仿宋_GB2312"/>
          <w:sz w:val="32"/>
          <w:szCs w:val="32"/>
        </w:rPr>
        <w:t>了依</w:t>
      </w:r>
      <w:r>
        <w:rPr>
          <w:rFonts w:ascii="Times New Roman" w:hAnsi="Times New Roman" w:eastAsia="仿宋_GB2312"/>
          <w:sz w:val="32"/>
          <w:szCs w:val="32"/>
        </w:rPr>
        <w:t>申请公开</w:t>
      </w:r>
      <w:r>
        <w:rPr>
          <w:rFonts w:hint="eastAsia" w:ascii="Times New Roman" w:hAnsi="Times New Roman" w:eastAsia="仿宋_GB2312"/>
          <w:sz w:val="32"/>
          <w:szCs w:val="32"/>
        </w:rPr>
        <w:t>办理机制</w:t>
      </w:r>
      <w:r>
        <w:rPr>
          <w:rFonts w:ascii="Times New Roman" w:hAnsi="Times New Roman" w:eastAsia="仿宋_GB2312"/>
          <w:sz w:val="32"/>
          <w:szCs w:val="32"/>
        </w:rPr>
        <w:t>，理顺了依申请公开流程</w:t>
      </w:r>
      <w:r>
        <w:rPr>
          <w:rFonts w:hint="eastAsia" w:ascii="Times New Roman" w:hAnsi="Times New Roman" w:eastAsia="仿宋_GB2312"/>
          <w:sz w:val="32"/>
          <w:szCs w:val="32"/>
        </w:rPr>
        <w:t>，回复时间由原来的15个工作日缩短为10个工作日内</w:t>
      </w:r>
      <w:r>
        <w:rPr>
          <w:rFonts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全年</w:t>
      </w:r>
      <w:r>
        <w:rPr>
          <w:rFonts w:hint="eastAsia" w:ascii="Times New Roman" w:hAnsi="Times New Roman" w:eastAsia="仿宋_GB2312"/>
          <w:sz w:val="32"/>
          <w:szCs w:val="32"/>
        </w:rPr>
        <w:t>共收到政府信息公开申请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sz w:val="32"/>
          <w:szCs w:val="32"/>
        </w:rPr>
        <w:t>件，均按时限要求进行了回复，未引发行政复议或行政诉讼。</w:t>
      </w:r>
    </w:p>
    <w:p>
      <w:pPr>
        <w:spacing w:line="600" w:lineRule="exact"/>
        <w:ind w:firstLine="643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</w:rPr>
        <w:t>积极回应社会关切。</w:t>
      </w:r>
      <w:r>
        <w:rPr>
          <w:rFonts w:hint="eastAsia" w:ascii="Times New Roman" w:hAnsi="Times New Roman" w:eastAsia="仿宋_GB2312"/>
          <w:sz w:val="32"/>
          <w:szCs w:val="32"/>
        </w:rPr>
        <w:t>一是加强网络舆论监测回应，同</w:t>
      </w:r>
      <w:r>
        <w:rPr>
          <w:rFonts w:ascii="Times New Roman" w:hAnsi="Times New Roman" w:eastAsia="仿宋_GB2312"/>
          <w:sz w:val="32"/>
          <w:szCs w:val="32"/>
        </w:rPr>
        <w:t>县委宣传部</w:t>
      </w:r>
      <w:r>
        <w:rPr>
          <w:rFonts w:hint="eastAsia" w:ascii="Times New Roman" w:hAnsi="Times New Roman" w:eastAsia="仿宋_GB2312"/>
          <w:sz w:val="32"/>
          <w:szCs w:val="32"/>
        </w:rPr>
        <w:t>、县委网信办</w:t>
      </w:r>
      <w:r>
        <w:rPr>
          <w:rFonts w:ascii="Times New Roman" w:hAnsi="Times New Roman" w:eastAsia="仿宋_GB2312"/>
          <w:sz w:val="32"/>
          <w:szCs w:val="32"/>
        </w:rPr>
        <w:t>建立</w:t>
      </w:r>
      <w:r>
        <w:rPr>
          <w:rFonts w:hint="eastAsia" w:ascii="Times New Roman" w:hAnsi="Times New Roman" w:eastAsia="仿宋_GB2312"/>
          <w:sz w:val="32"/>
          <w:szCs w:val="32"/>
        </w:rPr>
        <w:t>完善</w:t>
      </w:r>
      <w:r>
        <w:rPr>
          <w:rFonts w:ascii="Times New Roman" w:hAnsi="Times New Roman" w:eastAsia="仿宋_GB2312"/>
          <w:sz w:val="32"/>
          <w:szCs w:val="32"/>
        </w:rPr>
        <w:t>了</w:t>
      </w:r>
      <w:r>
        <w:rPr>
          <w:rFonts w:hint="eastAsia" w:ascii="Times New Roman" w:hAnsi="Times New Roman" w:eastAsia="仿宋_GB2312"/>
          <w:sz w:val="32"/>
          <w:szCs w:val="32"/>
        </w:rPr>
        <w:t>舆情信息回应</w:t>
      </w:r>
      <w:r>
        <w:rPr>
          <w:rFonts w:ascii="Times New Roman" w:hAnsi="Times New Roman" w:eastAsia="仿宋_GB2312"/>
          <w:sz w:val="32"/>
          <w:szCs w:val="32"/>
        </w:rPr>
        <w:t>协调机制</w:t>
      </w:r>
      <w:r>
        <w:rPr>
          <w:rFonts w:hint="eastAsia" w:ascii="Times New Roman" w:hAnsi="Times New Roman" w:eastAsia="仿宋_GB2312"/>
          <w:sz w:val="32"/>
          <w:szCs w:val="32"/>
        </w:rPr>
        <w:t>。及时对监测到的网络舆情进行分析研判，并指导有关部门做好舆情事件的调查和处置工作，还原事实并澄清事件真相，积极引导网络舆情，避免网上舆论炒作。二是大力开展政民互动。为充分保障人民群众参与权、表达权和监督权，依托县政府网站政务热线板块大力开展政民互动，广泛收集处理群众政策咨询、投诉举报，开展意见征集和网上调查。</w:t>
      </w:r>
      <w:r>
        <w:rPr>
          <w:rFonts w:hint="eastAsia" w:ascii="仿宋" w:hAnsi="仿宋" w:eastAsia="仿宋" w:cs="仿宋"/>
          <w:sz w:val="32"/>
          <w:szCs w:val="32"/>
        </w:rPr>
        <w:t>全年共办理群众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网上</w:t>
      </w:r>
      <w:r>
        <w:rPr>
          <w:rFonts w:hint="eastAsia" w:ascii="仿宋" w:hAnsi="仿宋" w:eastAsia="仿宋" w:cs="仿宋"/>
          <w:sz w:val="32"/>
          <w:szCs w:val="32"/>
        </w:rPr>
        <w:t>留言464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件</w:t>
      </w:r>
      <w:r>
        <w:rPr>
          <w:rFonts w:hint="eastAsia" w:ascii="仿宋" w:hAnsi="仿宋" w:eastAsia="仿宋" w:cs="仿宋"/>
          <w:sz w:val="32"/>
          <w:szCs w:val="32"/>
        </w:rPr>
        <w:t>，公开答复153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件</w:t>
      </w:r>
      <w:r>
        <w:rPr>
          <w:rFonts w:hint="eastAsia" w:ascii="仿宋" w:hAnsi="仿宋" w:eastAsia="仿宋" w:cs="仿宋"/>
          <w:sz w:val="32"/>
          <w:szCs w:val="32"/>
        </w:rPr>
        <w:t>，回复满意率98%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围绕县城建设、美丽乡村建设、城市交通等热点问题公开征集意见建议7次，开展网上调查6次。</w:t>
      </w:r>
    </w:p>
    <w:p>
      <w:pPr>
        <w:spacing w:line="60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</w:rPr>
        <w:t>切实加强政策解读。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印发了</w:t>
      </w:r>
      <w:r>
        <w:rPr>
          <w:rFonts w:hint="eastAsia" w:ascii="Times New Roman" w:hAnsi="Times New Roman" w:eastAsia="仿宋_GB2312"/>
          <w:sz w:val="32"/>
          <w:szCs w:val="32"/>
        </w:rPr>
        <w:t>《无极县人民政府办公室关于进一步做好政策宣传解读工作的通知》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建立了重大政策宣传解读工作机制，严格落实重大政策性文件“三同步”要求，做到了重大政策性文件与解读方案同步起草、同步审签、同步部署，进一步推动了工作落实。郝庄乡废旧机动车拆解市场整治行动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中</w:t>
      </w:r>
      <w:r>
        <w:rPr>
          <w:rFonts w:hint="eastAsia" w:ascii="Times New Roman" w:hAnsi="Times New Roman" w:eastAsia="仿宋_GB2312"/>
          <w:sz w:val="32"/>
          <w:szCs w:val="32"/>
        </w:rPr>
        <w:t>，同步起草了《无极县人民政府关于开展废旧车辆零部件强力清零行动的通告》及《无极县废旧汽车零部件“清零行动”明白纸》，并以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网上</w:t>
      </w:r>
      <w:r>
        <w:rPr>
          <w:rFonts w:hint="eastAsia" w:ascii="Times New Roman" w:hAnsi="Times New Roman" w:eastAsia="仿宋_GB2312"/>
          <w:sz w:val="32"/>
          <w:szCs w:val="32"/>
        </w:rPr>
        <w:t>公开和制作发放纸质材料的形式向社会公开宣传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详细解读了此次行动任务目标、清理范围、时间节点、法律依据等内容，使群众对政策有了更加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</w:t>
      </w:r>
      <w:r>
        <w:rPr>
          <w:rFonts w:hint="eastAsia" w:ascii="Times New Roman" w:hAnsi="Times New Roman" w:eastAsia="仿宋_GB2312"/>
          <w:sz w:val="32"/>
          <w:szCs w:val="32"/>
        </w:rPr>
        <w:t>面、深入的了解，为治理行动的圆满完成奠定了坚实基础。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全年</w:t>
      </w:r>
      <w:r>
        <w:rPr>
          <w:rFonts w:hint="eastAsia" w:ascii="Times New Roman" w:hAnsi="Times New Roman" w:eastAsia="仿宋_GB2312"/>
          <w:sz w:val="32"/>
          <w:szCs w:val="32"/>
        </w:rPr>
        <w:t>共通过县政府网站及政务新媒体发布政策解读信息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216</w:t>
      </w:r>
      <w:r>
        <w:rPr>
          <w:rFonts w:hint="eastAsia" w:ascii="Times New Roman" w:hAnsi="Times New Roman" w:eastAsia="仿宋_GB2312"/>
          <w:sz w:val="32"/>
          <w:szCs w:val="32"/>
        </w:rPr>
        <w:t>条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次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spacing w:line="600" w:lineRule="exact"/>
        <w:ind w:firstLine="643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</w:rPr>
        <w:t>科学</w:t>
      </w:r>
      <w:r>
        <w:rPr>
          <w:rFonts w:hint="eastAsia" w:ascii="楷体_GB2312" w:hAnsi="Times New Roman" w:eastAsia="楷体_GB2312"/>
          <w:b/>
          <w:bCs/>
          <w:sz w:val="32"/>
          <w:szCs w:val="32"/>
          <w:lang w:val="en-US" w:eastAsia="zh-CN"/>
        </w:rPr>
        <w:t>推进</w:t>
      </w:r>
      <w:r>
        <w:rPr>
          <w:rFonts w:hint="eastAsia" w:ascii="楷体_GB2312" w:hAnsi="Times New Roman" w:eastAsia="楷体_GB2312"/>
          <w:b/>
          <w:bCs/>
          <w:sz w:val="32"/>
          <w:szCs w:val="32"/>
        </w:rPr>
        <w:t>平台建设。</w:t>
      </w:r>
      <w:r>
        <w:rPr>
          <w:rFonts w:hint="eastAsia" w:ascii="Times New Roman" w:hAnsi="Times New Roman" w:eastAsia="仿宋_GB2312"/>
          <w:sz w:val="32"/>
          <w:szCs w:val="32"/>
        </w:rPr>
        <w:t>根据群众需求和工作需要，对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县</w:t>
      </w:r>
      <w:r>
        <w:rPr>
          <w:rFonts w:hint="eastAsia" w:ascii="Times New Roman" w:hAnsi="Times New Roman" w:eastAsia="仿宋_GB2312"/>
          <w:sz w:val="32"/>
          <w:szCs w:val="32"/>
        </w:rPr>
        <w:t>政府网站页面布局进行了优化，丰富了网站内容，增加了企业优惠政策、政策文件、行政审批公示、就业政策、扶贫资金公开等公开专栏，在契合公开工作逻辑的同时，更加尊重用户实际体验。按照市政府办公室《关于推进政务新媒体健康有序发展实施方案》及相关工作要求，加强同县委网信办业务沟通，进一步规范了政务新媒体开设运营，对全县政务新媒体进行了摸底和自查自纠，对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5个</w:t>
      </w:r>
      <w:r>
        <w:rPr>
          <w:rFonts w:hint="eastAsia" w:ascii="Times New Roman" w:hAnsi="Times New Roman" w:eastAsia="仿宋_GB2312"/>
          <w:sz w:val="32"/>
          <w:szCs w:val="32"/>
        </w:rPr>
        <w:t>长期不更新的政务新媒体进行了关停处理，开设了县级政务微信微博公众号。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全年共</w:t>
      </w:r>
      <w:r>
        <w:rPr>
          <w:rFonts w:hint="eastAsia" w:ascii="Times New Roman" w:hAnsi="Times New Roman" w:eastAsia="仿宋_GB2312"/>
          <w:sz w:val="32"/>
          <w:szCs w:val="32"/>
        </w:rPr>
        <w:t>通过“无极县人民政府”、“魅力无极”、“无极发布”、“无极公安”等政务新媒体发布政务信息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2173</w:t>
      </w:r>
      <w:r>
        <w:rPr>
          <w:rFonts w:hint="eastAsia" w:ascii="Times New Roman" w:hAnsi="Times New Roman" w:eastAsia="仿宋_GB2312"/>
          <w:sz w:val="32"/>
          <w:szCs w:val="32"/>
        </w:rPr>
        <w:t>条次。</w:t>
      </w:r>
    </w:p>
    <w:p>
      <w:pPr>
        <w:spacing w:line="60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</w:rPr>
        <w:t>加强公开电话办理。</w:t>
      </w:r>
      <w:r>
        <w:rPr>
          <w:rFonts w:hint="eastAsia" w:ascii="Times New Roman" w:hAnsi="Times New Roman" w:eastAsia="仿宋_GB2312"/>
          <w:sz w:val="32"/>
          <w:szCs w:val="32"/>
        </w:rPr>
        <w:t>建立了政务公开电话答复办理工作考核制度，按照按时办结率、群众满意率等对承办单位进行考核，考核结果作为单位政务公开工作绩效考核参考指标，不断督促承办单位提升服务质量和服务水平。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全年</w:t>
      </w:r>
      <w:r>
        <w:rPr>
          <w:rFonts w:hint="eastAsia" w:ascii="Times New Roman" w:hAnsi="Times New Roman" w:eastAsia="仿宋_GB2312"/>
          <w:sz w:val="32"/>
          <w:szCs w:val="32"/>
        </w:rPr>
        <w:t>共受理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市政府</w:t>
      </w:r>
      <w:r>
        <w:rPr>
          <w:rFonts w:hint="eastAsia" w:ascii="Times New Roman" w:hAnsi="Times New Roman" w:eastAsia="仿宋_GB2312"/>
          <w:sz w:val="32"/>
          <w:szCs w:val="32"/>
        </w:rPr>
        <w:t>公开电话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9881</w:t>
      </w:r>
      <w:r>
        <w:rPr>
          <w:rFonts w:hint="eastAsia" w:ascii="Times New Roman" w:hAnsi="Times New Roman" w:eastAsia="仿宋_GB2312"/>
          <w:sz w:val="32"/>
          <w:szCs w:val="32"/>
        </w:rPr>
        <w:t>件，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按时反馈9763</w:t>
      </w:r>
      <w:r>
        <w:rPr>
          <w:rFonts w:hint="eastAsia" w:ascii="Times New Roman" w:hAnsi="Times New Roman" w:eastAsia="仿宋_GB2312"/>
          <w:sz w:val="32"/>
          <w:szCs w:val="32"/>
        </w:rPr>
        <w:t>件，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反馈</w:t>
      </w:r>
      <w:r>
        <w:rPr>
          <w:rFonts w:hint="eastAsia" w:ascii="Times New Roman" w:hAnsi="Times New Roman" w:eastAsia="仿宋_GB2312"/>
          <w:sz w:val="32"/>
          <w:szCs w:val="32"/>
        </w:rPr>
        <w:t>率98.8%。</w:t>
      </w:r>
    </w:p>
    <w:p>
      <w:pPr>
        <w:spacing w:line="600" w:lineRule="exact"/>
        <w:ind w:firstLine="643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Times New Roman" w:eastAsia="楷体_GB2312"/>
          <w:b/>
          <w:bCs/>
          <w:sz w:val="32"/>
          <w:szCs w:val="32"/>
        </w:rPr>
        <w:t>优化提升政务服务。</w:t>
      </w:r>
      <w:r>
        <w:rPr>
          <w:rFonts w:hint="eastAsia" w:ascii="Times New Roman" w:hAnsi="Times New Roman" w:eastAsia="仿宋_GB2312"/>
          <w:sz w:val="32"/>
          <w:szCs w:val="32"/>
        </w:rPr>
        <w:t>一是着力提升“一站式”服务功能。简化了重点领域高频服务事项的审批程序，编制公开了《无极县第一批“最多跑一次”政务服务事项清单》。调整了大厅窗口布局，设立综合受理窗口和后台审批区，并对综合受理登记、受理档案移交登记、领取证照登记进一步进行了完善。实行前台综合受理、后台分类审批、综合窗口出件”的审批模式，办事群众可在综合受理区任一窗口提交申请材料办理有关业务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极大方便了群众办事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二是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加快推进政务服务网上办理，</w:t>
      </w:r>
      <w:r>
        <w:rPr>
          <w:rFonts w:hint="eastAsia" w:ascii="Times New Roman" w:hAnsi="Times New Roman" w:eastAsia="仿宋_GB2312"/>
          <w:sz w:val="32"/>
          <w:szCs w:val="32"/>
        </w:rPr>
        <w:t>按照全市“互联网+政务服务”工作要求，积极推进石家庄“互联网+政务服务平台”、河北省政务服务事项平台、河北政务服务事项管理系统、石家庄审监互动平台、河北省“互联网+监管”系统的建设应用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加快实现政务服务“一网通办”。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截止2019年底</w:t>
      </w:r>
      <w:r>
        <w:rPr>
          <w:rFonts w:hint="eastAsia" w:ascii="Times New Roman" w:hAnsi="Times New Roman" w:eastAsia="仿宋_GB2312"/>
          <w:sz w:val="32"/>
          <w:szCs w:val="32"/>
        </w:rPr>
        <w:t>，全县政务服务事项网上可办率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已达92.8</w:t>
      </w:r>
      <w:r>
        <w:rPr>
          <w:rFonts w:hint="eastAsia" w:ascii="Times New Roman" w:hAnsi="Times New Roman" w:eastAsia="仿宋_GB2312"/>
          <w:sz w:val="32"/>
          <w:szCs w:val="32"/>
        </w:rPr>
        <w:t>%。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184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-31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13303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873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-38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10354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805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431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2506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177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209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6.57亿元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4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2019年</w:t>
      </w:r>
      <w:r>
        <w:rPr>
          <w:rFonts w:hint="eastAsia" w:ascii="Times New Roman" w:hAnsi="Times New Roman" w:eastAsia="仿宋_GB2312"/>
          <w:sz w:val="32"/>
          <w:szCs w:val="32"/>
        </w:rPr>
        <w:t>，我县政府信息公开工作稳步推进，有序开展，取得一定成效，但对照上级要求、群众愿望，仍存在的一些问题与不足。一是公开意识需要进一步强化。部分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乡镇</w:t>
      </w:r>
      <w:r>
        <w:rPr>
          <w:rFonts w:hint="eastAsia" w:ascii="Times New Roman" w:hAnsi="Times New Roman" w:eastAsia="仿宋_GB2312"/>
          <w:sz w:val="32"/>
          <w:szCs w:val="32"/>
        </w:rPr>
        <w:t>和部门对新《条例》中的新要求理解不透，对公众的需求还存在一些距离，信息公开内容的完整性、及时性距离新《条例》要求还有差距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二是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政策宣传解读力度还不够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政策解读方式不够丰富，解读内容与群众实际生活联系不够贴切。</w:t>
      </w:r>
      <w:r>
        <w:rPr>
          <w:rFonts w:hint="eastAsia" w:ascii="Times New Roman" w:hAnsi="Times New Roman" w:eastAsia="仿宋_GB2312"/>
          <w:sz w:val="32"/>
          <w:szCs w:val="32"/>
        </w:rPr>
        <w:t>三是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政务新媒体建设及管理水平不高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县级政务新媒体注重于信息发布，便民性、功能性不够突出；县政府部门及乡镇政府政务新媒体日常运维仍不够规范，信息发布审核制度有待进一步完善。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下一步，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县政府</w:t>
      </w:r>
      <w:r>
        <w:rPr>
          <w:rFonts w:hint="eastAsia" w:ascii="Times New Roman" w:hAnsi="Times New Roman" w:eastAsia="仿宋_GB2312"/>
          <w:sz w:val="32"/>
          <w:szCs w:val="32"/>
        </w:rPr>
        <w:t>将继续按照省市相关工作要求，进一步加强组织领导、统一思想认识、拓宽政务信息公开方式等措施，全面、及时、准确地做好政务公开工作。一是结合我县实际，进一步扩大主动公开领域，并不断丰富公开方式和内容；同时，加强政策解读和热点回应力度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多采用群众喜闻乐见的方式</w:t>
      </w:r>
      <w:r>
        <w:rPr>
          <w:rFonts w:hint="eastAsia" w:ascii="Times New Roman" w:hAnsi="Times New Roman" w:eastAsia="仿宋_GB2312"/>
          <w:sz w:val="32"/>
          <w:szCs w:val="32"/>
        </w:rPr>
        <w:t>，及时回应公众的期盼和关切。二是加强政务新媒体建设管理，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继续督促指导各乡镇及部门健全完善政务新媒体管理制度，不断规范政务新媒体运维，同时积极学习借鉴省市及其他县市先进经验做法，在突出政务新媒体便民性、服务性上下功夫，充分</w:t>
      </w:r>
      <w:r>
        <w:rPr>
          <w:rFonts w:hint="eastAsia" w:ascii="Times New Roman" w:hAnsi="Times New Roman" w:eastAsia="仿宋_GB2312"/>
          <w:sz w:val="32"/>
          <w:szCs w:val="32"/>
        </w:rPr>
        <w:t>发挥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政务新媒体政策宣传解读和服务群众办事的作用</w:t>
      </w:r>
      <w:r>
        <w:rPr>
          <w:rFonts w:hint="eastAsia" w:ascii="Times New Roman" w:hAnsi="Times New Roman" w:eastAsia="仿宋_GB2312"/>
          <w:sz w:val="32"/>
          <w:szCs w:val="32"/>
        </w:rPr>
        <w:t>。三是加强对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全县</w:t>
      </w:r>
      <w:r>
        <w:rPr>
          <w:rFonts w:hint="eastAsia" w:ascii="Times New Roman" w:hAnsi="Times New Roman" w:eastAsia="仿宋_GB2312"/>
          <w:sz w:val="32"/>
          <w:szCs w:val="32"/>
        </w:rPr>
        <w:t>政务公开工作人员业务培训和理论学习，增强公开意识，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不断</w:t>
      </w:r>
      <w:r>
        <w:rPr>
          <w:rFonts w:hint="eastAsia" w:ascii="Times New Roman" w:hAnsi="Times New Roman" w:eastAsia="仿宋_GB2312"/>
          <w:sz w:val="32"/>
          <w:szCs w:val="32"/>
        </w:rPr>
        <w:t>提高信息发布、政策解读、回应关切的能力，着力打造一支素质过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高</w:t>
      </w:r>
      <w:r>
        <w:rPr>
          <w:rFonts w:hint="eastAsia" w:ascii="Times New Roman" w:hAnsi="Times New Roman" w:eastAsia="仿宋_GB2312"/>
          <w:sz w:val="32"/>
          <w:szCs w:val="32"/>
        </w:rPr>
        <w:t>、业务过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硬</w:t>
      </w:r>
      <w:r>
        <w:rPr>
          <w:rFonts w:hint="eastAsia" w:ascii="Times New Roman" w:hAnsi="Times New Roman" w:eastAsia="仿宋_GB2312"/>
          <w:sz w:val="32"/>
          <w:szCs w:val="32"/>
        </w:rPr>
        <w:t>的政务公开工作队伍。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ind w:firstLine="320" w:firstLineChars="100"/>
        <w:rPr>
          <w:rFonts w:hint="eastAsia" w:eastAsiaTheme="minorEastAsia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无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4859"/>
    <w:rsid w:val="015C3941"/>
    <w:rsid w:val="01974CF3"/>
    <w:rsid w:val="02A90F00"/>
    <w:rsid w:val="02F05276"/>
    <w:rsid w:val="030D7706"/>
    <w:rsid w:val="03527A8D"/>
    <w:rsid w:val="0526189F"/>
    <w:rsid w:val="05A953C6"/>
    <w:rsid w:val="05F36F41"/>
    <w:rsid w:val="06CA1CAF"/>
    <w:rsid w:val="07D753F2"/>
    <w:rsid w:val="08C97E2C"/>
    <w:rsid w:val="08FB6C3E"/>
    <w:rsid w:val="090A16F2"/>
    <w:rsid w:val="0A115365"/>
    <w:rsid w:val="0B5E4105"/>
    <w:rsid w:val="0CCC5BC7"/>
    <w:rsid w:val="0DB6591E"/>
    <w:rsid w:val="0E07778B"/>
    <w:rsid w:val="0E186920"/>
    <w:rsid w:val="0EF75474"/>
    <w:rsid w:val="0F4A1060"/>
    <w:rsid w:val="108627EC"/>
    <w:rsid w:val="120C1057"/>
    <w:rsid w:val="127337F2"/>
    <w:rsid w:val="130D320A"/>
    <w:rsid w:val="13952CCF"/>
    <w:rsid w:val="13C45B9E"/>
    <w:rsid w:val="17113070"/>
    <w:rsid w:val="19647A31"/>
    <w:rsid w:val="198827AC"/>
    <w:rsid w:val="1A5C1E7A"/>
    <w:rsid w:val="1B436CB6"/>
    <w:rsid w:val="1B650073"/>
    <w:rsid w:val="1C1E64B0"/>
    <w:rsid w:val="1C223BB9"/>
    <w:rsid w:val="1D6C3ACD"/>
    <w:rsid w:val="1DA149E3"/>
    <w:rsid w:val="1E343CD7"/>
    <w:rsid w:val="1E392476"/>
    <w:rsid w:val="1E5F17AE"/>
    <w:rsid w:val="1F7E3642"/>
    <w:rsid w:val="20B97A50"/>
    <w:rsid w:val="211E5CD6"/>
    <w:rsid w:val="21C81588"/>
    <w:rsid w:val="21CA4B1E"/>
    <w:rsid w:val="21DF61A8"/>
    <w:rsid w:val="22B85F4D"/>
    <w:rsid w:val="23B51027"/>
    <w:rsid w:val="24A703BA"/>
    <w:rsid w:val="24E2057A"/>
    <w:rsid w:val="25377CE0"/>
    <w:rsid w:val="26CE3C7C"/>
    <w:rsid w:val="27A90267"/>
    <w:rsid w:val="28215FD9"/>
    <w:rsid w:val="287379B4"/>
    <w:rsid w:val="28F7016F"/>
    <w:rsid w:val="29176028"/>
    <w:rsid w:val="29644E4C"/>
    <w:rsid w:val="2A053596"/>
    <w:rsid w:val="2A8E0BD5"/>
    <w:rsid w:val="2A9D724B"/>
    <w:rsid w:val="2AA32FBA"/>
    <w:rsid w:val="2C2319EE"/>
    <w:rsid w:val="2C445224"/>
    <w:rsid w:val="2D597E3C"/>
    <w:rsid w:val="31F27536"/>
    <w:rsid w:val="334865E2"/>
    <w:rsid w:val="33A801FB"/>
    <w:rsid w:val="35E854F9"/>
    <w:rsid w:val="389425C0"/>
    <w:rsid w:val="38B363D6"/>
    <w:rsid w:val="399837A9"/>
    <w:rsid w:val="39F33F76"/>
    <w:rsid w:val="39FE294A"/>
    <w:rsid w:val="3A560996"/>
    <w:rsid w:val="3AE17ACF"/>
    <w:rsid w:val="3B0C3CCC"/>
    <w:rsid w:val="3B56047F"/>
    <w:rsid w:val="3BC4350C"/>
    <w:rsid w:val="3C0675FA"/>
    <w:rsid w:val="3C4E1FE0"/>
    <w:rsid w:val="3CC36FA0"/>
    <w:rsid w:val="3E5C3726"/>
    <w:rsid w:val="3F3E1320"/>
    <w:rsid w:val="40940794"/>
    <w:rsid w:val="40B5052E"/>
    <w:rsid w:val="414F0F26"/>
    <w:rsid w:val="41BE7C59"/>
    <w:rsid w:val="42D76676"/>
    <w:rsid w:val="42DD3C29"/>
    <w:rsid w:val="45BC325B"/>
    <w:rsid w:val="45EF5640"/>
    <w:rsid w:val="46617747"/>
    <w:rsid w:val="46A74290"/>
    <w:rsid w:val="46F639A3"/>
    <w:rsid w:val="47540B88"/>
    <w:rsid w:val="488D2830"/>
    <w:rsid w:val="49297D33"/>
    <w:rsid w:val="496F1948"/>
    <w:rsid w:val="4B2B10CB"/>
    <w:rsid w:val="4B734BB5"/>
    <w:rsid w:val="4C385C96"/>
    <w:rsid w:val="4CC42D03"/>
    <w:rsid w:val="4CDB684A"/>
    <w:rsid w:val="4D9D71B8"/>
    <w:rsid w:val="4E5D2315"/>
    <w:rsid w:val="4EEB1334"/>
    <w:rsid w:val="4FC41EF4"/>
    <w:rsid w:val="4FF216A9"/>
    <w:rsid w:val="521C2484"/>
    <w:rsid w:val="52F7556F"/>
    <w:rsid w:val="547F7BBD"/>
    <w:rsid w:val="559503DF"/>
    <w:rsid w:val="55C9251E"/>
    <w:rsid w:val="5651674B"/>
    <w:rsid w:val="576D45B5"/>
    <w:rsid w:val="57DF19C2"/>
    <w:rsid w:val="581966A5"/>
    <w:rsid w:val="5AD85B15"/>
    <w:rsid w:val="5CAE1503"/>
    <w:rsid w:val="5E635DE6"/>
    <w:rsid w:val="5E781276"/>
    <w:rsid w:val="61F740BB"/>
    <w:rsid w:val="63A658A9"/>
    <w:rsid w:val="64391E14"/>
    <w:rsid w:val="64657B63"/>
    <w:rsid w:val="6525255B"/>
    <w:rsid w:val="65E22178"/>
    <w:rsid w:val="66553179"/>
    <w:rsid w:val="66973A53"/>
    <w:rsid w:val="66CE174B"/>
    <w:rsid w:val="68580CD1"/>
    <w:rsid w:val="68CA67CD"/>
    <w:rsid w:val="68F641A0"/>
    <w:rsid w:val="6989373F"/>
    <w:rsid w:val="6A0D487D"/>
    <w:rsid w:val="6A202020"/>
    <w:rsid w:val="6BA7158B"/>
    <w:rsid w:val="6CB4750B"/>
    <w:rsid w:val="6F033986"/>
    <w:rsid w:val="72E715ED"/>
    <w:rsid w:val="742042DA"/>
    <w:rsid w:val="74350C58"/>
    <w:rsid w:val="74400D1E"/>
    <w:rsid w:val="748C6CD3"/>
    <w:rsid w:val="748D39A4"/>
    <w:rsid w:val="7526482C"/>
    <w:rsid w:val="75604F48"/>
    <w:rsid w:val="76C133CD"/>
    <w:rsid w:val="77EA581A"/>
    <w:rsid w:val="78150B53"/>
    <w:rsid w:val="784E2837"/>
    <w:rsid w:val="7B9B65E8"/>
    <w:rsid w:val="7EA35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2020-01-31T04:05:00Z</dcterms:created>
  <dc:creator>Lenovo</dc:creator>
  <cp:lastModifiedBy>Administrator</cp:lastModifiedBy>
  <cp:lastPrinted>2020-02-12T03:11:00Z</cp:lastPrinted>
  <dcterms:modified xsi:type="dcterms:W3CDTF">2023-09-21T06:31:58Z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B2B2D15B64D844798D20B85DEF82F509</vt:lpwstr>
  </property>
</Properties>
</file>