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750B74">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2065F2B4">
      <w:pPr>
        <w:spacing w:line="560" w:lineRule="exact"/>
        <w:jc w:val="center"/>
        <w:rPr>
          <w:rFonts w:ascii="宋体" w:hAnsi="宋体" w:cs="宋体"/>
          <w:b/>
          <w:bCs/>
          <w:sz w:val="44"/>
          <w:szCs w:val="44"/>
        </w:rPr>
      </w:pPr>
    </w:p>
    <w:p w14:paraId="4D309E0C">
      <w:pPr>
        <w:spacing w:line="560" w:lineRule="exact"/>
        <w:jc w:val="center"/>
        <w:rPr>
          <w:rFonts w:ascii="宋体" w:hAnsi="宋体" w:eastAsia="宋体" w:cs="宋体"/>
          <w:b/>
          <w:bCs/>
          <w:sz w:val="44"/>
          <w:szCs w:val="44"/>
        </w:rPr>
      </w:pPr>
    </w:p>
    <w:p w14:paraId="08F99A22">
      <w:pPr>
        <w:spacing w:line="560" w:lineRule="exact"/>
        <w:jc w:val="center"/>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中共石家庄市委金融委员会办公室</w:t>
      </w:r>
    </w:p>
    <w:p w14:paraId="03ED4E1B">
      <w:pPr>
        <w:spacing w:line="560" w:lineRule="exact"/>
        <w:jc w:val="center"/>
        <w:rPr>
          <w:rFonts w:ascii="宋体" w:hAnsi="宋体" w:eastAsia="宋体" w:cs="宋体"/>
          <w:b/>
          <w:bCs/>
          <w:sz w:val="44"/>
          <w:szCs w:val="44"/>
        </w:rPr>
      </w:pPr>
      <w:r>
        <w:rPr>
          <w:rFonts w:hint="eastAsia" w:ascii="宋体" w:hAnsi="宋体" w:eastAsia="宋体" w:cs="宋体"/>
          <w:b/>
          <w:bCs/>
          <w:sz w:val="44"/>
          <w:szCs w:val="44"/>
        </w:rPr>
        <w:t>202</w:t>
      </w:r>
      <w:r>
        <w:rPr>
          <w:rFonts w:hint="eastAsia" w:ascii="宋体" w:hAnsi="宋体" w:eastAsia="宋体" w:cs="宋体"/>
          <w:b/>
          <w:bCs/>
          <w:sz w:val="44"/>
          <w:szCs w:val="44"/>
          <w:lang w:val="en-US" w:eastAsia="zh-CN"/>
        </w:rPr>
        <w:t>5</w:t>
      </w:r>
      <w:r>
        <w:rPr>
          <w:rFonts w:hint="eastAsia" w:ascii="宋体" w:hAnsi="宋体" w:eastAsia="宋体" w:cs="宋体"/>
          <w:b/>
          <w:bCs/>
          <w:sz w:val="44"/>
          <w:szCs w:val="44"/>
        </w:rPr>
        <w:t>年度整体支出绩效自评报告</w:t>
      </w:r>
    </w:p>
    <w:p w14:paraId="6E154399">
      <w:pPr>
        <w:spacing w:line="560" w:lineRule="exact"/>
        <w:jc w:val="center"/>
        <w:rPr>
          <w:rFonts w:ascii="华文楷体" w:eastAsia="华文楷体"/>
          <w:sz w:val="32"/>
          <w:szCs w:val="32"/>
        </w:rPr>
      </w:pPr>
    </w:p>
    <w:p w14:paraId="60EB5ED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中共石家庄市委金融委员会办公室（以下简称“我办”）</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1FEA54DD">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7720B6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20D72B0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办负责贯彻落实党中央关于金融工作的方针政策和决策部署，落实省委、市委工作安排，把坚持和加强党中央对金融工作的集中统一领导落实到履行职责过程中。主要职责是:统筹协调辖区内金融相关工作，牵头开展全市金融安全稳定和改革发展的规划、政策、问题等研究；协调组织全市金融风险防范和处置化解，推动各县（市、区）落实属地责任，配合上级金融管理部门做好重大金融风险处置工作；负责全市地方金融组织市场准入审核、监督管理和风险处置工作；协调推进全市营造健康优质的金融环境；协调开展全市金融领域重点工作落实情况督查；贯彻落实党中央关于金融系统党的建设的方针政策和决策部署等</w:t>
      </w:r>
      <w:r>
        <w:rPr>
          <w:rFonts w:hint="eastAsia" w:ascii="仿宋" w:hAnsi="仿宋" w:eastAsia="仿宋"/>
          <w:sz w:val="32"/>
          <w:szCs w:val="32"/>
          <w:lang w:eastAsia="zh-CN"/>
        </w:rPr>
        <w:t>；</w:t>
      </w:r>
      <w:r>
        <w:rPr>
          <w:rFonts w:hint="eastAsia" w:ascii="仿宋" w:hAnsi="仿宋" w:eastAsia="仿宋"/>
          <w:sz w:val="32"/>
          <w:szCs w:val="32"/>
        </w:rPr>
        <w:t>完成市委、市政府交办的其他任务。</w:t>
      </w:r>
    </w:p>
    <w:p w14:paraId="2B675F2E">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65854ACE">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420" w:firstLineChars="200"/>
        <w:textAlignment w:val="auto"/>
        <w:rPr>
          <w:rFonts w:hint="default" w:ascii="CESI仿宋-GB2312" w:hAnsi="CESI仿宋-GB2312" w:eastAsia="CESI仿宋-GB2312" w:cs="CESI仿宋-GB2312"/>
          <w:bCs/>
          <w:sz w:val="32"/>
          <w:szCs w:val="32"/>
          <w:highlight w:val="none"/>
          <w:lang w:val="en-US" w:eastAsia="zh-CN"/>
        </w:rPr>
      </w:pPr>
      <w:r>
        <w:rPr>
          <w:rFonts w:hint="eastAsia"/>
          <w:lang w:val="en-US" w:eastAsia="zh-CN"/>
        </w:rPr>
        <w:t xml:space="preserve">   </w:t>
      </w:r>
      <w:r>
        <w:rPr>
          <w:rFonts w:hint="eastAsia"/>
          <w:highlight w:val="none"/>
          <w:lang w:val="en-US" w:eastAsia="zh-CN"/>
        </w:rPr>
        <w:t xml:space="preserve"> </w:t>
      </w:r>
      <w:r>
        <w:rPr>
          <w:rFonts w:hint="eastAsia" w:ascii="CESI仿宋-GB2312" w:hAnsi="CESI仿宋-GB2312" w:eastAsia="CESI仿宋-GB2312" w:cs="CESI仿宋-GB2312"/>
          <w:bCs/>
          <w:sz w:val="32"/>
          <w:szCs w:val="32"/>
          <w:highlight w:val="none"/>
          <w:lang w:val="en-US" w:eastAsia="zh-CN"/>
        </w:rPr>
        <w:t>1.预算安排情况</w:t>
      </w:r>
    </w:p>
    <w:p w14:paraId="05632DE9">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CESI仿宋-GB2312" w:hAnsi="CESI仿宋-GB2312" w:eastAsia="CESI仿宋-GB2312" w:cs="CESI仿宋-GB2312"/>
          <w:bCs/>
          <w:sz w:val="32"/>
          <w:szCs w:val="32"/>
          <w:highlight w:val="none"/>
        </w:rPr>
      </w:pPr>
      <w:r>
        <w:rPr>
          <w:rFonts w:hint="eastAsia" w:ascii="CESI仿宋-GB2312" w:hAnsi="CESI仿宋-GB2312" w:eastAsia="CESI仿宋-GB2312" w:cs="CESI仿宋-GB2312"/>
          <w:bCs/>
          <w:sz w:val="32"/>
          <w:szCs w:val="32"/>
          <w:highlight w:val="none"/>
        </w:rPr>
        <w:t>20</w:t>
      </w:r>
      <w:r>
        <w:rPr>
          <w:rFonts w:hint="eastAsia" w:ascii="CESI仿宋-GB2312" w:hAnsi="CESI仿宋-GB2312" w:eastAsia="CESI仿宋-GB2312" w:cs="CESI仿宋-GB2312"/>
          <w:bCs/>
          <w:sz w:val="32"/>
          <w:szCs w:val="32"/>
          <w:highlight w:val="none"/>
          <w:lang w:val="en-US" w:eastAsia="zh-CN"/>
        </w:rPr>
        <w:t>25</w:t>
      </w:r>
      <w:r>
        <w:rPr>
          <w:rFonts w:hint="eastAsia" w:ascii="CESI仿宋-GB2312" w:hAnsi="CESI仿宋-GB2312" w:eastAsia="CESI仿宋-GB2312" w:cs="CESI仿宋-GB2312"/>
          <w:bCs/>
          <w:sz w:val="32"/>
          <w:szCs w:val="32"/>
          <w:highlight w:val="none"/>
        </w:rPr>
        <w:t>年我办预算收入</w:t>
      </w:r>
      <w:r>
        <w:rPr>
          <w:rFonts w:hint="eastAsia" w:ascii="CESI仿宋-GB2312" w:hAnsi="CESI仿宋-GB2312" w:eastAsia="CESI仿宋-GB2312" w:cs="CESI仿宋-GB2312"/>
          <w:bCs/>
          <w:sz w:val="32"/>
          <w:szCs w:val="32"/>
          <w:highlight w:val="none"/>
          <w:lang w:val="en-US" w:eastAsia="zh-CN"/>
        </w:rPr>
        <w:t>1587.31</w:t>
      </w:r>
      <w:r>
        <w:rPr>
          <w:rFonts w:hint="eastAsia" w:ascii="CESI仿宋-GB2312" w:hAnsi="CESI仿宋-GB2312" w:eastAsia="CESI仿宋-GB2312" w:cs="CESI仿宋-GB2312"/>
          <w:bCs/>
          <w:sz w:val="32"/>
          <w:szCs w:val="32"/>
          <w:highlight w:val="none"/>
        </w:rPr>
        <w:t>万元，均为一般公共预算财政拨款收入。</w:t>
      </w:r>
    </w:p>
    <w:p w14:paraId="7495F370">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CESI仿宋-GB2312" w:hAnsi="CESI仿宋-GB2312" w:eastAsia="CESI仿宋-GB2312" w:cs="CESI仿宋-GB2312"/>
          <w:bCs/>
          <w:sz w:val="32"/>
          <w:szCs w:val="32"/>
          <w:highlight w:val="none"/>
        </w:rPr>
      </w:pPr>
      <w:r>
        <w:rPr>
          <w:rFonts w:hint="eastAsia" w:ascii="CESI仿宋-GB2312" w:hAnsi="CESI仿宋-GB2312" w:eastAsia="CESI仿宋-GB2312" w:cs="CESI仿宋-GB2312"/>
          <w:bCs/>
          <w:sz w:val="32"/>
          <w:szCs w:val="32"/>
          <w:highlight w:val="none"/>
        </w:rPr>
        <w:t>202</w:t>
      </w:r>
      <w:r>
        <w:rPr>
          <w:rFonts w:hint="eastAsia" w:ascii="CESI仿宋-GB2312" w:hAnsi="CESI仿宋-GB2312" w:eastAsia="CESI仿宋-GB2312" w:cs="CESI仿宋-GB2312"/>
          <w:bCs/>
          <w:sz w:val="32"/>
          <w:szCs w:val="32"/>
          <w:highlight w:val="none"/>
          <w:lang w:val="en-US" w:eastAsia="zh-CN"/>
        </w:rPr>
        <w:t>5</w:t>
      </w:r>
      <w:r>
        <w:rPr>
          <w:rFonts w:hint="eastAsia" w:ascii="CESI仿宋-GB2312" w:hAnsi="CESI仿宋-GB2312" w:eastAsia="CESI仿宋-GB2312" w:cs="CESI仿宋-GB2312"/>
          <w:bCs/>
          <w:sz w:val="32"/>
          <w:szCs w:val="32"/>
          <w:highlight w:val="none"/>
        </w:rPr>
        <w:t>年预算支出</w:t>
      </w:r>
      <w:r>
        <w:rPr>
          <w:rFonts w:hint="eastAsia" w:ascii="CESI仿宋-GB2312" w:hAnsi="CESI仿宋-GB2312" w:eastAsia="CESI仿宋-GB2312" w:cs="CESI仿宋-GB2312"/>
          <w:bCs/>
          <w:sz w:val="32"/>
          <w:szCs w:val="32"/>
          <w:highlight w:val="none"/>
          <w:lang w:val="en-US" w:eastAsia="zh-CN"/>
        </w:rPr>
        <w:t>1587.31</w:t>
      </w:r>
      <w:r>
        <w:rPr>
          <w:rFonts w:hint="eastAsia" w:ascii="CESI仿宋-GB2312" w:hAnsi="CESI仿宋-GB2312" w:eastAsia="CESI仿宋-GB2312" w:cs="CESI仿宋-GB2312"/>
          <w:bCs/>
          <w:sz w:val="32"/>
          <w:szCs w:val="32"/>
          <w:highlight w:val="none"/>
        </w:rPr>
        <w:t>万元，其中：基本支出</w:t>
      </w:r>
      <w:r>
        <w:rPr>
          <w:rFonts w:hint="eastAsia" w:ascii="CESI仿宋-GB2312" w:hAnsi="CESI仿宋-GB2312" w:eastAsia="CESI仿宋-GB2312" w:cs="CESI仿宋-GB2312"/>
          <w:bCs/>
          <w:sz w:val="32"/>
          <w:szCs w:val="32"/>
          <w:highlight w:val="none"/>
          <w:lang w:val="en-US" w:eastAsia="zh-CN"/>
        </w:rPr>
        <w:t>1095.06</w:t>
      </w:r>
      <w:r>
        <w:rPr>
          <w:rFonts w:hint="eastAsia" w:ascii="CESI仿宋-GB2312" w:hAnsi="CESI仿宋-GB2312" w:eastAsia="CESI仿宋-GB2312" w:cs="CESI仿宋-GB2312"/>
          <w:bCs/>
          <w:sz w:val="32"/>
          <w:szCs w:val="32"/>
          <w:highlight w:val="none"/>
        </w:rPr>
        <w:t>万元，包括人员经费</w:t>
      </w:r>
      <w:r>
        <w:rPr>
          <w:rFonts w:hint="eastAsia" w:ascii="CESI仿宋-GB2312" w:hAnsi="CESI仿宋-GB2312" w:eastAsia="CESI仿宋-GB2312" w:cs="CESI仿宋-GB2312"/>
          <w:bCs/>
          <w:sz w:val="32"/>
          <w:szCs w:val="32"/>
          <w:highlight w:val="none"/>
          <w:lang w:val="en-US" w:eastAsia="zh-CN"/>
        </w:rPr>
        <w:t>970.31</w:t>
      </w:r>
      <w:r>
        <w:rPr>
          <w:rFonts w:hint="eastAsia" w:ascii="CESI仿宋-GB2312" w:hAnsi="CESI仿宋-GB2312" w:eastAsia="CESI仿宋-GB2312" w:cs="CESI仿宋-GB2312"/>
          <w:bCs/>
          <w:sz w:val="32"/>
          <w:szCs w:val="32"/>
          <w:highlight w:val="none"/>
        </w:rPr>
        <w:t>万元和公用经费</w:t>
      </w:r>
      <w:r>
        <w:rPr>
          <w:rFonts w:hint="eastAsia" w:ascii="CESI仿宋-GB2312" w:hAnsi="CESI仿宋-GB2312" w:eastAsia="CESI仿宋-GB2312" w:cs="CESI仿宋-GB2312"/>
          <w:bCs/>
          <w:sz w:val="32"/>
          <w:szCs w:val="32"/>
          <w:highlight w:val="none"/>
          <w:lang w:val="en-US" w:eastAsia="zh-CN"/>
        </w:rPr>
        <w:t>124.75</w:t>
      </w:r>
      <w:r>
        <w:rPr>
          <w:rFonts w:hint="eastAsia" w:ascii="CESI仿宋-GB2312" w:hAnsi="CESI仿宋-GB2312" w:eastAsia="CESI仿宋-GB2312" w:cs="CESI仿宋-GB2312"/>
          <w:bCs/>
          <w:sz w:val="32"/>
          <w:szCs w:val="32"/>
          <w:highlight w:val="none"/>
        </w:rPr>
        <w:t>万元；项目支出</w:t>
      </w:r>
      <w:r>
        <w:rPr>
          <w:rFonts w:hint="eastAsia" w:ascii="CESI仿宋-GB2312" w:hAnsi="CESI仿宋-GB2312" w:eastAsia="CESI仿宋-GB2312" w:cs="CESI仿宋-GB2312"/>
          <w:bCs/>
          <w:sz w:val="32"/>
          <w:szCs w:val="32"/>
          <w:highlight w:val="none"/>
          <w:lang w:val="en-US" w:eastAsia="zh-CN"/>
        </w:rPr>
        <w:t>492.25</w:t>
      </w:r>
      <w:r>
        <w:rPr>
          <w:rFonts w:hint="eastAsia" w:ascii="CESI仿宋-GB2312" w:hAnsi="CESI仿宋-GB2312" w:eastAsia="CESI仿宋-GB2312" w:cs="CESI仿宋-GB2312"/>
          <w:bCs/>
          <w:sz w:val="32"/>
          <w:szCs w:val="32"/>
          <w:highlight w:val="none"/>
        </w:rPr>
        <w:t>万元。</w:t>
      </w:r>
    </w:p>
    <w:p w14:paraId="32C98F5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CESI仿宋-GB2312" w:hAnsi="CESI仿宋-GB2312" w:eastAsia="CESI仿宋-GB2312" w:cs="CESI仿宋-GB2312"/>
          <w:bCs/>
          <w:sz w:val="32"/>
          <w:szCs w:val="32"/>
          <w:highlight w:val="none"/>
          <w:lang w:val="en-US" w:eastAsia="zh-CN"/>
        </w:rPr>
      </w:pPr>
      <w:r>
        <w:rPr>
          <w:rFonts w:hint="eastAsia" w:ascii="CESI仿宋-GB2312" w:hAnsi="CESI仿宋-GB2312" w:eastAsia="CESI仿宋-GB2312" w:cs="CESI仿宋-GB2312"/>
          <w:bCs/>
          <w:sz w:val="32"/>
          <w:szCs w:val="32"/>
          <w:highlight w:val="none"/>
          <w:lang w:val="en-US" w:eastAsia="zh-CN"/>
        </w:rPr>
        <w:t>2.决算情况</w:t>
      </w:r>
    </w:p>
    <w:p w14:paraId="503337FA">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CESI仿宋-GB2312" w:hAnsi="CESI仿宋-GB2312" w:eastAsia="CESI仿宋-GB2312" w:cs="CESI仿宋-GB2312"/>
          <w:bCs/>
          <w:color w:val="auto"/>
          <w:sz w:val="32"/>
          <w:szCs w:val="32"/>
          <w:highlight w:val="none"/>
          <w:shd w:val="clear" w:color="FFFFFF" w:fill="D9D9D9"/>
          <w:lang w:val="en-US" w:eastAsia="zh-CN"/>
        </w:rPr>
      </w:pPr>
      <w:r>
        <w:rPr>
          <w:rFonts w:hint="default" w:ascii="CESI仿宋-GB2312" w:hAnsi="CESI仿宋-GB2312" w:eastAsia="CESI仿宋-GB2312" w:cs="CESI仿宋-GB2312"/>
          <w:bCs/>
          <w:color w:val="auto"/>
          <w:sz w:val="32"/>
          <w:szCs w:val="32"/>
          <w:highlight w:val="none"/>
          <w:shd w:val="clear" w:color="FFFFFF" w:fill="D9D9D9"/>
          <w:lang w:val="en-US" w:eastAsia="zh-CN"/>
        </w:rPr>
        <w:t>202</w:t>
      </w:r>
      <w:r>
        <w:rPr>
          <w:rFonts w:hint="eastAsia" w:ascii="CESI仿宋-GB2312" w:hAnsi="CESI仿宋-GB2312" w:eastAsia="CESI仿宋-GB2312" w:cs="CESI仿宋-GB2312"/>
          <w:bCs/>
          <w:color w:val="auto"/>
          <w:sz w:val="32"/>
          <w:szCs w:val="32"/>
          <w:highlight w:val="none"/>
          <w:shd w:val="clear" w:color="FFFFFF" w:fill="D9D9D9"/>
          <w:lang w:val="en-US" w:eastAsia="zh-CN"/>
        </w:rPr>
        <w:t>5</w:t>
      </w:r>
      <w:r>
        <w:rPr>
          <w:rFonts w:hint="default" w:ascii="CESI仿宋-GB2312" w:hAnsi="CESI仿宋-GB2312" w:eastAsia="CESI仿宋-GB2312" w:cs="CESI仿宋-GB2312"/>
          <w:bCs/>
          <w:color w:val="auto"/>
          <w:sz w:val="32"/>
          <w:szCs w:val="32"/>
          <w:highlight w:val="none"/>
          <w:shd w:val="clear" w:color="FFFFFF" w:fill="D9D9D9"/>
          <w:lang w:val="en-US" w:eastAsia="zh-CN"/>
        </w:rPr>
        <w:t>年我办收入决算</w:t>
      </w:r>
      <w:r>
        <w:rPr>
          <w:rFonts w:hint="eastAsia" w:ascii="CESI仿宋-GB2312" w:hAnsi="CESI仿宋-GB2312" w:eastAsia="CESI仿宋-GB2312" w:cs="CESI仿宋-GB2312"/>
          <w:bCs/>
          <w:color w:val="auto"/>
          <w:sz w:val="32"/>
          <w:szCs w:val="32"/>
          <w:highlight w:val="none"/>
          <w:shd w:val="clear" w:color="FFFFFF" w:fill="D9D9D9"/>
          <w:lang w:val="en-US" w:eastAsia="zh-CN"/>
        </w:rPr>
        <w:t>2699.20</w:t>
      </w:r>
      <w:r>
        <w:rPr>
          <w:rFonts w:hint="default" w:ascii="CESI仿宋-GB2312" w:hAnsi="CESI仿宋-GB2312" w:eastAsia="CESI仿宋-GB2312" w:cs="CESI仿宋-GB2312"/>
          <w:bCs/>
          <w:color w:val="auto"/>
          <w:sz w:val="32"/>
          <w:szCs w:val="32"/>
          <w:highlight w:val="none"/>
          <w:shd w:val="clear" w:color="FFFFFF" w:fill="D9D9D9"/>
          <w:lang w:val="en-US" w:eastAsia="zh-CN"/>
        </w:rPr>
        <w:t>万元，其中：一般公共预算财政拨款收入</w:t>
      </w:r>
      <w:r>
        <w:rPr>
          <w:rFonts w:hint="eastAsia" w:ascii="CESI仿宋-GB2312" w:hAnsi="CESI仿宋-GB2312" w:eastAsia="CESI仿宋-GB2312" w:cs="CESI仿宋-GB2312"/>
          <w:bCs/>
          <w:color w:val="auto"/>
          <w:sz w:val="32"/>
          <w:szCs w:val="32"/>
          <w:highlight w:val="none"/>
          <w:shd w:val="clear" w:color="FFFFFF" w:fill="D9D9D9"/>
          <w:lang w:val="en-US" w:eastAsia="zh-CN"/>
        </w:rPr>
        <w:t>2699.20</w:t>
      </w:r>
      <w:r>
        <w:rPr>
          <w:rFonts w:hint="default" w:ascii="CESI仿宋-GB2312" w:hAnsi="CESI仿宋-GB2312" w:eastAsia="CESI仿宋-GB2312" w:cs="CESI仿宋-GB2312"/>
          <w:bCs/>
          <w:color w:val="auto"/>
          <w:sz w:val="32"/>
          <w:szCs w:val="32"/>
          <w:highlight w:val="none"/>
          <w:shd w:val="clear" w:color="FFFFFF" w:fill="D9D9D9"/>
          <w:lang w:val="en-US" w:eastAsia="zh-CN"/>
        </w:rPr>
        <w:t>万元。</w:t>
      </w:r>
    </w:p>
    <w:p w14:paraId="731576A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eastAsia="宋体"/>
          <w:highlight w:val="none"/>
          <w:lang w:val="en-US" w:eastAsia="zh-CN"/>
        </w:rPr>
      </w:pPr>
      <w:r>
        <w:rPr>
          <w:rFonts w:hint="default" w:ascii="CESI仿宋-GB2312" w:hAnsi="CESI仿宋-GB2312" w:eastAsia="CESI仿宋-GB2312" w:cs="CESI仿宋-GB2312"/>
          <w:bCs/>
          <w:sz w:val="32"/>
          <w:szCs w:val="32"/>
          <w:highlight w:val="none"/>
          <w:lang w:val="en-US" w:eastAsia="zh-CN"/>
        </w:rPr>
        <w:t>202</w:t>
      </w:r>
      <w:r>
        <w:rPr>
          <w:rFonts w:hint="eastAsia" w:ascii="CESI仿宋-GB2312" w:hAnsi="CESI仿宋-GB2312" w:eastAsia="CESI仿宋-GB2312" w:cs="CESI仿宋-GB2312"/>
          <w:bCs/>
          <w:sz w:val="32"/>
          <w:szCs w:val="32"/>
          <w:highlight w:val="none"/>
          <w:lang w:val="en-US" w:eastAsia="zh-CN"/>
        </w:rPr>
        <w:t>5</w:t>
      </w:r>
      <w:r>
        <w:rPr>
          <w:rFonts w:hint="default" w:ascii="CESI仿宋-GB2312" w:hAnsi="CESI仿宋-GB2312" w:eastAsia="CESI仿宋-GB2312" w:cs="CESI仿宋-GB2312"/>
          <w:bCs/>
          <w:sz w:val="32"/>
          <w:szCs w:val="32"/>
          <w:highlight w:val="none"/>
          <w:lang w:val="en-US" w:eastAsia="zh-CN"/>
        </w:rPr>
        <w:t>年支出决算</w:t>
      </w:r>
      <w:r>
        <w:rPr>
          <w:rFonts w:hint="eastAsia" w:ascii="CESI仿宋-GB2312" w:hAnsi="CESI仿宋-GB2312" w:eastAsia="CESI仿宋-GB2312" w:cs="CESI仿宋-GB2312"/>
          <w:bCs/>
          <w:sz w:val="32"/>
          <w:szCs w:val="32"/>
          <w:highlight w:val="none"/>
          <w:lang w:val="en-US" w:eastAsia="zh-CN"/>
        </w:rPr>
        <w:t>2699.20</w:t>
      </w:r>
      <w:r>
        <w:rPr>
          <w:rFonts w:hint="default" w:ascii="CESI仿宋-GB2312" w:hAnsi="CESI仿宋-GB2312" w:eastAsia="CESI仿宋-GB2312" w:cs="CESI仿宋-GB2312"/>
          <w:bCs/>
          <w:sz w:val="32"/>
          <w:szCs w:val="32"/>
          <w:highlight w:val="none"/>
          <w:lang w:val="en-US" w:eastAsia="zh-CN"/>
        </w:rPr>
        <w:t>万元，其中：基本支出</w:t>
      </w:r>
      <w:r>
        <w:rPr>
          <w:rFonts w:hint="eastAsia" w:ascii="CESI仿宋-GB2312" w:hAnsi="CESI仿宋-GB2312" w:eastAsia="CESI仿宋-GB2312" w:cs="CESI仿宋-GB2312"/>
          <w:bCs/>
          <w:sz w:val="32"/>
          <w:szCs w:val="32"/>
          <w:highlight w:val="none"/>
          <w:lang w:val="en-US" w:eastAsia="zh-CN"/>
        </w:rPr>
        <w:t>1063.03</w:t>
      </w:r>
      <w:r>
        <w:rPr>
          <w:rFonts w:hint="default" w:ascii="CESI仿宋-GB2312" w:hAnsi="CESI仿宋-GB2312" w:eastAsia="CESI仿宋-GB2312" w:cs="CESI仿宋-GB2312"/>
          <w:bCs/>
          <w:sz w:val="32"/>
          <w:szCs w:val="32"/>
          <w:highlight w:val="none"/>
          <w:lang w:val="en-US" w:eastAsia="zh-CN"/>
        </w:rPr>
        <w:t>万元，包括人员经费</w:t>
      </w:r>
      <w:r>
        <w:rPr>
          <w:rFonts w:hint="eastAsia" w:ascii="CESI仿宋-GB2312" w:hAnsi="CESI仿宋-GB2312" w:eastAsia="CESI仿宋-GB2312" w:cs="CESI仿宋-GB2312"/>
          <w:bCs/>
          <w:sz w:val="32"/>
          <w:szCs w:val="32"/>
          <w:highlight w:val="none"/>
          <w:lang w:val="en-US" w:eastAsia="zh-CN"/>
        </w:rPr>
        <w:t>949.80</w:t>
      </w:r>
      <w:r>
        <w:rPr>
          <w:rFonts w:hint="default" w:ascii="CESI仿宋-GB2312" w:hAnsi="CESI仿宋-GB2312" w:eastAsia="CESI仿宋-GB2312" w:cs="CESI仿宋-GB2312"/>
          <w:bCs/>
          <w:sz w:val="32"/>
          <w:szCs w:val="32"/>
          <w:highlight w:val="none"/>
          <w:lang w:val="en-US" w:eastAsia="zh-CN"/>
        </w:rPr>
        <w:t>万元和公用经费</w:t>
      </w:r>
      <w:r>
        <w:rPr>
          <w:rFonts w:hint="eastAsia" w:ascii="CESI仿宋-GB2312" w:hAnsi="CESI仿宋-GB2312" w:eastAsia="CESI仿宋-GB2312" w:cs="CESI仿宋-GB2312"/>
          <w:bCs/>
          <w:sz w:val="32"/>
          <w:szCs w:val="32"/>
          <w:highlight w:val="none"/>
          <w:lang w:val="en-US" w:eastAsia="zh-CN"/>
        </w:rPr>
        <w:t>113.23</w:t>
      </w:r>
      <w:r>
        <w:rPr>
          <w:rFonts w:hint="default" w:ascii="CESI仿宋-GB2312" w:hAnsi="CESI仿宋-GB2312" w:eastAsia="CESI仿宋-GB2312" w:cs="CESI仿宋-GB2312"/>
          <w:bCs/>
          <w:sz w:val="32"/>
          <w:szCs w:val="32"/>
          <w:highlight w:val="none"/>
          <w:lang w:val="en-US" w:eastAsia="zh-CN"/>
        </w:rPr>
        <w:t>万元；项目支出</w:t>
      </w:r>
      <w:r>
        <w:rPr>
          <w:rFonts w:hint="eastAsia" w:ascii="CESI仿宋-GB2312" w:hAnsi="CESI仿宋-GB2312" w:eastAsia="CESI仿宋-GB2312" w:cs="CESI仿宋-GB2312"/>
          <w:bCs/>
          <w:sz w:val="32"/>
          <w:szCs w:val="32"/>
          <w:highlight w:val="none"/>
          <w:lang w:val="en-US" w:eastAsia="zh-CN"/>
        </w:rPr>
        <w:t>1636.18</w:t>
      </w:r>
      <w:r>
        <w:rPr>
          <w:rFonts w:hint="default" w:ascii="CESI仿宋-GB2312" w:hAnsi="CESI仿宋-GB2312" w:eastAsia="CESI仿宋-GB2312" w:cs="CESI仿宋-GB2312"/>
          <w:bCs/>
          <w:sz w:val="32"/>
          <w:szCs w:val="32"/>
          <w:highlight w:val="none"/>
          <w:lang w:val="en-US" w:eastAsia="zh-CN"/>
        </w:rPr>
        <w:t>万元。</w:t>
      </w:r>
    </w:p>
    <w:p w14:paraId="59DD00EA">
      <w:pPr>
        <w:adjustRightInd w:val="0"/>
        <w:snapToGrid w:val="0"/>
        <w:spacing w:line="560" w:lineRule="exact"/>
        <w:ind w:firstLine="640" w:firstLineChars="200"/>
        <w:rPr>
          <w:rFonts w:ascii="楷体" w:hAnsi="楷体" w:eastAsia="楷体" w:cs="楷体_GB2312"/>
          <w:bCs/>
          <w:sz w:val="32"/>
          <w:szCs w:val="32"/>
          <w:highlight w:val="none"/>
        </w:rPr>
      </w:pPr>
      <w:r>
        <w:rPr>
          <w:rFonts w:hint="eastAsia" w:ascii="楷体" w:hAnsi="楷体" w:eastAsia="楷体" w:cs="楷体_GB2312"/>
          <w:bCs/>
          <w:sz w:val="32"/>
          <w:szCs w:val="32"/>
          <w:highlight w:val="none"/>
        </w:rPr>
        <w:t>（三）部门整体支出绩效目标、指标</w:t>
      </w:r>
    </w:p>
    <w:p w14:paraId="09AC2F0B">
      <w:pPr>
        <w:adjustRightInd w:val="0"/>
        <w:snapToGrid w:val="0"/>
        <w:spacing w:line="560" w:lineRule="exact"/>
        <w:ind w:firstLine="643" w:firstLineChars="200"/>
        <w:rPr>
          <w:rFonts w:hint="eastAsia" w:ascii="仿宋" w:hAnsi="仿宋" w:eastAsia="仿宋"/>
          <w:b/>
          <w:bCs/>
          <w:sz w:val="32"/>
          <w:szCs w:val="32"/>
          <w:highlight w:val="none"/>
        </w:rPr>
      </w:pPr>
      <w:r>
        <w:rPr>
          <w:rFonts w:hint="eastAsia" w:ascii="仿宋" w:hAnsi="仿宋" w:eastAsia="仿宋"/>
          <w:b/>
          <w:bCs/>
          <w:sz w:val="32"/>
          <w:szCs w:val="32"/>
          <w:highlight w:val="none"/>
          <w:lang w:val="en-US" w:eastAsia="zh-CN"/>
        </w:rPr>
        <w:t>1.总体</w:t>
      </w:r>
      <w:r>
        <w:rPr>
          <w:rFonts w:hint="eastAsia" w:ascii="仿宋" w:hAnsi="仿宋" w:eastAsia="仿宋"/>
          <w:b/>
          <w:bCs/>
          <w:sz w:val="32"/>
          <w:szCs w:val="32"/>
          <w:highlight w:val="none"/>
        </w:rPr>
        <w:t>绩效目标</w:t>
      </w:r>
    </w:p>
    <w:p w14:paraId="77C752E7">
      <w:pPr>
        <w:pStyle w:val="7"/>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2025年，我办紧扣“防风险、强监管、促发展”工作主线，继续统筹推进服务实体经济、防控金融风险、强化地方金融监管等工作，凝聚全市金融力量，完善扶持政策，优化金融资源配置，激发金融机构主体活力，推动金融服务提质、监管提效、产业提级，解决发展不平衡不充分问题，为推动高质量发展提供更加坚实有力的金融支撑，助力加快建设现代化国际化美丽省会城市。</w:t>
      </w:r>
    </w:p>
    <w:p w14:paraId="3A2A2CF9">
      <w:pPr>
        <w:adjustRightInd w:val="0"/>
        <w:snapToGrid w:val="0"/>
        <w:spacing w:line="560" w:lineRule="exact"/>
        <w:ind w:firstLine="643" w:firstLineChars="200"/>
        <w:rPr>
          <w:rFonts w:hint="eastAsia" w:ascii="仿宋" w:hAnsi="仿宋" w:eastAsia="仿宋"/>
          <w:b/>
          <w:bCs/>
          <w:sz w:val="32"/>
          <w:szCs w:val="32"/>
          <w:highlight w:val="none"/>
          <w:lang w:eastAsia="zh-CN"/>
        </w:rPr>
      </w:pPr>
      <w:r>
        <w:rPr>
          <w:rFonts w:hint="eastAsia" w:ascii="仿宋" w:hAnsi="仿宋" w:eastAsia="仿宋"/>
          <w:b/>
          <w:bCs/>
          <w:sz w:val="32"/>
          <w:szCs w:val="32"/>
          <w:highlight w:val="none"/>
          <w:lang w:val="en-US" w:eastAsia="zh-CN"/>
        </w:rPr>
        <w:t>2.</w:t>
      </w:r>
      <w:r>
        <w:rPr>
          <w:rFonts w:hint="eastAsia" w:ascii="仿宋" w:hAnsi="仿宋" w:eastAsia="仿宋"/>
          <w:b/>
          <w:bCs/>
          <w:sz w:val="32"/>
          <w:szCs w:val="32"/>
          <w:highlight w:val="none"/>
          <w:lang w:eastAsia="zh-CN"/>
        </w:rPr>
        <w:t>分项绩效目标</w:t>
      </w:r>
    </w:p>
    <w:p w14:paraId="77699D43">
      <w:pPr>
        <w:pStyle w:val="8"/>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1.推进金融服务实体经济</w:t>
      </w:r>
    </w:p>
    <w:p w14:paraId="36FBB8F7">
      <w:pPr>
        <w:pStyle w:val="8"/>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绩效目标：深入贯彻落实各项政策措施，通过落实融资担保等奖补政策，引导金融机构扩大信贷投放，强化金融服务实体经济功能。</w:t>
      </w:r>
    </w:p>
    <w:p w14:paraId="0F541F51">
      <w:pPr>
        <w:pStyle w:val="8"/>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绩效指标：奖补企业数量不少于3家，新增服务小微企业和“三农”主体融资担保户数不少于50户。</w:t>
      </w:r>
    </w:p>
    <w:p w14:paraId="0B5C06FB">
      <w:pPr>
        <w:pStyle w:val="8"/>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2.加强地方金融监管工作</w:t>
      </w:r>
    </w:p>
    <w:p w14:paraId="57268C12">
      <w:pPr>
        <w:pStyle w:val="8"/>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绩效目标：进一步做好典当行、小额贷款公司等地方金融组织的年审工作，积极开展 “双随机、一公开”现场检查，引导督促地方金融组织合法合规经营；规范地方金融组织行业发展，有序清理不合规企业。</w:t>
      </w:r>
    </w:p>
    <w:p w14:paraId="6EF92BE6">
      <w:pPr>
        <w:pStyle w:val="8"/>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绩效指标： 按照“双随机、一公开”行政执法检查要求，审计检查融资担保机构、融资租赁公司、典当行、小额贷款公司不少于20家，有序清理不合规企业不少于2家。</w:t>
      </w:r>
    </w:p>
    <w:p w14:paraId="0BDC73C4">
      <w:pPr>
        <w:pStyle w:val="8"/>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3.加大金融风险防范化解力度</w:t>
      </w:r>
    </w:p>
    <w:p w14:paraId="146887B4">
      <w:pPr>
        <w:pStyle w:val="8"/>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绩效目标：做好防范非法集资宣传工作，营造抵制非法集资的舆论氛围，加大金融风险防范化解力度，做好非法集资案件处置、东旭集团风险化解、其他金融风险及非法集资案件化解工作，及时有效处置金融风险，维护全市金融稳定。同时，继续做好12346防范非法金融活动专线、防范非法集资预警平台等相关工作。</w:t>
      </w:r>
    </w:p>
    <w:p w14:paraId="5F644BD5">
      <w:pPr>
        <w:pStyle w:val="8"/>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绩效指标：组织开展集中宣传活动不少于1次，公交专车、地铁宣传车次不少于27车次。</w:t>
      </w:r>
    </w:p>
    <w:p w14:paraId="45E789F0">
      <w:pPr>
        <w:pStyle w:val="8"/>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4.加大金融宣传教育力度</w:t>
      </w:r>
    </w:p>
    <w:p w14:paraId="29279F00">
      <w:pPr>
        <w:pStyle w:val="8"/>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绩效目标：注重与新闻媒体的沟通协作，在市电视台开设了财经类节目《金融界》，形成了多媒体矩阵，积极宣传金融工作，普及金融知识，进一步提升广大市民金融素养。</w:t>
      </w:r>
    </w:p>
    <w:p w14:paraId="032AB2B8">
      <w:pPr>
        <w:pStyle w:val="8"/>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绩效指标：打造成为石家庄电视台品牌节目，实现金融类节目收视率全市前三；按照每周播放三次，节目投放时间不少于120天。</w:t>
      </w:r>
    </w:p>
    <w:p w14:paraId="66173E90">
      <w:pPr>
        <w:pStyle w:val="2"/>
        <w:rPr>
          <w:rFonts w:hint="eastAsia"/>
          <w:highlight w:val="none"/>
        </w:rPr>
      </w:pPr>
    </w:p>
    <w:p w14:paraId="043A12A7">
      <w:pPr>
        <w:adjustRightInd w:val="0"/>
        <w:snapToGrid w:val="0"/>
        <w:spacing w:line="560" w:lineRule="exact"/>
        <w:ind w:firstLine="640" w:firstLineChars="200"/>
        <w:rPr>
          <w:rFonts w:ascii="黑体" w:hAnsi="黑体" w:eastAsia="黑体"/>
          <w:sz w:val="32"/>
          <w:szCs w:val="32"/>
          <w:highlight w:val="none"/>
        </w:rPr>
      </w:pPr>
      <w:r>
        <w:rPr>
          <w:rFonts w:hint="eastAsia" w:ascii="黑体" w:hAnsi="黑体" w:eastAsia="黑体"/>
          <w:sz w:val="32"/>
          <w:szCs w:val="32"/>
          <w:highlight w:val="none"/>
        </w:rPr>
        <w:t>二、自评工作开展情况</w:t>
      </w:r>
    </w:p>
    <w:p w14:paraId="3151C450">
      <w:pPr>
        <w:spacing w:line="560" w:lineRule="exact"/>
        <w:rPr>
          <w:rFonts w:ascii="楷体" w:hAnsi="楷体" w:eastAsia="楷体" w:cs="楷体_GB2312"/>
          <w:sz w:val="32"/>
          <w:szCs w:val="32"/>
          <w:highlight w:val="none"/>
        </w:rPr>
      </w:pPr>
      <w:r>
        <w:rPr>
          <w:rFonts w:hint="eastAsia" w:ascii="仿宋" w:hAnsi="仿宋" w:eastAsia="仿宋" w:cs="楷体_GB2312"/>
          <w:b/>
          <w:bCs/>
          <w:sz w:val="32"/>
          <w:szCs w:val="32"/>
          <w:highlight w:val="none"/>
        </w:rPr>
        <w:t xml:space="preserve">    </w:t>
      </w:r>
      <w:r>
        <w:rPr>
          <w:rFonts w:hint="eastAsia" w:ascii="楷体" w:hAnsi="楷体" w:eastAsia="楷体" w:cs="楷体_GB2312"/>
          <w:bCs/>
          <w:sz w:val="32"/>
          <w:szCs w:val="32"/>
          <w:highlight w:val="none"/>
        </w:rPr>
        <w:t>（一）自评的组织工作</w:t>
      </w:r>
    </w:p>
    <w:p w14:paraId="5D7778B6">
      <w:pPr>
        <w:spacing w:line="560" w:lineRule="exact"/>
        <w:rPr>
          <w:rFonts w:hint="eastAsia" w:ascii="仿宋" w:hAnsi="仿宋" w:eastAsia="仿宋"/>
          <w:sz w:val="32"/>
          <w:szCs w:val="32"/>
          <w:highlight w:val="none"/>
        </w:rPr>
      </w:pPr>
      <w:r>
        <w:rPr>
          <w:rFonts w:hint="eastAsia" w:ascii="仿宋" w:hAnsi="仿宋" w:eastAsia="仿宋"/>
          <w:sz w:val="32"/>
          <w:szCs w:val="32"/>
          <w:highlight w:val="none"/>
        </w:rPr>
        <w:t xml:space="preserve">     </w:t>
      </w:r>
      <w:r>
        <w:rPr>
          <w:rFonts w:hint="eastAsia" w:ascii="仿宋" w:hAnsi="仿宋" w:eastAsia="仿宋"/>
          <w:sz w:val="32"/>
          <w:szCs w:val="32"/>
          <w:highlight w:val="none"/>
          <w:lang w:val="en-US" w:eastAsia="zh-CN"/>
        </w:rPr>
        <w:t>1.</w:t>
      </w:r>
      <w:r>
        <w:rPr>
          <w:rFonts w:hint="eastAsia" w:ascii="仿宋" w:hAnsi="仿宋" w:eastAsia="仿宋"/>
          <w:sz w:val="32"/>
          <w:szCs w:val="32"/>
          <w:highlight w:val="none"/>
        </w:rPr>
        <w:t>评价资料收集</w:t>
      </w:r>
    </w:p>
    <w:p w14:paraId="511FE11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highlight w:val="none"/>
        </w:rPr>
      </w:pPr>
      <w:r>
        <w:rPr>
          <w:rFonts w:hint="eastAsia" w:ascii="仿宋" w:hAnsi="仿宋" w:eastAsia="仿宋"/>
          <w:sz w:val="32"/>
          <w:szCs w:val="32"/>
          <w:highlight w:val="none"/>
        </w:rPr>
        <w:t>我</w:t>
      </w:r>
      <w:r>
        <w:rPr>
          <w:rFonts w:hint="eastAsia" w:ascii="仿宋" w:hAnsi="仿宋" w:eastAsia="仿宋"/>
          <w:sz w:val="32"/>
          <w:szCs w:val="32"/>
          <w:highlight w:val="none"/>
          <w:lang w:eastAsia="zh-CN"/>
        </w:rPr>
        <w:t>办</w:t>
      </w:r>
      <w:r>
        <w:rPr>
          <w:rFonts w:hint="eastAsia" w:ascii="仿宋" w:hAnsi="仿宋" w:eastAsia="仿宋"/>
          <w:sz w:val="32"/>
          <w:szCs w:val="32"/>
          <w:highlight w:val="none"/>
        </w:rPr>
        <w:t>为推进本年度预算绩效评价工作，成立绩效工作组，</w:t>
      </w:r>
      <w:r>
        <w:rPr>
          <w:rFonts w:hint="eastAsia" w:ascii="仿宋" w:hAnsi="仿宋" w:eastAsia="仿宋"/>
          <w:sz w:val="32"/>
          <w:szCs w:val="32"/>
          <w:highlight w:val="none"/>
          <w:lang w:val="en-US" w:eastAsia="zh-CN"/>
        </w:rPr>
        <w:t>分管财务</w:t>
      </w:r>
      <w:r>
        <w:rPr>
          <w:rFonts w:hint="eastAsia" w:ascii="仿宋" w:hAnsi="仿宋" w:eastAsia="仿宋"/>
          <w:sz w:val="32"/>
          <w:szCs w:val="32"/>
          <w:highlight w:val="none"/>
        </w:rPr>
        <w:t>副主任任组长，</w:t>
      </w:r>
      <w:r>
        <w:rPr>
          <w:rFonts w:hint="eastAsia" w:ascii="仿宋" w:hAnsi="仿宋" w:eastAsia="仿宋"/>
          <w:sz w:val="32"/>
          <w:szCs w:val="32"/>
          <w:highlight w:val="none"/>
          <w:lang w:val="en-US" w:eastAsia="zh-CN"/>
        </w:rPr>
        <w:t>各科室科长及业务工作人员</w:t>
      </w:r>
      <w:r>
        <w:rPr>
          <w:rFonts w:hint="eastAsia" w:ascii="仿宋" w:hAnsi="仿宋" w:eastAsia="仿宋"/>
          <w:sz w:val="32"/>
          <w:szCs w:val="32"/>
          <w:highlight w:val="none"/>
        </w:rPr>
        <w:t>为成员，负责绩效评价的组织管理和实施工作。按照通知要求，评价工作组制定自评工作方案，明确评价内容、评价程序及时间安排。组织相关人员召开专题会议，传达自评价工作要求和部署各项工作安排。全面收集评价所需基础信息资料并对资料进行分类整理、审查和分析自评的方法和过程。</w:t>
      </w:r>
    </w:p>
    <w:p w14:paraId="65DC4A06">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val="en-US" w:eastAsia="zh-CN"/>
        </w:rPr>
        <w:t>2.</w:t>
      </w:r>
      <w:r>
        <w:rPr>
          <w:rFonts w:hint="eastAsia" w:ascii="仿宋" w:hAnsi="仿宋" w:eastAsia="仿宋"/>
          <w:sz w:val="32"/>
          <w:szCs w:val="32"/>
          <w:highlight w:val="none"/>
        </w:rPr>
        <w:t>评价过程</w:t>
      </w:r>
    </w:p>
    <w:p w14:paraId="1DAFD53D">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按照绩效评价工作要求，明确绩效评价的内容和范围，初步制定绩效评价工作方案。对我办各预算项目单独进行打分自评，在资料搜集、信息核实、现场调研、访谈沟通等工作的基础上，挖掘绩效数据，拟定项目产出、项目执行、项目效益等指标体系，准确地计量和评判各项目实施后产生的社会效益和可持续影响，最终形成评价结论。</w:t>
      </w:r>
      <w:r>
        <w:rPr>
          <w:rFonts w:hint="eastAsia" w:ascii="仿宋" w:hAnsi="仿宋" w:eastAsia="仿宋"/>
          <w:sz w:val="32"/>
          <w:szCs w:val="32"/>
          <w:highlight w:val="none"/>
          <w:lang w:eastAsia="zh-CN"/>
        </w:rPr>
        <w:t>综合科</w:t>
      </w:r>
      <w:r>
        <w:rPr>
          <w:rFonts w:hint="eastAsia" w:ascii="仿宋" w:hAnsi="仿宋" w:eastAsia="仿宋"/>
          <w:sz w:val="32"/>
          <w:szCs w:val="32"/>
          <w:highlight w:val="none"/>
        </w:rPr>
        <w:t>对绩效的相关资料进行收集、梳理。一是通过分析、核实，确保所收集数据、资料的真实、可靠。二是逐一梳理各项目文件内容，形成资料清单，并对存在的问题及时进行标注。三是与项目负责人沟通，直接对照资料清单进行核实，随时处理标注的问题，确保已提交及需补充的资料能准确反映项目绩效目标实现情况。</w:t>
      </w:r>
      <w:r>
        <w:rPr>
          <w:rFonts w:hint="eastAsia" w:ascii="仿宋" w:hAnsi="仿宋" w:eastAsia="仿宋"/>
          <w:sz w:val="32"/>
          <w:szCs w:val="32"/>
          <w:highlight w:val="none"/>
          <w:lang w:eastAsia="zh-CN"/>
        </w:rPr>
        <w:t>综合科</w:t>
      </w:r>
      <w:r>
        <w:rPr>
          <w:rFonts w:hint="eastAsia" w:ascii="仿宋" w:hAnsi="仿宋" w:eastAsia="仿宋"/>
          <w:sz w:val="32"/>
          <w:szCs w:val="32"/>
          <w:highlight w:val="none"/>
        </w:rPr>
        <w:t>在对收集到的项目数据、资料进行核对、比较、计算的基础上，对比年初项目绩效目标，形成评价结论；根据结论，撰写项目绩效自评表及重点项目绩效评价报告，并提交领导小组审定。</w:t>
      </w:r>
    </w:p>
    <w:p w14:paraId="0059C0A7">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评价工作管理</w:t>
      </w:r>
    </w:p>
    <w:p w14:paraId="349D8322">
      <w:pPr>
        <w:spacing w:line="560" w:lineRule="exact"/>
        <w:ind w:firstLine="640" w:firstLineChars="200"/>
        <w:rPr>
          <w:rFonts w:ascii="仿宋" w:hAnsi="仿宋" w:eastAsia="仿宋"/>
          <w:sz w:val="32"/>
          <w:szCs w:val="32"/>
          <w:highlight w:val="none"/>
        </w:rPr>
      </w:pPr>
      <w:r>
        <w:rPr>
          <w:rFonts w:hint="eastAsia" w:ascii="仿宋" w:hAnsi="仿宋" w:eastAsia="仿宋"/>
          <w:sz w:val="32"/>
          <w:szCs w:val="32"/>
          <w:highlight w:val="none"/>
        </w:rPr>
        <w:t>本次绩效自评结合我</w:t>
      </w:r>
      <w:r>
        <w:rPr>
          <w:rFonts w:hint="eastAsia" w:ascii="仿宋" w:hAnsi="仿宋" w:eastAsia="仿宋"/>
          <w:sz w:val="32"/>
          <w:szCs w:val="32"/>
          <w:highlight w:val="none"/>
          <w:lang w:eastAsia="zh-CN"/>
        </w:rPr>
        <w:t>办</w:t>
      </w:r>
      <w:r>
        <w:rPr>
          <w:rFonts w:hint="eastAsia" w:ascii="仿宋" w:hAnsi="仿宋" w:eastAsia="仿宋"/>
          <w:sz w:val="32"/>
          <w:szCs w:val="32"/>
          <w:highlight w:val="none"/>
        </w:rPr>
        <w:t>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年度部门整体支出实际情况，运用科学、规范、合理的评价方法，全面、真实、客观地对我</w:t>
      </w:r>
      <w:r>
        <w:rPr>
          <w:rFonts w:hint="eastAsia" w:ascii="仿宋" w:hAnsi="仿宋" w:eastAsia="仿宋"/>
          <w:sz w:val="32"/>
          <w:szCs w:val="32"/>
          <w:highlight w:val="none"/>
          <w:lang w:eastAsia="zh-CN"/>
        </w:rPr>
        <w:t>办</w:t>
      </w:r>
      <w:r>
        <w:rPr>
          <w:rFonts w:hint="eastAsia" w:ascii="仿宋" w:hAnsi="仿宋" w:eastAsia="仿宋"/>
          <w:sz w:val="32"/>
          <w:szCs w:val="32"/>
          <w:highlight w:val="none"/>
          <w:lang w:val="en-US" w:eastAsia="zh-CN"/>
        </w:rPr>
        <w:t>2025</w:t>
      </w:r>
      <w:r>
        <w:rPr>
          <w:rFonts w:hint="eastAsia" w:ascii="仿宋" w:hAnsi="仿宋" w:eastAsia="仿宋"/>
          <w:sz w:val="32"/>
          <w:szCs w:val="32"/>
          <w:highlight w:val="none"/>
        </w:rPr>
        <w:t>年度一般公共预算财政拨款资金支出情况、相关制度健全性、项目完成情况及部门履职效果等内容进行综合评价</w:t>
      </w:r>
      <w:r>
        <w:rPr>
          <w:rFonts w:hint="eastAsia" w:ascii="仿宋" w:hAnsi="仿宋" w:eastAsia="仿宋"/>
          <w:sz w:val="32"/>
          <w:szCs w:val="32"/>
          <w:highlight w:val="none"/>
          <w:lang w:eastAsia="zh-CN"/>
        </w:rPr>
        <w:t>，</w:t>
      </w:r>
      <w:r>
        <w:rPr>
          <w:rFonts w:hint="eastAsia" w:ascii="仿宋" w:hAnsi="仿宋" w:eastAsia="仿宋"/>
          <w:sz w:val="32"/>
          <w:szCs w:val="32"/>
          <w:highlight w:val="none"/>
        </w:rPr>
        <w:t>全面反映财政资金使用成效和部门职能的实现程度，针对评价过程中发现的问题进一步提出相关意见建议，为以后我</w:t>
      </w:r>
      <w:r>
        <w:rPr>
          <w:rFonts w:hint="eastAsia" w:ascii="仿宋" w:hAnsi="仿宋" w:eastAsia="仿宋"/>
          <w:sz w:val="32"/>
          <w:szCs w:val="32"/>
          <w:highlight w:val="none"/>
          <w:lang w:eastAsia="zh-CN"/>
        </w:rPr>
        <w:t>办</w:t>
      </w:r>
      <w:r>
        <w:rPr>
          <w:rFonts w:hint="eastAsia" w:ascii="仿宋" w:hAnsi="仿宋" w:eastAsia="仿宋"/>
          <w:sz w:val="32"/>
          <w:szCs w:val="32"/>
          <w:highlight w:val="none"/>
        </w:rPr>
        <w:t>履行部门职责作出更好的预算管理和资金安排。</w:t>
      </w:r>
    </w:p>
    <w:p w14:paraId="3F197762">
      <w:pPr>
        <w:numPr>
          <w:ilvl w:val="0"/>
          <w:numId w:val="2"/>
        </w:numPr>
        <w:spacing w:line="560" w:lineRule="exact"/>
        <w:rPr>
          <w:rFonts w:ascii="楷体" w:hAnsi="楷体" w:eastAsia="楷体" w:cs="楷体_GB2312"/>
          <w:bCs/>
          <w:sz w:val="32"/>
          <w:szCs w:val="32"/>
          <w:highlight w:val="none"/>
        </w:rPr>
      </w:pPr>
      <w:r>
        <w:rPr>
          <w:rFonts w:hint="eastAsia" w:ascii="楷体" w:hAnsi="楷体" w:eastAsia="楷体" w:cs="楷体_GB2312"/>
          <w:bCs/>
          <w:sz w:val="32"/>
          <w:szCs w:val="32"/>
          <w:highlight w:val="none"/>
        </w:rPr>
        <w:t>自评的方法和过程</w:t>
      </w:r>
    </w:p>
    <w:p w14:paraId="305E2A4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bCs/>
          <w:sz w:val="32"/>
          <w:szCs w:val="32"/>
          <w:highlight w:val="none"/>
        </w:rPr>
      </w:pPr>
      <w:r>
        <w:rPr>
          <w:rFonts w:hint="eastAsia" w:ascii="CESI仿宋-GB2312" w:hAnsi="CESI仿宋-GB2312" w:eastAsia="CESI仿宋-GB2312" w:cs="CESI仿宋-GB2312"/>
          <w:bCs/>
          <w:sz w:val="32"/>
          <w:szCs w:val="32"/>
          <w:highlight w:val="none"/>
        </w:rPr>
        <w:t>此次绩效自评运用科学合理的方法，按照规范的程序，对我</w:t>
      </w:r>
      <w:r>
        <w:rPr>
          <w:rFonts w:hint="eastAsia" w:ascii="CESI仿宋-GB2312" w:hAnsi="CESI仿宋-GB2312" w:eastAsia="CESI仿宋-GB2312" w:cs="CESI仿宋-GB2312"/>
          <w:bCs/>
          <w:sz w:val="32"/>
          <w:szCs w:val="32"/>
          <w:highlight w:val="none"/>
          <w:lang w:eastAsia="zh-CN"/>
        </w:rPr>
        <w:t>办</w:t>
      </w:r>
      <w:r>
        <w:rPr>
          <w:rFonts w:hint="eastAsia" w:ascii="CESI仿宋-GB2312" w:hAnsi="CESI仿宋-GB2312" w:eastAsia="CESI仿宋-GB2312" w:cs="CESI仿宋-GB2312"/>
          <w:bCs/>
          <w:sz w:val="32"/>
          <w:szCs w:val="32"/>
          <w:highlight w:val="none"/>
        </w:rPr>
        <w:t>部门整体预算资金使用绩效进行客观、公正的反映</w:t>
      </w:r>
      <w:r>
        <w:rPr>
          <w:rFonts w:hint="eastAsia" w:ascii="CESI仿宋-GB2312" w:hAnsi="CESI仿宋-GB2312" w:eastAsia="CESI仿宋-GB2312" w:cs="CESI仿宋-GB2312"/>
          <w:bCs/>
          <w:sz w:val="32"/>
          <w:szCs w:val="32"/>
          <w:highlight w:val="none"/>
          <w:lang w:eastAsia="zh-CN"/>
        </w:rPr>
        <w:t>；</w:t>
      </w:r>
      <w:r>
        <w:rPr>
          <w:rFonts w:hint="eastAsia" w:ascii="CESI仿宋-GB2312" w:hAnsi="CESI仿宋-GB2312" w:eastAsia="CESI仿宋-GB2312" w:cs="CESI仿宋-GB2312"/>
          <w:bCs/>
          <w:sz w:val="32"/>
          <w:szCs w:val="32"/>
          <w:highlight w:val="none"/>
        </w:rPr>
        <w:t>绩效自评结果上报财政部门作为财政自评参考依据</w:t>
      </w:r>
      <w:r>
        <w:rPr>
          <w:rFonts w:hint="eastAsia" w:ascii="CESI仿宋-GB2312" w:hAnsi="CESI仿宋-GB2312" w:eastAsia="CESI仿宋-GB2312" w:cs="CESI仿宋-GB2312"/>
          <w:bCs/>
          <w:sz w:val="32"/>
          <w:szCs w:val="32"/>
          <w:highlight w:val="none"/>
          <w:lang w:eastAsia="zh-CN"/>
        </w:rPr>
        <w:t>，</w:t>
      </w:r>
      <w:r>
        <w:rPr>
          <w:rFonts w:hint="eastAsia" w:ascii="CESI仿宋-GB2312" w:hAnsi="CESI仿宋-GB2312" w:eastAsia="CESI仿宋-GB2312" w:cs="CESI仿宋-GB2312"/>
          <w:bCs/>
          <w:sz w:val="32"/>
          <w:szCs w:val="32"/>
          <w:highlight w:val="none"/>
        </w:rPr>
        <w:t>此次绩效自评结果与预算安排、政策调整、改进管理实质性挂钩。</w:t>
      </w:r>
    </w:p>
    <w:p w14:paraId="33BBD6E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highlight w:val="none"/>
        </w:rPr>
      </w:pPr>
      <w:r>
        <w:rPr>
          <w:rFonts w:hint="eastAsia" w:ascii="CESI仿宋-GB2312" w:hAnsi="CESI仿宋-GB2312" w:eastAsia="CESI仿宋-GB2312" w:cs="CESI仿宋-GB2312"/>
          <w:bCs/>
          <w:sz w:val="32"/>
          <w:szCs w:val="32"/>
          <w:highlight w:val="none"/>
          <w:lang w:val="en-US" w:eastAsia="zh-CN"/>
        </w:rPr>
        <w:t>本次绩效自评将资金使用产出及效果与年初指标值相比较，对完成值低于指标值较多的，分析其形成原因，针对评价过程中发现的问题进一步提出相关意见建议，为以后我办履行部门职责作出更好的预算管理和资金安排。</w:t>
      </w:r>
    </w:p>
    <w:p w14:paraId="32BC7DB8">
      <w:pPr>
        <w:spacing w:line="560" w:lineRule="exact"/>
        <w:rPr>
          <w:rFonts w:ascii="黑体" w:hAnsi="黑体" w:eastAsia="黑体"/>
          <w:b/>
          <w:bCs/>
          <w:sz w:val="32"/>
          <w:szCs w:val="32"/>
          <w:highlight w:val="none"/>
        </w:rPr>
      </w:pPr>
      <w:r>
        <w:rPr>
          <w:rFonts w:hint="eastAsia" w:ascii="黑体" w:hAnsi="黑体" w:eastAsia="黑体"/>
          <w:sz w:val="32"/>
          <w:szCs w:val="32"/>
          <w:highlight w:val="none"/>
        </w:rPr>
        <w:t xml:space="preserve">    三、部门整体支出绩效目标实现情况及指标分析</w:t>
      </w:r>
    </w:p>
    <w:p w14:paraId="4097B192">
      <w:pPr>
        <w:numPr>
          <w:ilvl w:val="0"/>
          <w:numId w:val="3"/>
        </w:numPr>
        <w:spacing w:line="560" w:lineRule="exact"/>
        <w:ind w:firstLine="640" w:firstLineChars="200"/>
        <w:rPr>
          <w:rFonts w:ascii="楷体" w:hAnsi="楷体" w:eastAsia="楷体" w:cs="楷体_GB2312"/>
          <w:bCs/>
          <w:sz w:val="32"/>
          <w:szCs w:val="32"/>
          <w:highlight w:val="none"/>
        </w:rPr>
      </w:pPr>
      <w:r>
        <w:rPr>
          <w:rFonts w:hint="eastAsia" w:ascii="楷体" w:hAnsi="楷体" w:eastAsia="楷体" w:cs="楷体_GB2312"/>
          <w:bCs/>
          <w:sz w:val="32"/>
          <w:szCs w:val="32"/>
          <w:highlight w:val="none"/>
        </w:rPr>
        <w:t>总体绩效目标实现情况</w:t>
      </w:r>
    </w:p>
    <w:p w14:paraId="06DAA73A">
      <w:pPr>
        <w:spacing w:line="560" w:lineRule="exact"/>
        <w:ind w:firstLine="960" w:firstLineChars="300"/>
        <w:rPr>
          <w:rFonts w:hint="eastAsia" w:ascii="仿宋" w:hAnsi="仿宋" w:eastAsia="仿宋" w:cs="楷体_GB2312"/>
          <w:b/>
          <w:bCs/>
          <w:sz w:val="32"/>
          <w:szCs w:val="32"/>
          <w:highlight w:val="none"/>
        </w:rPr>
      </w:pPr>
      <w:r>
        <w:rPr>
          <w:rFonts w:hint="eastAsia" w:ascii="仿宋" w:hAnsi="仿宋" w:eastAsia="仿宋"/>
          <w:sz w:val="32"/>
          <w:szCs w:val="32"/>
          <w:highlight w:val="none"/>
        </w:rPr>
        <w:t>2025年，在市委、市政府的坚强领导下，市委金融办（市委金融工委、市地方金融管理局）坚持以习近平新时代中国特色社会主义思想为指导，深入学习贯彻习近平总书记关于金融工作的重要论述，认真落实党中央重大决策和省、市委工作部署，紧扣“防风险、强监管、促高质量发展”工作主线，攻坚克难、锐意进取，圆满完成年度各项目标任务，为全市经济总量稳步提升、发展质效持续优化注入了强劲金融动能。</w:t>
      </w:r>
      <w:r>
        <w:rPr>
          <w:rFonts w:hint="eastAsia" w:ascii="仿宋" w:hAnsi="仿宋" w:eastAsia="仿宋" w:cs="楷体_GB2312"/>
          <w:b/>
          <w:bCs/>
          <w:sz w:val="32"/>
          <w:szCs w:val="32"/>
          <w:highlight w:val="none"/>
        </w:rPr>
        <w:t xml:space="preserve">    </w:t>
      </w:r>
    </w:p>
    <w:p w14:paraId="231EE10A">
      <w:pPr>
        <w:spacing w:line="560" w:lineRule="exact"/>
        <w:ind w:firstLine="640" w:firstLineChars="200"/>
        <w:rPr>
          <w:rFonts w:ascii="楷体" w:hAnsi="楷体" w:eastAsia="楷体"/>
          <w:bCs/>
          <w:sz w:val="32"/>
          <w:szCs w:val="32"/>
          <w:highlight w:val="none"/>
        </w:rPr>
      </w:pPr>
      <w:r>
        <w:rPr>
          <w:rFonts w:hint="eastAsia" w:ascii="楷体" w:hAnsi="楷体" w:eastAsia="楷体" w:cs="楷体_GB2312"/>
          <w:bCs/>
          <w:sz w:val="32"/>
          <w:szCs w:val="32"/>
          <w:highlight w:val="none"/>
        </w:rPr>
        <w:t>（二）分项绩效目标实现情况及指标分析</w:t>
      </w:r>
    </w:p>
    <w:p w14:paraId="451A0E78">
      <w:pPr>
        <w:spacing w:line="560" w:lineRule="exact"/>
        <w:ind w:firstLine="640" w:firstLineChars="200"/>
        <w:rPr>
          <w:rFonts w:hint="default"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rPr>
        <w:t>1.</w:t>
      </w:r>
      <w:r>
        <w:rPr>
          <w:rFonts w:hint="eastAsia" w:ascii="仿宋" w:hAnsi="仿宋" w:eastAsia="仿宋"/>
          <w:b w:val="0"/>
          <w:bCs w:val="0"/>
          <w:sz w:val="32"/>
          <w:szCs w:val="32"/>
          <w:highlight w:val="none"/>
          <w:lang w:val="en-US" w:eastAsia="zh-CN"/>
        </w:rPr>
        <w:t>办公设备购置0.57万元。用于办公设备或办公家具购置，保障机关工作运行，实际支出0.57万元，预算执行率为100%。支出金额已达到该项工作预期要求。自评得分100分。</w:t>
      </w:r>
    </w:p>
    <w:p w14:paraId="71DD1156">
      <w:pPr>
        <w:spacing w:line="560" w:lineRule="exact"/>
        <w:ind w:firstLine="640" w:firstLineChars="200"/>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2.党组织活动经费4.24万元。用于购置党员学习资料、组织参观培训学习等。实际支出3.81万元，预算执行率89.98%，包括开展党组织活动7次，党员参与率100%，党组织活动开展频次，达到每季度至少一次，购买学习书籍1.3万元，党组织活动费用1.08万元，党员建言献策比率达到96%。支出金额已达到该项工作预期要求。自评得分99分。</w:t>
      </w:r>
    </w:p>
    <w:p w14:paraId="26C64496">
      <w:pPr>
        <w:pStyle w:val="2"/>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3.文件资料印刷2.59万元。用于印刷各类资料，保证更好的开展各项工作，提高工作效率。实际支出2.59万元，预算执行率100%，包括印刷金融动态12批，印刷专项业务所需文件等，印刷质量合格率100%，单笔印刷费用小于5000元。支出金额已达到该项工作预期要求。自评得分100分。</w:t>
      </w:r>
    </w:p>
    <w:p w14:paraId="6BD55295">
      <w:pPr>
        <w:pStyle w:val="2"/>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4.业务培训费1.35万元。用于业务培训，提升工作人员业务水平，促进金融工作发展。实际支出1.29万元，预算执行率95.85%，包括开展业务培训5场，人员参与率95%，单场培训低于5000元，受训人员业务应用率达到90%。支出金额已达到该项工作预期要求。自评得分99分。</w:t>
      </w:r>
    </w:p>
    <w:p w14:paraId="5825A668">
      <w:pPr>
        <w:pStyle w:val="2"/>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5.业务咨询委托费11.1万元。用于咨询内控体系建设、档案管理等业务，提升机关工作水平。实际支出11.1万元，预算执行率100%，包括委托业务机构协助整理档案、内控体系建设及更新等业务，高效通过业务审核及上报工作，委托事项通过率100%，委托工作按时限完成，单笔费用不超过5万元。支出金额已达到该项工作预期要求。自评得分99分。</w:t>
      </w:r>
    </w:p>
    <w:p w14:paraId="60C87030">
      <w:pPr>
        <w:pStyle w:val="2"/>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6.2025年台式电脑购置0.3124万元。用于办公电脑，保障机关工作运行。实际支出0.3124万元，预算执行率100%，包括购置办公电脑一台，满足了办公需求，提高了工作效率。支出金额已达到该项工作预期要求。自评得分99分。</w:t>
      </w:r>
    </w:p>
    <w:p w14:paraId="779E4A18">
      <w:pPr>
        <w:pStyle w:val="2"/>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7.“金十条”政策奖补资金190.81万元。用于落实金融政策，引导金融支持实体经济发展。实际支出190.81万元，预算执行率100%，包括发放奖补企业2家，新增服务小微企业和“三农”主体392户，支持融资担保公司为更多的小微企业和“三农”主体提供融资担保服务。支出金额已达到该项工作预期要求。自评得分97分。</w:t>
      </w:r>
    </w:p>
    <w:p w14:paraId="2327FF31">
      <w:pPr>
        <w:pStyle w:val="2"/>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8.《金融界》及融媒体提升金融影响力专项经费39万元。用于提高广大群众金融知识以及防范金融诈骗的意识，宣传金融服务实体经济发展的具体做法以及惠民政策，让市场主体提升获得感。实际支出39万元，预算执行率100%，包括制作52期节目，节目投放时间达到156天，节目审核通过率100%，每期节目制作费用不超过8000元，每期节目播放量达到每周9次。支出金额已达到该项工作预期要求。自评得分100分。</w:t>
      </w:r>
    </w:p>
    <w:p w14:paraId="0067C6A3">
      <w:pPr>
        <w:pStyle w:val="2"/>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9.地方金融监管专项经费42.</w:t>
      </w:r>
      <w:bookmarkStart w:id="1" w:name="_GoBack"/>
      <w:bookmarkEnd w:id="1"/>
      <w:r>
        <w:rPr>
          <w:rFonts w:hint="eastAsia" w:ascii="仿宋" w:hAnsi="仿宋" w:eastAsia="仿宋"/>
          <w:b w:val="0"/>
          <w:bCs w:val="0"/>
          <w:sz w:val="32"/>
          <w:szCs w:val="32"/>
          <w:highlight w:val="none"/>
          <w:lang w:val="en-US" w:eastAsia="zh-CN"/>
        </w:rPr>
        <w:t>2万元。用于强化地方金融组织监管，规范行业发展。实际支出39.19万元，预算执行率92.88%，包括检查企业27家，应检查企业覆盖率100%，开展检查审查费用28.59万元，金融行业标准化合规和业务平台委托服务费0.84万元，不合规企业清理67家。支出金额已达到该项工作预期要求。自评得分99分。</w:t>
      </w:r>
    </w:p>
    <w:p w14:paraId="673DC6FD">
      <w:pPr>
        <w:pStyle w:val="2"/>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10.防范和处置金融风险专项经费120万元。用于开展防范非法集资宣传，做好非法集资案件处置、东旭集团风险化解、其他金融风险及非法集资案件工作、12346防范非法金融活动专线、防范非法集资预警平台服务等相关工作。实际支出120万元，预算执行率100%，包括公交专车、地铁宣传车次57次，各县（市、区）集中宣传覆盖率100%，防范和处置非法集资宣传费用95.5万元，东旭集团风险化解费用0.56万元，其他金融风险及非法集资案件工作费用9.73万元，防范非法集资预警平台服务费用13万元，案件清退返款人数比例100%，金融风险案事件处置化解率50%。支出金额已达到该项工作预期要求。自评得分90分。</w:t>
      </w:r>
    </w:p>
    <w:p w14:paraId="41971D28">
      <w:pPr>
        <w:pStyle w:val="2"/>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11.人行石家庄中心支行经费补助1000万元。用于解决人行河北省分行经费困难，保障日常工作运行。实际支出1000万元，预算执行率100%，包括累计参加市委、市政府及市有关部门会议58次，全市本外币各项贷款余额全省首位，涉农贷款余额同比增长1000万元，累计办理市委、市政府及有关部门文件数量220件。支出金额已达到该项工作预期要求。自评得分100分。</w:t>
      </w:r>
    </w:p>
    <w:p w14:paraId="4D6DE14A">
      <w:pPr>
        <w:pStyle w:val="2"/>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12.2025年度因公出国（境）经费（市委金融委员会办公室袁丽华同志随团赴香港、澳门特别行政区）1.209615万元，用于进一步深化港澳金融管理部门及机构合作，做好金融风险防控，推动金融高质量发展。实际支出1.209615万元，预算执行率100%，包括出访地数量2个，交流访问对象10家，学习借鉴先进经验，推动金融高质量发展，奖补企业和金融机构数量392家，学习借鉴先进经验，做好金融风险防控，审计检查地方金融组织数量27家。支出金额已达到该项工作预期要求。自评得分100分。</w:t>
      </w:r>
    </w:p>
    <w:p w14:paraId="5AF0B892">
      <w:pPr>
        <w:pStyle w:val="2"/>
        <w:numPr>
          <w:ilvl w:val="0"/>
          <w:numId w:val="4"/>
        </w:numPr>
        <w:rPr>
          <w:rFonts w:hint="default"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河北资本市场大讲堂石家庄站活动经费14.3万元，用于落实省委、省政府关于金融服务实体经济高质量发展的有关要求，提升企业资本市场运作和现代金融工具应用能力，促进产业与资本深度融合。实际支出14.25万元，预算执行率99.64%，包括参加活动人员数量855人，参加地市覆盖率100%，实现提升企业资本市场运作和现代金融工具应用能力的目标。支出金额已达到该项工作预期要求。自评得分99分。</w:t>
      </w:r>
    </w:p>
    <w:p w14:paraId="40358302">
      <w:pPr>
        <w:pStyle w:val="2"/>
        <w:numPr>
          <w:ilvl w:val="0"/>
          <w:numId w:val="4"/>
        </w:numPr>
        <w:ind w:left="0" w:leftChars="0" w:firstLine="640" w:firstLineChars="200"/>
        <w:rPr>
          <w:rFonts w:hint="eastAsia" w:ascii="仿宋" w:hAnsi="仿宋" w:eastAsia="仿宋"/>
          <w:b w:val="0"/>
          <w:bCs w:val="0"/>
          <w:sz w:val="32"/>
          <w:szCs w:val="32"/>
          <w:highlight w:val="none"/>
          <w:lang w:val="en-US" w:eastAsia="zh-CN"/>
        </w:rPr>
      </w:pPr>
      <w:r>
        <w:rPr>
          <w:rFonts w:hint="eastAsia" w:ascii="仿宋" w:hAnsi="仿宋" w:eastAsia="仿宋"/>
          <w:b w:val="0"/>
          <w:bCs w:val="0"/>
          <w:sz w:val="32"/>
          <w:szCs w:val="32"/>
          <w:highlight w:val="none"/>
          <w:lang w:val="en-US" w:eastAsia="zh-CN"/>
        </w:rPr>
        <w:t>东旭集团风险化解工作相关经费149.51万元，用于有序推进东旭集团风险化解工作。实际支出149.49万元，预算执行率99.99%，包括成立专班下设5个工作组，妥善化解东旭集团现阶段可能引发的各种风险，集中办公费用79.07万元，驻企帮扶费用69.33万元，调查取证费用1.09万元，研判信访信息50条。支出金额已达到该项工作预期要求。自评得分89分。</w:t>
      </w:r>
    </w:p>
    <w:p w14:paraId="05D6C464">
      <w:pPr>
        <w:pStyle w:val="2"/>
        <w:numPr>
          <w:ilvl w:val="0"/>
          <w:numId w:val="4"/>
        </w:numPr>
        <w:ind w:left="0" w:leftChars="0" w:firstLine="640" w:firstLineChars="200"/>
        <w:rPr>
          <w:rFonts w:hint="eastAsia"/>
          <w:b w:val="0"/>
          <w:bCs w:val="0"/>
          <w:sz w:val="32"/>
          <w:szCs w:val="32"/>
          <w:highlight w:val="none"/>
        </w:rPr>
      </w:pPr>
      <w:r>
        <w:rPr>
          <w:rFonts w:hint="default" w:ascii="仿宋" w:hAnsi="仿宋" w:eastAsia="仿宋"/>
          <w:b w:val="0"/>
          <w:bCs w:val="0"/>
          <w:sz w:val="32"/>
          <w:szCs w:val="32"/>
          <w:highlight w:val="none"/>
          <w:lang w:val="en-US" w:eastAsia="zh-CN"/>
        </w:rPr>
        <w:t>东旭集团风险化解第二阶段专项经费</w:t>
      </w:r>
      <w:r>
        <w:rPr>
          <w:rFonts w:hint="eastAsia" w:ascii="仿宋" w:hAnsi="仿宋" w:eastAsia="仿宋"/>
          <w:b w:val="0"/>
          <w:bCs w:val="0"/>
          <w:sz w:val="32"/>
          <w:szCs w:val="32"/>
          <w:highlight w:val="none"/>
          <w:lang w:val="en-US" w:eastAsia="zh-CN"/>
        </w:rPr>
        <w:t>62.57万元，用于有序推进东旭集团风险化解工作。实际支出62.57万元，预算执行率100%，包括成立专班下设5个工作组，妥善化解东旭集团现阶段可能引发的各种风险，集中办公费用62.57万元，研判信访信息50条。支出金额已达到该项工作预期要求。自评得分100分。</w:t>
      </w:r>
    </w:p>
    <w:p w14:paraId="714C4B2F">
      <w:pPr>
        <w:spacing w:line="560" w:lineRule="exact"/>
        <w:ind w:firstLine="640" w:firstLineChars="200"/>
        <w:rPr>
          <w:rFonts w:ascii="黑体" w:hAnsi="黑体" w:eastAsia="黑体"/>
          <w:sz w:val="32"/>
          <w:szCs w:val="32"/>
          <w:highlight w:val="none"/>
        </w:rPr>
      </w:pPr>
      <w:r>
        <w:rPr>
          <w:rFonts w:hint="eastAsia" w:ascii="黑体" w:hAnsi="黑体" w:eastAsia="黑体"/>
          <w:sz w:val="32"/>
          <w:szCs w:val="32"/>
          <w:highlight w:val="none"/>
        </w:rPr>
        <w:t>四、评价结论和评价等级</w:t>
      </w:r>
    </w:p>
    <w:p w14:paraId="4D7FA73A">
      <w:pPr>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根据部门职责定位和各项工作履职情况进行综合评价，我</w:t>
      </w:r>
      <w:r>
        <w:rPr>
          <w:rFonts w:hint="eastAsia" w:ascii="仿宋" w:hAnsi="仿宋" w:eastAsia="仿宋"/>
          <w:sz w:val="32"/>
          <w:szCs w:val="32"/>
          <w:highlight w:val="none"/>
          <w:lang w:eastAsia="zh-CN"/>
        </w:rPr>
        <w:t>办</w:t>
      </w:r>
      <w:r>
        <w:rPr>
          <w:rFonts w:hint="eastAsia" w:ascii="仿宋" w:hAnsi="仿宋" w:eastAsia="仿宋"/>
          <w:sz w:val="32"/>
          <w:szCs w:val="32"/>
          <w:highlight w:val="none"/>
        </w:rPr>
        <w:t>资金支出率为9</w:t>
      </w:r>
      <w:r>
        <w:rPr>
          <w:rFonts w:hint="eastAsia" w:ascii="仿宋" w:hAnsi="仿宋" w:eastAsia="仿宋"/>
          <w:sz w:val="32"/>
          <w:szCs w:val="32"/>
          <w:highlight w:val="none"/>
          <w:lang w:val="en-US" w:eastAsia="zh-CN"/>
        </w:rPr>
        <w:t>9</w:t>
      </w:r>
      <w:r>
        <w:rPr>
          <w:rFonts w:hint="eastAsia" w:ascii="仿宋" w:hAnsi="仿宋" w:eastAsia="仿宋"/>
          <w:sz w:val="32"/>
          <w:szCs w:val="32"/>
          <w:highlight w:val="none"/>
        </w:rPr>
        <w:t>.</w:t>
      </w:r>
      <w:r>
        <w:rPr>
          <w:rFonts w:hint="eastAsia" w:ascii="仿宋" w:hAnsi="仿宋" w:eastAsia="仿宋"/>
          <w:sz w:val="32"/>
          <w:szCs w:val="32"/>
          <w:highlight w:val="none"/>
          <w:lang w:val="en-US" w:eastAsia="zh-CN"/>
        </w:rPr>
        <w:t>15</w:t>
      </w:r>
      <w:r>
        <w:rPr>
          <w:rFonts w:hint="eastAsia" w:ascii="仿宋" w:hAnsi="仿宋" w:eastAsia="仿宋"/>
          <w:sz w:val="32"/>
          <w:szCs w:val="32"/>
          <w:highlight w:val="none"/>
        </w:rPr>
        <w:t>%，各项工作产出、效益及满意度均基本实现年初既定目标，较为圆满的完成了年度任务，此次部门整体支出综合绩效评价为9</w:t>
      </w:r>
      <w:r>
        <w:rPr>
          <w:rFonts w:hint="eastAsia" w:ascii="仿宋" w:hAnsi="仿宋" w:eastAsia="仿宋"/>
          <w:sz w:val="32"/>
          <w:szCs w:val="32"/>
          <w:highlight w:val="none"/>
          <w:lang w:val="en-US" w:eastAsia="zh-CN"/>
        </w:rPr>
        <w:t>9.15</w:t>
      </w:r>
      <w:r>
        <w:rPr>
          <w:rFonts w:hint="eastAsia" w:ascii="仿宋" w:hAnsi="仿宋" w:eastAsia="仿宋"/>
          <w:sz w:val="32"/>
          <w:szCs w:val="32"/>
          <w:highlight w:val="none"/>
        </w:rPr>
        <w:t>分，等级为“优秀”。</w:t>
      </w:r>
    </w:p>
    <w:p w14:paraId="2520E42E">
      <w:pPr>
        <w:spacing w:line="560" w:lineRule="exact"/>
        <w:ind w:firstLine="640" w:firstLineChars="200"/>
        <w:rPr>
          <w:rFonts w:ascii="黑体" w:hAnsi="黑体" w:eastAsia="黑体"/>
          <w:sz w:val="32"/>
          <w:szCs w:val="32"/>
          <w:highlight w:val="none"/>
        </w:rPr>
      </w:pPr>
      <w:r>
        <w:rPr>
          <w:rFonts w:hint="eastAsia" w:ascii="黑体" w:hAnsi="黑体" w:eastAsia="黑体"/>
          <w:sz w:val="32"/>
          <w:szCs w:val="32"/>
          <w:highlight w:val="none"/>
        </w:rPr>
        <w:t>五、存在的问题及改进措施</w:t>
      </w:r>
    </w:p>
    <w:p w14:paraId="586F7AC6">
      <w:pPr>
        <w:spacing w:line="560" w:lineRule="exact"/>
        <w:ind w:firstLine="640" w:firstLineChars="200"/>
        <w:rPr>
          <w:rFonts w:hint="eastAsia" w:ascii="楷体" w:hAnsi="楷体" w:eastAsia="楷体"/>
          <w:bCs/>
          <w:sz w:val="32"/>
          <w:szCs w:val="32"/>
          <w:highlight w:val="none"/>
        </w:rPr>
      </w:pPr>
      <w:r>
        <w:rPr>
          <w:rFonts w:hint="eastAsia" w:ascii="楷体" w:hAnsi="楷体" w:eastAsia="楷体"/>
          <w:bCs/>
          <w:sz w:val="32"/>
          <w:szCs w:val="32"/>
          <w:highlight w:val="none"/>
        </w:rPr>
        <w:t>（一）存在的主要问题</w:t>
      </w:r>
    </w:p>
    <w:p w14:paraId="50C17267">
      <w:pPr>
        <w:pStyle w:val="2"/>
        <w:rPr>
          <w:rFonts w:hint="eastAsia" w:ascii="CESI仿宋-GB2312" w:hAnsi="CESI仿宋-GB2312" w:eastAsia="CESI仿宋-GB2312" w:cs="CESI仿宋-GB2312"/>
          <w:sz w:val="32"/>
          <w:szCs w:val="32"/>
          <w:highlight w:val="none"/>
        </w:rPr>
      </w:pPr>
      <w:r>
        <w:rPr>
          <w:rFonts w:hint="eastAsia" w:ascii="CESI仿宋-GB2312" w:hAnsi="CESI仿宋-GB2312" w:eastAsia="CESI仿宋-GB2312" w:cs="CESI仿宋-GB2312"/>
          <w:sz w:val="32"/>
          <w:szCs w:val="32"/>
          <w:highlight w:val="none"/>
        </w:rPr>
        <w:t>通过绩效自评，结合评价结果，我办绝大多数预算项目绩效目标设定清晰准确、易于评价，但是部分项目绩效指标设置不够细化，过于简单。</w:t>
      </w:r>
    </w:p>
    <w:p w14:paraId="546580A2">
      <w:pPr>
        <w:spacing w:line="560" w:lineRule="exact"/>
        <w:ind w:firstLine="640" w:firstLineChars="200"/>
        <w:rPr>
          <w:rFonts w:ascii="楷体" w:hAnsi="楷体" w:eastAsia="楷体"/>
          <w:bCs/>
          <w:sz w:val="32"/>
          <w:szCs w:val="32"/>
          <w:highlight w:val="none"/>
        </w:rPr>
      </w:pPr>
      <w:r>
        <w:rPr>
          <w:rFonts w:hint="eastAsia" w:ascii="楷体" w:hAnsi="楷体" w:eastAsia="楷体"/>
          <w:bCs/>
          <w:sz w:val="32"/>
          <w:szCs w:val="32"/>
          <w:highlight w:val="none"/>
        </w:rPr>
        <w:t>（二）针对问题提出具体的改进措施或建议</w:t>
      </w:r>
    </w:p>
    <w:p w14:paraId="74A5A686">
      <w:pPr>
        <w:pStyle w:val="2"/>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在整个绩效评价体系中，评价指标属于核心内容，同时也是高效开展评价工作的标准。我办在以后的工作中进一步细化、量化具体指标，完善绩效指标体系，提高绩效指标的科学性和可行性。</w:t>
      </w:r>
    </w:p>
    <w:p w14:paraId="1ECEBC62">
      <w:pPr>
        <w:adjustRightInd w:val="0"/>
        <w:snapToGrid w:val="0"/>
        <w:spacing w:line="560" w:lineRule="exact"/>
        <w:ind w:firstLine="640" w:firstLineChars="200"/>
        <w:outlineLvl w:val="0"/>
        <w:rPr>
          <w:rFonts w:ascii="黑体" w:hAnsi="黑体" w:eastAsia="黑体"/>
          <w:sz w:val="32"/>
          <w:szCs w:val="32"/>
          <w:highlight w:val="none"/>
        </w:rPr>
      </w:pPr>
      <w:bookmarkStart w:id="0" w:name="_Toc530"/>
      <w:r>
        <w:rPr>
          <w:rFonts w:hint="eastAsia" w:ascii="黑体" w:hAnsi="黑体" w:eastAsia="黑体"/>
          <w:sz w:val="32"/>
          <w:szCs w:val="32"/>
          <w:highlight w:val="none"/>
        </w:rPr>
        <w:t>六、评价工作组人员名单及签字（姓名、职务</w:t>
      </w:r>
      <w:r>
        <w:rPr>
          <w:rFonts w:hint="eastAsia" w:ascii="黑体" w:hAnsi="黑体" w:eastAsia="黑体"/>
          <w:sz w:val="32"/>
          <w:szCs w:val="32"/>
          <w:highlight w:val="none"/>
          <w:lang w:eastAsia="zh-CN"/>
        </w:rPr>
        <w:t>或</w:t>
      </w:r>
      <w:r>
        <w:rPr>
          <w:rFonts w:hint="eastAsia" w:ascii="黑体" w:hAnsi="黑体" w:eastAsia="黑体"/>
          <w:sz w:val="32"/>
          <w:szCs w:val="32"/>
          <w:highlight w:val="none"/>
        </w:rPr>
        <w:t>职称）</w:t>
      </w:r>
      <w:bookmarkEnd w:id="0"/>
    </w:p>
    <w:p w14:paraId="02B4521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组长：魏洪涛 副主任</w:t>
      </w:r>
    </w:p>
    <w:p w14:paraId="28FE3919">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组员</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刘雄飞 综合科科长</w:t>
      </w:r>
    </w:p>
    <w:p w14:paraId="0AF7C602">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          陈  旭 政策法规科科长、一级主任科员</w:t>
      </w:r>
    </w:p>
    <w:p w14:paraId="505BD1DA">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冯文平</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协调服务一科科长、一级主任科员</w:t>
      </w:r>
    </w:p>
    <w:p w14:paraId="3A732E02">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胡美妹</w:t>
      </w:r>
      <w:r>
        <w:rPr>
          <w:rFonts w:hint="eastAsia" w:ascii="仿宋_GB2312" w:hAnsi="仿宋_GB2312" w:eastAsia="仿宋_GB2312" w:cs="仿宋_GB2312"/>
          <w:sz w:val="32"/>
          <w:szCs w:val="32"/>
          <w:highlight w:val="none"/>
          <w:lang w:val="en-US" w:eastAsia="zh-CN"/>
        </w:rPr>
        <w:t xml:space="preserve"> 协调服务二科</w:t>
      </w:r>
      <w:r>
        <w:rPr>
          <w:rFonts w:hint="eastAsia" w:ascii="仿宋_GB2312" w:hAnsi="仿宋_GB2312" w:eastAsia="仿宋_GB2312" w:cs="仿宋_GB2312"/>
          <w:sz w:val="32"/>
          <w:szCs w:val="32"/>
          <w:highlight w:val="none"/>
          <w:lang w:eastAsia="zh-CN"/>
        </w:rPr>
        <w:t>科长</w:t>
      </w:r>
    </w:p>
    <w:p w14:paraId="61CE580A">
      <w:pPr>
        <w:keepNext w:val="0"/>
        <w:keepLines w:val="0"/>
        <w:pageBreakBefore w:val="0"/>
        <w:widowControl w:val="0"/>
        <w:kinsoku/>
        <w:wordWrap/>
        <w:overflowPunct/>
        <w:topLinePunct w:val="0"/>
        <w:autoSpaceDE/>
        <w:autoSpaceDN/>
        <w:bidi w:val="0"/>
        <w:adjustRightInd/>
        <w:snapToGrid/>
        <w:spacing w:line="560" w:lineRule="exact"/>
        <w:ind w:left="0" w:leftChars="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孙国锋</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打击非法金融活动科科长、一级主任科员</w:t>
      </w:r>
      <w:r>
        <w:rPr>
          <w:rFonts w:hint="eastAsia" w:ascii="仿宋_GB2312" w:hAnsi="仿宋_GB2312" w:eastAsia="仿宋_GB2312" w:cs="仿宋_GB2312"/>
          <w:sz w:val="32"/>
          <w:szCs w:val="32"/>
          <w:highlight w:val="none"/>
          <w:lang w:val="en-US" w:eastAsia="zh-CN"/>
        </w:rPr>
        <w:t xml:space="preserve">   </w:t>
      </w:r>
    </w:p>
    <w:p w14:paraId="29DDB86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居春娣</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地方金融管理一科科长</w:t>
      </w:r>
    </w:p>
    <w:p w14:paraId="379E0925">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highlight w:val="none"/>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韩</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杰 地方金融管理二科科长</w:t>
      </w:r>
    </w:p>
    <w:p w14:paraId="774C3BDB">
      <w:pPr>
        <w:keepNext w:val="0"/>
        <w:keepLines w:val="0"/>
        <w:pageBreakBefore w:val="0"/>
        <w:widowControl w:val="0"/>
        <w:kinsoku/>
        <w:wordWrap/>
        <w:overflowPunct/>
        <w:topLinePunct w:val="0"/>
        <w:autoSpaceDE/>
        <w:autoSpaceDN/>
        <w:bidi w:val="0"/>
        <w:adjustRightInd/>
        <w:snapToGrid/>
        <w:spacing w:line="600" w:lineRule="exact"/>
        <w:ind w:left="0" w:leftChars="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          李  健 风险防控科科长</w:t>
      </w:r>
    </w:p>
    <w:p w14:paraId="0252B6B1">
      <w:pPr>
        <w:pStyle w:val="2"/>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彭秀文</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党建指导科科长</w:t>
      </w:r>
    </w:p>
    <w:p w14:paraId="02F9F10D">
      <w:pPr>
        <w:pStyle w:val="2"/>
        <w:ind w:firstLine="1600" w:firstLineChars="5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李晓源</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机关党总支专职副书记、一级主任科员</w:t>
      </w:r>
    </w:p>
    <w:p w14:paraId="58FD144C">
      <w:pPr>
        <w:keepNext w:val="0"/>
        <w:keepLines w:val="0"/>
        <w:pageBreakBefore w:val="0"/>
        <w:widowControl w:val="0"/>
        <w:kinsoku/>
        <w:wordWrap/>
        <w:overflowPunct/>
        <w:topLinePunct w:val="0"/>
        <w:autoSpaceDE/>
        <w:autoSpaceDN/>
        <w:bidi w:val="0"/>
        <w:adjustRightInd/>
        <w:snapToGrid/>
        <w:spacing w:line="560" w:lineRule="exact"/>
        <w:ind w:left="0" w:leftChars="0"/>
        <w:jc w:val="left"/>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封春珊</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综合科三级主任科员</w:t>
      </w:r>
    </w:p>
    <w:p w14:paraId="00216E15">
      <w:pPr>
        <w:pStyle w:val="2"/>
        <w:rPr>
          <w:rFonts w:hint="default" w:ascii="仿宋" w:hAnsi="仿宋" w:eastAsia="仿宋"/>
          <w:sz w:val="32"/>
          <w:szCs w:val="32"/>
          <w:highlight w:val="none"/>
          <w:lang w:val="en-US" w:eastAsia="zh-CN"/>
        </w:rPr>
      </w:pPr>
    </w:p>
    <w:p w14:paraId="2021781E">
      <w:pPr>
        <w:adjustRightInd w:val="0"/>
        <w:snapToGrid w:val="0"/>
        <w:spacing w:line="560" w:lineRule="exact"/>
        <w:ind w:firstLine="640" w:firstLineChars="200"/>
        <w:rPr>
          <w:rFonts w:ascii="黑体" w:hAnsi="黑体" w:eastAsia="黑体"/>
          <w:sz w:val="32"/>
          <w:szCs w:val="32"/>
        </w:rPr>
      </w:pPr>
    </w:p>
    <w:p w14:paraId="73E9FE2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 w:name="仿宋_GB2312">
    <w:altName w:val="仿宋"/>
    <w:panose1 w:val="02010609030101010101"/>
    <w:charset w:val="86"/>
    <w:family w:val="auto"/>
    <w:pitch w:val="default"/>
    <w:sig w:usb0="00000000" w:usb1="00000000" w:usb2="00000000" w:usb3="00000000" w:csb0="00040000" w:csb1="00000000"/>
  </w:font>
  <w:font w:name="KSOF557087D0">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996868">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1D3753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01D3753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05F212"/>
    <w:multiLevelType w:val="singleLevel"/>
    <w:tmpl w:val="B805F212"/>
    <w:lvl w:ilvl="0" w:tentative="0">
      <w:start w:val="13"/>
      <w:numFmt w:val="decimal"/>
      <w:lvlText w:val="%1."/>
      <w:lvlJc w:val="left"/>
      <w:pPr>
        <w:tabs>
          <w:tab w:val="left" w:pos="312"/>
        </w:tabs>
      </w:pPr>
    </w:lvl>
  </w:abstractNum>
  <w:abstractNum w:abstractNumId="1">
    <w:nsid w:val="C2EF0E23"/>
    <w:multiLevelType w:val="singleLevel"/>
    <w:tmpl w:val="C2EF0E23"/>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4"/>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59CAC1A"/>
    <w:rsid w:val="07956271"/>
    <w:rsid w:val="09721397"/>
    <w:rsid w:val="0BB63BED"/>
    <w:rsid w:val="0EB97A43"/>
    <w:rsid w:val="0EBD2122"/>
    <w:rsid w:val="0F214EAE"/>
    <w:rsid w:val="109127D2"/>
    <w:rsid w:val="11B71E6A"/>
    <w:rsid w:val="1AAF0063"/>
    <w:rsid w:val="1B740D26"/>
    <w:rsid w:val="1BE140DE"/>
    <w:rsid w:val="1E542E40"/>
    <w:rsid w:val="203D202F"/>
    <w:rsid w:val="24550F60"/>
    <w:rsid w:val="248C197D"/>
    <w:rsid w:val="252959AF"/>
    <w:rsid w:val="277A6671"/>
    <w:rsid w:val="27962024"/>
    <w:rsid w:val="292D35B7"/>
    <w:rsid w:val="30EC5135"/>
    <w:rsid w:val="31712FCE"/>
    <w:rsid w:val="33EB6CFF"/>
    <w:rsid w:val="35A12947"/>
    <w:rsid w:val="373053A4"/>
    <w:rsid w:val="37387040"/>
    <w:rsid w:val="3B625C0A"/>
    <w:rsid w:val="3BD7A2A0"/>
    <w:rsid w:val="3CEE1963"/>
    <w:rsid w:val="3DFF711F"/>
    <w:rsid w:val="3E7542E9"/>
    <w:rsid w:val="3EFD96AE"/>
    <w:rsid w:val="3FFBD1AE"/>
    <w:rsid w:val="436B78D3"/>
    <w:rsid w:val="4A526770"/>
    <w:rsid w:val="4C9C27FE"/>
    <w:rsid w:val="4E9C2420"/>
    <w:rsid w:val="4F5FE759"/>
    <w:rsid w:val="502A44B1"/>
    <w:rsid w:val="512260B4"/>
    <w:rsid w:val="512D422F"/>
    <w:rsid w:val="52BD6ACB"/>
    <w:rsid w:val="53843FA2"/>
    <w:rsid w:val="55537534"/>
    <w:rsid w:val="55FF491A"/>
    <w:rsid w:val="561A74F1"/>
    <w:rsid w:val="58B17416"/>
    <w:rsid w:val="597244E8"/>
    <w:rsid w:val="59DD79EF"/>
    <w:rsid w:val="5A795B42"/>
    <w:rsid w:val="5C4757D4"/>
    <w:rsid w:val="5EB71C30"/>
    <w:rsid w:val="5FFB0098"/>
    <w:rsid w:val="60EF398D"/>
    <w:rsid w:val="63A92BC4"/>
    <w:rsid w:val="64A885C6"/>
    <w:rsid w:val="65F811B5"/>
    <w:rsid w:val="66AF0CE5"/>
    <w:rsid w:val="66FF3FD3"/>
    <w:rsid w:val="68AC2130"/>
    <w:rsid w:val="68BBF459"/>
    <w:rsid w:val="6AC537CF"/>
    <w:rsid w:val="6C1061EE"/>
    <w:rsid w:val="6C124AEB"/>
    <w:rsid w:val="6E5B14A6"/>
    <w:rsid w:val="6FBFE1B7"/>
    <w:rsid w:val="6FD70D7C"/>
    <w:rsid w:val="711B255E"/>
    <w:rsid w:val="712E6ACA"/>
    <w:rsid w:val="73F5D283"/>
    <w:rsid w:val="73FF3881"/>
    <w:rsid w:val="75F7FE66"/>
    <w:rsid w:val="766E3D32"/>
    <w:rsid w:val="77FFFED3"/>
    <w:rsid w:val="783A251B"/>
    <w:rsid w:val="7ADAFCB6"/>
    <w:rsid w:val="7AF72938"/>
    <w:rsid w:val="7AFF2E0C"/>
    <w:rsid w:val="7BB51E06"/>
    <w:rsid w:val="7BC5A95E"/>
    <w:rsid w:val="7BCD329A"/>
    <w:rsid w:val="7BFFC0E6"/>
    <w:rsid w:val="7C387F7C"/>
    <w:rsid w:val="7E5F38E8"/>
    <w:rsid w:val="7EDBE36A"/>
    <w:rsid w:val="7FBD16EB"/>
    <w:rsid w:val="7FD77007"/>
    <w:rsid w:val="7FE83423"/>
    <w:rsid w:val="7FF3CE18"/>
    <w:rsid w:val="7FFED77B"/>
    <w:rsid w:val="83FF8660"/>
    <w:rsid w:val="A676F20E"/>
    <w:rsid w:val="B3BD899A"/>
    <w:rsid w:val="BEFD0908"/>
    <w:rsid w:val="BFBF90B6"/>
    <w:rsid w:val="CEF8B1F2"/>
    <w:rsid w:val="CFE914EE"/>
    <w:rsid w:val="D9B71BB5"/>
    <w:rsid w:val="DF3F34A4"/>
    <w:rsid w:val="DF6B81DB"/>
    <w:rsid w:val="DFCFA829"/>
    <w:rsid w:val="E3DDBBD0"/>
    <w:rsid w:val="EB7EEFFE"/>
    <w:rsid w:val="ED7B69EB"/>
    <w:rsid w:val="F5F70158"/>
    <w:rsid w:val="F65C48A3"/>
    <w:rsid w:val="F77FD19E"/>
    <w:rsid w:val="F8CF873F"/>
    <w:rsid w:val="FADF7F62"/>
    <w:rsid w:val="FB3FF01D"/>
    <w:rsid w:val="FBB38C85"/>
    <w:rsid w:val="FDF198C5"/>
    <w:rsid w:val="FE563B9A"/>
    <w:rsid w:val="FEF7FD79"/>
    <w:rsid w:val="FFBC2FEE"/>
    <w:rsid w:val="FFFD0F84"/>
    <w:rsid w:val="FFFEEA8D"/>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qFormat/>
    <w:uiPriority w:val="0"/>
    <w:pPr>
      <w:widowControl w:val="0"/>
      <w:ind w:firstLine="420" w:firstLineChars="200"/>
      <w:jc w:val="both"/>
    </w:pPr>
    <w:rPr>
      <w:rFonts w:ascii="Calibri" w:hAnsi="Calibri" w:eastAsia="宋体" w:cs="黑体"/>
      <w:kern w:val="2"/>
      <w:sz w:val="21"/>
      <w:szCs w:val="22"/>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548</Words>
  <Characters>597</Characters>
  <Lines>4</Lines>
  <Paragraphs>1</Paragraphs>
  <TotalTime>21</TotalTime>
  <ScaleCrop>false</ScaleCrop>
  <LinksUpToDate>false</LinksUpToDate>
  <CharactersWithSpaces>606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2020-02-05T11:46:00Z</dcterms:created>
  <dc:creator>欣欣大人</dc:creator>
  <cp:lastModifiedBy>(´〜｀*) zzz</cp:lastModifiedBy>
  <cp:lastPrinted>2026-03-04T09:23:00Z</cp:lastPrinted>
  <dcterms:modified xsi:type="dcterms:W3CDTF">2026-07-02T01:39:34Z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3AA45A6D50AE46E1815D32D30B29D57A_13</vt:lpwstr>
  </property>
  <property fmtid="{D5CDD505-2E9C-101B-9397-08002B2CF9AE}" pid="4" name="KSOTemplateDocerSaveRecord">
    <vt:lpwstr>eyJoZGlkIjoiMzEwYWJmODFjZWI5YTQxYTk2OWU2ODI5Mzg1ZjU5YWQiLCJ1c2VySWQiOiI3NTc1MjkyNDQifQ==</vt:lpwstr>
  </property>
</Properties>
</file>