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 xml:space="preserve">2026年度 </w:t>
      </w: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石家庄市人民政府办公室单位预算</w:t>
      </w:r>
    </w:p>
    <w:p>
      <w:pPr>
        <w:spacing w:before="0" w:after="0" w:line="240" w:lineRule="auto"/>
        <w:ind w:firstLine="0"/>
        <w:jc w:val="center"/>
        <w:outlineLvl w:val="0"/>
        <w:rPr>
          <w:rFonts w:hint="eastAsia" w:ascii="黑体" w:hAnsi="黑体" w:eastAsia="黑体" w:cs="黑体"/>
          <w:b/>
          <w:color w:val="000000"/>
          <w:sz w:val="96"/>
          <w:szCs w:val="44"/>
          <w:lang w:val="en-US" w:eastAsia="zh-CN"/>
        </w:rPr>
        <w:sectPr>
          <w:pgSz w:w="16840" w:h="11900" w:orient="landscape"/>
          <w:pgMar w:top="1587" w:right="1134" w:bottom="1361" w:left="1134" w:header="720" w:footer="720" w:gutter="0"/>
          <w:pgNumType w:start="1"/>
        </w:sectPr>
      </w:pPr>
      <w:r>
        <w:rPr>
          <w:rFonts w:hint="eastAsia" w:ascii="黑体" w:hAnsi="黑体" w:eastAsia="黑体" w:cs="黑体"/>
          <w:b/>
          <w:color w:val="000000"/>
          <w:sz w:val="96"/>
          <w:szCs w:val="44"/>
          <w:lang w:val="en-US" w:eastAsia="zh-CN"/>
        </w:rPr>
        <w:t>公开信息</w:t>
      </w:r>
    </w:p>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301石家庄市人民政府办公室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9476.56</w:t>
            </w:r>
          </w:p>
        </w:tc>
        <w:tc>
          <w:tcPr>
            <w:tcW w:w="4535" w:type="dxa"/>
            <w:vAlign w:val="center"/>
          </w:tcPr>
          <w:p>
            <w:pPr>
              <w:pStyle w:val="13"/>
            </w:pPr>
            <w:r>
              <w:t>一、一般公共服务支出</w:t>
            </w:r>
          </w:p>
        </w:tc>
        <w:tc>
          <w:tcPr>
            <w:tcW w:w="2126" w:type="dxa"/>
            <w:vAlign w:val="center"/>
          </w:tcPr>
          <w:p>
            <w:pPr>
              <w:pStyle w:val="12"/>
            </w:pPr>
            <w:r>
              <w:t>7808.63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9476.56</w:t>
            </w:r>
          </w:p>
        </w:tc>
        <w:tc>
          <w:tcPr>
            <w:tcW w:w="4535" w:type="dxa"/>
            <w:vAlign w:val="center"/>
          </w:tcPr>
          <w:p>
            <w:pPr>
              <w:pStyle w:val="15"/>
            </w:pPr>
            <w:r>
              <w:t>本年支出合计</w:t>
            </w:r>
          </w:p>
        </w:tc>
        <w:tc>
          <w:tcPr>
            <w:tcW w:w="2126" w:type="dxa"/>
            <w:vAlign w:val="center"/>
          </w:tcPr>
          <w:p>
            <w:pPr>
              <w:pStyle w:val="16"/>
            </w:pPr>
            <w:r>
              <w:t>9476.56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9476.56</w:t>
            </w:r>
          </w:p>
        </w:tc>
        <w:tc>
          <w:tcPr>
            <w:tcW w:w="4535" w:type="dxa"/>
            <w:vAlign w:val="center"/>
          </w:tcPr>
          <w:p>
            <w:pPr>
              <w:pStyle w:val="15"/>
            </w:pPr>
            <w:r>
              <w:t>支出总计</w:t>
            </w:r>
          </w:p>
        </w:tc>
        <w:tc>
          <w:tcPr>
            <w:tcW w:w="2126" w:type="dxa"/>
            <w:vAlign w:val="center"/>
          </w:tcPr>
          <w:p>
            <w:pPr>
              <w:pStyle w:val="16"/>
            </w:pPr>
            <w:r>
              <w:t>9476.56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301石家庄市人民政府办公室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9476.56</w:t>
            </w:r>
          </w:p>
        </w:tc>
        <w:tc>
          <w:tcPr>
            <w:tcW w:w="1134" w:type="dxa"/>
            <w:vAlign w:val="center"/>
          </w:tcPr>
          <w:p>
            <w:pPr>
              <w:pStyle w:val="16"/>
            </w:pPr>
            <w:r>
              <w:t>9476.56</w:t>
            </w:r>
          </w:p>
        </w:tc>
        <w:tc>
          <w:tcPr>
            <w:tcW w:w="1134" w:type="dxa"/>
            <w:vAlign w:val="center"/>
          </w:tcPr>
          <w:p>
            <w:pPr>
              <w:pStyle w:val="16"/>
            </w:pPr>
            <w:r>
              <w:t>9476.56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3331.80</w:t>
            </w:r>
          </w:p>
        </w:tc>
        <w:tc>
          <w:tcPr>
            <w:tcW w:w="1134" w:type="dxa"/>
            <w:vAlign w:val="center"/>
          </w:tcPr>
          <w:p>
            <w:pPr>
              <w:pStyle w:val="12"/>
            </w:pPr>
            <w:r>
              <w:t>3331.80</w:t>
            </w:r>
          </w:p>
        </w:tc>
        <w:tc>
          <w:tcPr>
            <w:tcW w:w="1134" w:type="dxa"/>
            <w:vAlign w:val="center"/>
          </w:tcPr>
          <w:p>
            <w:pPr>
              <w:pStyle w:val="12"/>
            </w:pPr>
            <w:r>
              <w:t>3331.80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4476.83</w:t>
            </w:r>
          </w:p>
        </w:tc>
        <w:tc>
          <w:tcPr>
            <w:tcW w:w="1134" w:type="dxa"/>
            <w:vAlign w:val="center"/>
          </w:tcPr>
          <w:p>
            <w:pPr>
              <w:pStyle w:val="12"/>
            </w:pPr>
            <w:r>
              <w:t>4476.83</w:t>
            </w:r>
          </w:p>
        </w:tc>
        <w:tc>
          <w:tcPr>
            <w:tcW w:w="1134" w:type="dxa"/>
            <w:vAlign w:val="center"/>
          </w:tcPr>
          <w:p>
            <w:pPr>
              <w:pStyle w:val="12"/>
            </w:pPr>
            <w:r>
              <w:t>4476.83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1168.90</w:t>
            </w:r>
          </w:p>
        </w:tc>
        <w:tc>
          <w:tcPr>
            <w:tcW w:w="1134" w:type="dxa"/>
            <w:vAlign w:val="center"/>
          </w:tcPr>
          <w:p>
            <w:pPr>
              <w:pStyle w:val="12"/>
            </w:pPr>
            <w:r>
              <w:t>1168.90</w:t>
            </w:r>
          </w:p>
        </w:tc>
        <w:tc>
          <w:tcPr>
            <w:tcW w:w="1134" w:type="dxa"/>
            <w:vAlign w:val="center"/>
          </w:tcPr>
          <w:p>
            <w:pPr>
              <w:pStyle w:val="12"/>
            </w:pPr>
            <w:r>
              <w:t>1168.90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1160.05</w:t>
            </w:r>
          </w:p>
        </w:tc>
        <w:tc>
          <w:tcPr>
            <w:tcW w:w="1134" w:type="dxa"/>
            <w:vAlign w:val="center"/>
          </w:tcPr>
          <w:p>
            <w:pPr>
              <w:pStyle w:val="12"/>
            </w:pPr>
            <w:r>
              <w:t>1160.05</w:t>
            </w:r>
          </w:p>
        </w:tc>
        <w:tc>
          <w:tcPr>
            <w:tcW w:w="1134" w:type="dxa"/>
            <w:vAlign w:val="center"/>
          </w:tcPr>
          <w:p>
            <w:pPr>
              <w:pStyle w:val="12"/>
            </w:pPr>
            <w:r>
              <w:t>1160.05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739.01</w:t>
            </w:r>
          </w:p>
        </w:tc>
        <w:tc>
          <w:tcPr>
            <w:tcW w:w="1134" w:type="dxa"/>
            <w:vAlign w:val="center"/>
          </w:tcPr>
          <w:p>
            <w:pPr>
              <w:pStyle w:val="12"/>
            </w:pPr>
            <w:r>
              <w:t>739.01</w:t>
            </w:r>
          </w:p>
        </w:tc>
        <w:tc>
          <w:tcPr>
            <w:tcW w:w="1134" w:type="dxa"/>
            <w:vAlign w:val="center"/>
          </w:tcPr>
          <w:p>
            <w:pPr>
              <w:pStyle w:val="12"/>
            </w:pPr>
            <w:r>
              <w:t>739.01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356.04</w:t>
            </w:r>
          </w:p>
        </w:tc>
        <w:tc>
          <w:tcPr>
            <w:tcW w:w="1134" w:type="dxa"/>
            <w:vAlign w:val="center"/>
          </w:tcPr>
          <w:p>
            <w:pPr>
              <w:pStyle w:val="12"/>
            </w:pPr>
            <w:r>
              <w:t>356.04</w:t>
            </w:r>
          </w:p>
        </w:tc>
        <w:tc>
          <w:tcPr>
            <w:tcW w:w="1134" w:type="dxa"/>
            <w:vAlign w:val="center"/>
          </w:tcPr>
          <w:p>
            <w:pPr>
              <w:pStyle w:val="12"/>
            </w:pPr>
            <w:r>
              <w:t>356.04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122.15</w:t>
            </w:r>
          </w:p>
        </w:tc>
        <w:tc>
          <w:tcPr>
            <w:tcW w:w="1134" w:type="dxa"/>
            <w:vAlign w:val="center"/>
          </w:tcPr>
          <w:p>
            <w:pPr>
              <w:pStyle w:val="12"/>
            </w:pPr>
            <w:r>
              <w:t>122.15</w:t>
            </w:r>
          </w:p>
        </w:tc>
        <w:tc>
          <w:tcPr>
            <w:tcW w:w="1134" w:type="dxa"/>
            <w:vAlign w:val="center"/>
          </w:tcPr>
          <w:p>
            <w:pPr>
              <w:pStyle w:val="12"/>
            </w:pPr>
            <w:r>
              <w:t>122.15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61.96</w:t>
            </w:r>
          </w:p>
        </w:tc>
        <w:tc>
          <w:tcPr>
            <w:tcW w:w="1134" w:type="dxa"/>
            <w:vAlign w:val="center"/>
          </w:tcPr>
          <w:p>
            <w:pPr>
              <w:pStyle w:val="12"/>
            </w:pPr>
            <w:r>
              <w:t>61.96</w:t>
            </w:r>
          </w:p>
        </w:tc>
        <w:tc>
          <w:tcPr>
            <w:tcW w:w="1134" w:type="dxa"/>
            <w:vAlign w:val="center"/>
          </w:tcPr>
          <w:p>
            <w:pPr>
              <w:pStyle w:val="12"/>
            </w:pPr>
            <w:r>
              <w:t>61.96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9476.56</w:t>
            </w:r>
          </w:p>
        </w:tc>
        <w:tc>
          <w:tcPr>
            <w:tcW w:w="1361" w:type="dxa"/>
            <w:vAlign w:val="center"/>
          </w:tcPr>
          <w:p>
            <w:pPr>
              <w:pStyle w:val="16"/>
            </w:pPr>
            <w:r>
              <w:t>4999.73</w:t>
            </w:r>
          </w:p>
        </w:tc>
        <w:tc>
          <w:tcPr>
            <w:tcW w:w="1361" w:type="dxa"/>
            <w:vAlign w:val="center"/>
          </w:tcPr>
          <w:p>
            <w:pPr>
              <w:pStyle w:val="16"/>
            </w:pPr>
            <w:r>
              <w:t>4476.83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7808.63</w:t>
            </w:r>
          </w:p>
        </w:tc>
        <w:tc>
          <w:tcPr>
            <w:tcW w:w="1361" w:type="dxa"/>
            <w:vAlign w:val="center"/>
          </w:tcPr>
          <w:p>
            <w:pPr>
              <w:pStyle w:val="12"/>
            </w:pPr>
            <w:r>
              <w:t>3331.80</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7808.63</w:t>
            </w:r>
          </w:p>
        </w:tc>
        <w:tc>
          <w:tcPr>
            <w:tcW w:w="1361" w:type="dxa"/>
            <w:vAlign w:val="center"/>
          </w:tcPr>
          <w:p>
            <w:pPr>
              <w:pStyle w:val="12"/>
            </w:pPr>
            <w:r>
              <w:t>3331.80</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3331.80</w:t>
            </w:r>
          </w:p>
        </w:tc>
        <w:tc>
          <w:tcPr>
            <w:tcW w:w="1361" w:type="dxa"/>
            <w:vAlign w:val="center"/>
          </w:tcPr>
          <w:p>
            <w:pPr>
              <w:pStyle w:val="12"/>
            </w:pPr>
            <w:r>
              <w:t>3331.80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1168.90</w:t>
            </w:r>
          </w:p>
        </w:tc>
        <w:tc>
          <w:tcPr>
            <w:tcW w:w="1361" w:type="dxa"/>
            <w:vAlign w:val="center"/>
          </w:tcPr>
          <w:p>
            <w:pPr>
              <w:pStyle w:val="12"/>
            </w:pPr>
            <w:r>
              <w:t>1168.90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1160.05</w:t>
            </w:r>
          </w:p>
        </w:tc>
        <w:tc>
          <w:tcPr>
            <w:tcW w:w="1361" w:type="dxa"/>
            <w:vAlign w:val="center"/>
          </w:tcPr>
          <w:p>
            <w:pPr>
              <w:pStyle w:val="12"/>
            </w:pPr>
            <w:r>
              <w:t>1160.05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739.01</w:t>
            </w:r>
          </w:p>
        </w:tc>
        <w:tc>
          <w:tcPr>
            <w:tcW w:w="1361" w:type="dxa"/>
            <w:vAlign w:val="center"/>
          </w:tcPr>
          <w:p>
            <w:pPr>
              <w:pStyle w:val="12"/>
            </w:pPr>
            <w:r>
              <w:t>739.01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356.04</w:t>
            </w:r>
          </w:p>
        </w:tc>
        <w:tc>
          <w:tcPr>
            <w:tcW w:w="1361" w:type="dxa"/>
            <w:vAlign w:val="center"/>
          </w:tcPr>
          <w:p>
            <w:pPr>
              <w:pStyle w:val="12"/>
            </w:pPr>
            <w:r>
              <w:t>356.04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8.85</w:t>
            </w:r>
          </w:p>
        </w:tc>
        <w:tc>
          <w:tcPr>
            <w:tcW w:w="1361" w:type="dxa"/>
            <w:vAlign w:val="center"/>
          </w:tcPr>
          <w:p>
            <w:pPr>
              <w:pStyle w:val="12"/>
            </w:pPr>
            <w:r>
              <w:t>8.85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8.85</w:t>
            </w:r>
          </w:p>
        </w:tc>
        <w:tc>
          <w:tcPr>
            <w:tcW w:w="1361" w:type="dxa"/>
            <w:vAlign w:val="center"/>
          </w:tcPr>
          <w:p>
            <w:pPr>
              <w:pStyle w:val="12"/>
            </w:pPr>
            <w:r>
              <w:t>8.85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184.11</w:t>
            </w: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184.11</w:t>
            </w: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122.15</w:t>
            </w:r>
          </w:p>
        </w:tc>
        <w:tc>
          <w:tcPr>
            <w:tcW w:w="1361" w:type="dxa"/>
            <w:vAlign w:val="center"/>
          </w:tcPr>
          <w:p>
            <w:pPr>
              <w:pStyle w:val="12"/>
            </w:pPr>
            <w:r>
              <w:t>122.15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61.96</w:t>
            </w:r>
          </w:p>
        </w:tc>
        <w:tc>
          <w:tcPr>
            <w:tcW w:w="1361" w:type="dxa"/>
            <w:vAlign w:val="center"/>
          </w:tcPr>
          <w:p>
            <w:pPr>
              <w:pStyle w:val="12"/>
            </w:pPr>
            <w:r>
              <w:t>61.96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9476.56</w:t>
            </w:r>
          </w:p>
        </w:tc>
        <w:tc>
          <w:tcPr>
            <w:tcW w:w="3402" w:type="dxa"/>
            <w:vAlign w:val="center"/>
          </w:tcPr>
          <w:p>
            <w:pPr>
              <w:pStyle w:val="13"/>
            </w:pPr>
            <w:r>
              <w:t>一、一般公共服务支出</w:t>
            </w:r>
          </w:p>
        </w:tc>
        <w:tc>
          <w:tcPr>
            <w:tcW w:w="1474" w:type="dxa"/>
            <w:vAlign w:val="center"/>
          </w:tcPr>
          <w:p>
            <w:pPr>
              <w:pStyle w:val="12"/>
            </w:pPr>
            <w:r>
              <w:t>7808.63</w:t>
            </w:r>
          </w:p>
        </w:tc>
        <w:tc>
          <w:tcPr>
            <w:tcW w:w="1474" w:type="dxa"/>
            <w:vAlign w:val="center"/>
          </w:tcPr>
          <w:p>
            <w:pPr>
              <w:pStyle w:val="12"/>
            </w:pPr>
            <w:r>
              <w:t>7808.63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1168.90</w:t>
            </w:r>
          </w:p>
        </w:tc>
        <w:tc>
          <w:tcPr>
            <w:tcW w:w="1474" w:type="dxa"/>
            <w:vAlign w:val="center"/>
          </w:tcPr>
          <w:p>
            <w:pPr>
              <w:pStyle w:val="12"/>
            </w:pPr>
            <w:r>
              <w:t>1168.90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184.11</w:t>
            </w:r>
          </w:p>
        </w:tc>
        <w:tc>
          <w:tcPr>
            <w:tcW w:w="1474" w:type="dxa"/>
            <w:vAlign w:val="center"/>
          </w:tcPr>
          <w:p>
            <w:pPr>
              <w:pStyle w:val="12"/>
            </w:pPr>
            <w:r>
              <w:t>184.11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314.92</w:t>
            </w:r>
          </w:p>
        </w:tc>
        <w:tc>
          <w:tcPr>
            <w:tcW w:w="1474" w:type="dxa"/>
            <w:vAlign w:val="center"/>
          </w:tcPr>
          <w:p>
            <w:pPr>
              <w:pStyle w:val="12"/>
            </w:pPr>
            <w:r>
              <w:t>314.92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9476.56</w:t>
            </w:r>
          </w:p>
        </w:tc>
        <w:tc>
          <w:tcPr>
            <w:tcW w:w="3402" w:type="dxa"/>
            <w:vAlign w:val="center"/>
          </w:tcPr>
          <w:p>
            <w:pPr>
              <w:pStyle w:val="15"/>
            </w:pPr>
            <w:r>
              <w:t>本年支出合计</w:t>
            </w:r>
          </w:p>
        </w:tc>
        <w:tc>
          <w:tcPr>
            <w:tcW w:w="1474" w:type="dxa"/>
            <w:vAlign w:val="center"/>
          </w:tcPr>
          <w:p>
            <w:pPr>
              <w:pStyle w:val="16"/>
            </w:pPr>
            <w:r>
              <w:t>9476.56</w:t>
            </w:r>
          </w:p>
        </w:tc>
        <w:tc>
          <w:tcPr>
            <w:tcW w:w="1474" w:type="dxa"/>
            <w:vAlign w:val="center"/>
          </w:tcPr>
          <w:p>
            <w:pPr>
              <w:pStyle w:val="16"/>
            </w:pPr>
            <w:r>
              <w:t>9476.56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9476.56</w:t>
            </w:r>
          </w:p>
        </w:tc>
        <w:tc>
          <w:tcPr>
            <w:tcW w:w="3402" w:type="dxa"/>
            <w:vAlign w:val="center"/>
          </w:tcPr>
          <w:p>
            <w:pPr>
              <w:pStyle w:val="15"/>
            </w:pPr>
            <w:r>
              <w:t>支出总计</w:t>
            </w:r>
          </w:p>
        </w:tc>
        <w:tc>
          <w:tcPr>
            <w:tcW w:w="1474" w:type="dxa"/>
            <w:vAlign w:val="center"/>
          </w:tcPr>
          <w:p>
            <w:pPr>
              <w:pStyle w:val="16"/>
            </w:pPr>
            <w:r>
              <w:t>9476.56</w:t>
            </w:r>
          </w:p>
        </w:tc>
        <w:tc>
          <w:tcPr>
            <w:tcW w:w="1474" w:type="dxa"/>
            <w:vAlign w:val="center"/>
          </w:tcPr>
          <w:p>
            <w:pPr>
              <w:pStyle w:val="16"/>
            </w:pPr>
            <w:r>
              <w:t>9476.56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9476.56</w:t>
            </w:r>
          </w:p>
        </w:tc>
        <w:tc>
          <w:tcPr>
            <w:tcW w:w="2551" w:type="dxa"/>
            <w:vAlign w:val="center"/>
          </w:tcPr>
          <w:p>
            <w:pPr>
              <w:pStyle w:val="16"/>
            </w:pPr>
            <w:r>
              <w:t>4999.73</w:t>
            </w:r>
          </w:p>
        </w:tc>
        <w:tc>
          <w:tcPr>
            <w:tcW w:w="2551" w:type="dxa"/>
            <w:vAlign w:val="center"/>
          </w:tcPr>
          <w:p>
            <w:pPr>
              <w:pStyle w:val="16"/>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7808.63</w:t>
            </w:r>
          </w:p>
        </w:tc>
        <w:tc>
          <w:tcPr>
            <w:tcW w:w="2551" w:type="dxa"/>
            <w:vAlign w:val="center"/>
          </w:tcPr>
          <w:p>
            <w:pPr>
              <w:pStyle w:val="12"/>
            </w:pPr>
            <w:r>
              <w:t>3331.80</w:t>
            </w: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7808.63</w:t>
            </w:r>
          </w:p>
        </w:tc>
        <w:tc>
          <w:tcPr>
            <w:tcW w:w="2551" w:type="dxa"/>
            <w:vAlign w:val="center"/>
          </w:tcPr>
          <w:p>
            <w:pPr>
              <w:pStyle w:val="12"/>
            </w:pPr>
            <w:r>
              <w:t>3331.80</w:t>
            </w: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3331.80</w:t>
            </w:r>
          </w:p>
        </w:tc>
        <w:tc>
          <w:tcPr>
            <w:tcW w:w="2551" w:type="dxa"/>
            <w:vAlign w:val="center"/>
          </w:tcPr>
          <w:p>
            <w:pPr>
              <w:pStyle w:val="12"/>
            </w:pPr>
            <w:r>
              <w:t>3331.80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4476.83</w:t>
            </w:r>
          </w:p>
        </w:tc>
        <w:tc>
          <w:tcPr>
            <w:tcW w:w="2551" w:type="dxa"/>
            <w:vAlign w:val="center"/>
          </w:tcPr>
          <w:p>
            <w:pPr>
              <w:pStyle w:val="12"/>
            </w:pP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1168.90</w:t>
            </w:r>
          </w:p>
        </w:tc>
        <w:tc>
          <w:tcPr>
            <w:tcW w:w="2551" w:type="dxa"/>
            <w:vAlign w:val="center"/>
          </w:tcPr>
          <w:p>
            <w:pPr>
              <w:pStyle w:val="12"/>
            </w:pPr>
            <w:r>
              <w:t>1168.90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1160.05</w:t>
            </w:r>
          </w:p>
        </w:tc>
        <w:tc>
          <w:tcPr>
            <w:tcW w:w="2551" w:type="dxa"/>
            <w:vAlign w:val="center"/>
          </w:tcPr>
          <w:p>
            <w:pPr>
              <w:pStyle w:val="12"/>
            </w:pPr>
            <w:r>
              <w:t>1160.05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739.01</w:t>
            </w:r>
          </w:p>
        </w:tc>
        <w:tc>
          <w:tcPr>
            <w:tcW w:w="2551" w:type="dxa"/>
            <w:vAlign w:val="center"/>
          </w:tcPr>
          <w:p>
            <w:pPr>
              <w:pStyle w:val="12"/>
            </w:pPr>
            <w:r>
              <w:t>739.01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356.04</w:t>
            </w:r>
          </w:p>
        </w:tc>
        <w:tc>
          <w:tcPr>
            <w:tcW w:w="2551" w:type="dxa"/>
            <w:vAlign w:val="center"/>
          </w:tcPr>
          <w:p>
            <w:pPr>
              <w:pStyle w:val="12"/>
            </w:pPr>
            <w:r>
              <w:t>356.04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184.11</w:t>
            </w:r>
          </w:p>
        </w:tc>
        <w:tc>
          <w:tcPr>
            <w:tcW w:w="2551" w:type="dxa"/>
            <w:vAlign w:val="center"/>
          </w:tcPr>
          <w:p>
            <w:pPr>
              <w:pStyle w:val="12"/>
            </w:pPr>
            <w:r>
              <w:t>184.11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184.11</w:t>
            </w:r>
          </w:p>
        </w:tc>
        <w:tc>
          <w:tcPr>
            <w:tcW w:w="2551" w:type="dxa"/>
            <w:vAlign w:val="center"/>
          </w:tcPr>
          <w:p>
            <w:pPr>
              <w:pStyle w:val="12"/>
            </w:pPr>
            <w:r>
              <w:t>184.11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122.15</w:t>
            </w:r>
          </w:p>
        </w:tc>
        <w:tc>
          <w:tcPr>
            <w:tcW w:w="2551" w:type="dxa"/>
            <w:vAlign w:val="center"/>
          </w:tcPr>
          <w:p>
            <w:pPr>
              <w:pStyle w:val="12"/>
            </w:pPr>
            <w:r>
              <w:t>122.15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61.96</w:t>
            </w:r>
          </w:p>
        </w:tc>
        <w:tc>
          <w:tcPr>
            <w:tcW w:w="2551" w:type="dxa"/>
            <w:vAlign w:val="center"/>
          </w:tcPr>
          <w:p>
            <w:pPr>
              <w:pStyle w:val="12"/>
            </w:pPr>
            <w:r>
              <w:t>61.96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4999.73</w:t>
            </w:r>
          </w:p>
        </w:tc>
        <w:tc>
          <w:tcPr>
            <w:tcW w:w="2551" w:type="dxa"/>
            <w:vAlign w:val="center"/>
          </w:tcPr>
          <w:p>
            <w:pPr>
              <w:pStyle w:val="16"/>
            </w:pPr>
            <w:r>
              <w:t>4539.54</w:t>
            </w:r>
          </w:p>
        </w:tc>
        <w:tc>
          <w:tcPr>
            <w:tcW w:w="2551" w:type="dxa"/>
            <w:vAlign w:val="center"/>
          </w:tcPr>
          <w:p>
            <w:pPr>
              <w:pStyle w:val="16"/>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3693.11</w:t>
            </w:r>
          </w:p>
        </w:tc>
        <w:tc>
          <w:tcPr>
            <w:tcW w:w="2551" w:type="dxa"/>
            <w:vAlign w:val="center"/>
          </w:tcPr>
          <w:p>
            <w:pPr>
              <w:pStyle w:val="12"/>
            </w:pPr>
            <w:r>
              <w:t>3693.11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911.49</w:t>
            </w:r>
          </w:p>
        </w:tc>
        <w:tc>
          <w:tcPr>
            <w:tcW w:w="2551" w:type="dxa"/>
            <w:vAlign w:val="center"/>
          </w:tcPr>
          <w:p>
            <w:pPr>
              <w:pStyle w:val="12"/>
            </w:pPr>
            <w:r>
              <w:t>911.49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923.17</w:t>
            </w:r>
          </w:p>
        </w:tc>
        <w:tc>
          <w:tcPr>
            <w:tcW w:w="2551" w:type="dxa"/>
            <w:vAlign w:val="center"/>
          </w:tcPr>
          <w:p>
            <w:pPr>
              <w:pStyle w:val="12"/>
            </w:pPr>
            <w:r>
              <w:t>923.17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778.44</w:t>
            </w:r>
          </w:p>
        </w:tc>
        <w:tc>
          <w:tcPr>
            <w:tcW w:w="2551" w:type="dxa"/>
            <w:vAlign w:val="center"/>
          </w:tcPr>
          <w:p>
            <w:pPr>
              <w:pStyle w:val="12"/>
            </w:pPr>
            <w:r>
              <w:t>778.44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29.45</w:t>
            </w:r>
          </w:p>
        </w:tc>
        <w:tc>
          <w:tcPr>
            <w:tcW w:w="2551" w:type="dxa"/>
            <w:vAlign w:val="center"/>
          </w:tcPr>
          <w:p>
            <w:pPr>
              <w:pStyle w:val="12"/>
            </w:pPr>
            <w:r>
              <w:t>29.45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356.04</w:t>
            </w:r>
          </w:p>
        </w:tc>
        <w:tc>
          <w:tcPr>
            <w:tcW w:w="2551" w:type="dxa"/>
            <w:vAlign w:val="center"/>
          </w:tcPr>
          <w:p>
            <w:pPr>
              <w:pStyle w:val="12"/>
            </w:pPr>
            <w:r>
              <w:t>356.04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122.15</w:t>
            </w:r>
          </w:p>
        </w:tc>
        <w:tc>
          <w:tcPr>
            <w:tcW w:w="2551" w:type="dxa"/>
            <w:vAlign w:val="center"/>
          </w:tcPr>
          <w:p>
            <w:pPr>
              <w:pStyle w:val="12"/>
            </w:pPr>
            <w:r>
              <w:t>122.15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61.96</w:t>
            </w:r>
          </w:p>
        </w:tc>
        <w:tc>
          <w:tcPr>
            <w:tcW w:w="2551" w:type="dxa"/>
            <w:vAlign w:val="center"/>
          </w:tcPr>
          <w:p>
            <w:pPr>
              <w:pStyle w:val="12"/>
            </w:pPr>
            <w:r>
              <w:t>61.96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121.64</w:t>
            </w:r>
          </w:p>
        </w:tc>
        <w:tc>
          <w:tcPr>
            <w:tcW w:w="2551" w:type="dxa"/>
            <w:vAlign w:val="center"/>
          </w:tcPr>
          <w:p>
            <w:pPr>
              <w:pStyle w:val="12"/>
            </w:pPr>
            <w:r>
              <w:t>121.64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460.19</w:t>
            </w:r>
          </w:p>
        </w:tc>
        <w:tc>
          <w:tcPr>
            <w:tcW w:w="2551" w:type="dxa"/>
            <w:vAlign w:val="center"/>
          </w:tcPr>
          <w:p>
            <w:pPr>
              <w:pStyle w:val="12"/>
            </w:pPr>
          </w:p>
        </w:tc>
        <w:tc>
          <w:tcPr>
            <w:tcW w:w="2551" w:type="dxa"/>
            <w:vAlign w:val="center"/>
          </w:tcPr>
          <w:p>
            <w:pPr>
              <w:pStyle w:val="12"/>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49.19</w:t>
            </w:r>
          </w:p>
        </w:tc>
        <w:tc>
          <w:tcPr>
            <w:tcW w:w="2551" w:type="dxa"/>
            <w:vAlign w:val="center"/>
          </w:tcPr>
          <w:p>
            <w:pPr>
              <w:pStyle w:val="12"/>
            </w:pPr>
          </w:p>
        </w:tc>
        <w:tc>
          <w:tcPr>
            <w:tcW w:w="2551" w:type="dxa"/>
            <w:vAlign w:val="center"/>
          </w:tcPr>
          <w:p>
            <w:pPr>
              <w:pStyle w:val="12"/>
            </w:pPr>
            <w:r>
              <w:t>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117.78</w:t>
            </w:r>
          </w:p>
        </w:tc>
        <w:tc>
          <w:tcPr>
            <w:tcW w:w="2551" w:type="dxa"/>
            <w:vAlign w:val="center"/>
          </w:tcPr>
          <w:p>
            <w:pPr>
              <w:pStyle w:val="12"/>
            </w:pPr>
          </w:p>
        </w:tc>
        <w:tc>
          <w:tcPr>
            <w:tcW w:w="2551" w:type="dxa"/>
            <w:vAlign w:val="center"/>
          </w:tcPr>
          <w:p>
            <w:pPr>
              <w:pStyle w:val="12"/>
            </w:pPr>
            <w:r>
              <w:t>117.78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74.30</w:t>
            </w:r>
          </w:p>
        </w:tc>
        <w:tc>
          <w:tcPr>
            <w:tcW w:w="2551" w:type="dxa"/>
            <w:vAlign w:val="center"/>
          </w:tcPr>
          <w:p>
            <w:pPr>
              <w:pStyle w:val="12"/>
            </w:pPr>
          </w:p>
        </w:tc>
        <w:tc>
          <w:tcPr>
            <w:tcW w:w="2551" w:type="dxa"/>
            <w:vAlign w:val="center"/>
          </w:tcPr>
          <w:p>
            <w:pPr>
              <w:pStyle w:val="12"/>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7.34</w:t>
            </w:r>
          </w:p>
        </w:tc>
        <w:tc>
          <w:tcPr>
            <w:tcW w:w="2551" w:type="dxa"/>
            <w:vAlign w:val="center"/>
          </w:tcPr>
          <w:p>
            <w:pPr>
              <w:pStyle w:val="12"/>
            </w:pPr>
          </w:p>
        </w:tc>
        <w:tc>
          <w:tcPr>
            <w:tcW w:w="2551"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10.76</w:t>
            </w:r>
          </w:p>
        </w:tc>
        <w:tc>
          <w:tcPr>
            <w:tcW w:w="2551" w:type="dxa"/>
            <w:vAlign w:val="center"/>
          </w:tcPr>
          <w:p>
            <w:pPr>
              <w:pStyle w:val="12"/>
            </w:pPr>
          </w:p>
        </w:tc>
        <w:tc>
          <w:tcPr>
            <w:tcW w:w="2551" w:type="dxa"/>
            <w:vAlign w:val="center"/>
          </w:tcPr>
          <w:p>
            <w:pPr>
              <w:pStyle w:val="12"/>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36.90</w:t>
            </w:r>
          </w:p>
        </w:tc>
        <w:tc>
          <w:tcPr>
            <w:tcW w:w="2551" w:type="dxa"/>
            <w:vAlign w:val="center"/>
          </w:tcPr>
          <w:p>
            <w:pPr>
              <w:pStyle w:val="12"/>
            </w:pPr>
          </w:p>
        </w:tc>
        <w:tc>
          <w:tcPr>
            <w:tcW w:w="2551" w:type="dxa"/>
            <w:vAlign w:val="center"/>
          </w:tcPr>
          <w:p>
            <w:pPr>
              <w:pStyle w:val="12"/>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141.53</w:t>
            </w:r>
          </w:p>
        </w:tc>
        <w:tc>
          <w:tcPr>
            <w:tcW w:w="2551" w:type="dxa"/>
            <w:vAlign w:val="center"/>
          </w:tcPr>
          <w:p>
            <w:pPr>
              <w:pStyle w:val="12"/>
            </w:pPr>
          </w:p>
        </w:tc>
        <w:tc>
          <w:tcPr>
            <w:tcW w:w="2551" w:type="dxa"/>
            <w:vAlign w:val="center"/>
          </w:tcPr>
          <w:p>
            <w:pPr>
              <w:pStyle w:val="12"/>
            </w:pPr>
            <w:r>
              <w:t>141.53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20.09</w:t>
            </w:r>
          </w:p>
        </w:tc>
        <w:tc>
          <w:tcPr>
            <w:tcW w:w="2551" w:type="dxa"/>
            <w:vAlign w:val="center"/>
          </w:tcPr>
          <w:p>
            <w:pPr>
              <w:pStyle w:val="12"/>
            </w:pPr>
          </w:p>
        </w:tc>
        <w:tc>
          <w:tcPr>
            <w:tcW w:w="2551" w:type="dxa"/>
            <w:vAlign w:val="center"/>
          </w:tcPr>
          <w:p>
            <w:pPr>
              <w:pStyle w:val="12"/>
            </w:pPr>
            <w:r>
              <w:t>20.09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846.43</w:t>
            </w:r>
          </w:p>
        </w:tc>
        <w:tc>
          <w:tcPr>
            <w:tcW w:w="2551" w:type="dxa"/>
            <w:vAlign w:val="center"/>
          </w:tcPr>
          <w:p>
            <w:pPr>
              <w:pStyle w:val="12"/>
            </w:pPr>
            <w:r>
              <w:t>846.43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17.56</w:t>
            </w:r>
          </w:p>
        </w:tc>
        <w:tc>
          <w:tcPr>
            <w:tcW w:w="2551" w:type="dxa"/>
            <w:vAlign w:val="center"/>
          </w:tcPr>
          <w:p>
            <w:pPr>
              <w:pStyle w:val="12"/>
            </w:pPr>
            <w:r>
              <w:t>17.56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721.45</w:t>
            </w:r>
          </w:p>
        </w:tc>
        <w:tc>
          <w:tcPr>
            <w:tcW w:w="2551" w:type="dxa"/>
            <w:vAlign w:val="center"/>
          </w:tcPr>
          <w:p>
            <w:pPr>
              <w:pStyle w:val="12"/>
            </w:pPr>
            <w:r>
              <w:t>721.45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0.66</w:t>
            </w:r>
          </w:p>
        </w:tc>
        <w:tc>
          <w:tcPr>
            <w:tcW w:w="2551" w:type="dxa"/>
            <w:vAlign w:val="center"/>
          </w:tcPr>
          <w:p>
            <w:pPr>
              <w:pStyle w:val="12"/>
            </w:pPr>
            <w:r>
              <w:t>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30307</w:t>
            </w:r>
          </w:p>
        </w:tc>
        <w:tc>
          <w:tcPr>
            <w:tcW w:w="4535" w:type="dxa"/>
            <w:vAlign w:val="center"/>
          </w:tcPr>
          <w:p>
            <w:pPr>
              <w:pStyle w:val="13"/>
            </w:pPr>
            <w:r>
              <w:t>医疗费补助</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9.11</w:t>
            </w:r>
          </w:p>
        </w:tc>
        <w:tc>
          <w:tcPr>
            <w:tcW w:w="2551" w:type="dxa"/>
            <w:vAlign w:val="center"/>
          </w:tcPr>
          <w:p>
            <w:pPr>
              <w:pStyle w:val="12"/>
            </w:pPr>
            <w:r>
              <w:t>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43.15</w:t>
            </w:r>
          </w:p>
        </w:tc>
        <w:tc>
          <w:tcPr>
            <w:tcW w:w="2551" w:type="dxa"/>
            <w:vAlign w:val="center"/>
          </w:tcPr>
          <w:p>
            <w:pPr>
              <w:pStyle w:val="12"/>
            </w:pPr>
            <w:r>
              <w:t>43.15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2.30</w:t>
            </w:r>
          </w:p>
        </w:tc>
        <w:tc>
          <w:tcPr>
            <w:tcW w:w="2381" w:type="dxa"/>
            <w:vAlign w:val="center"/>
          </w:tcPr>
          <w:p>
            <w:pPr>
              <w:pStyle w:val="16"/>
            </w:pPr>
            <w:r>
              <w:t>2.30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2.30</w:t>
            </w:r>
          </w:p>
        </w:tc>
        <w:tc>
          <w:tcPr>
            <w:tcW w:w="2381" w:type="dxa"/>
            <w:vAlign w:val="center"/>
          </w:tcPr>
          <w:p>
            <w:pPr>
              <w:pStyle w:val="12"/>
            </w:pPr>
            <w:r>
              <w:t>2.30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石家庄市人民政府办公室2026年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石家庄市人民政府办公室2026年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按照《中华人民共和国预算法》、《地方预决算公开操作规程》和《关于进一步推进预算公开工作的实施意见》规定，现将石家庄市人民政府办公室2026年</w:t>
      </w:r>
      <w:r>
        <w:rPr>
          <w:rFonts w:hint="eastAsia" w:ascii="仿宋_GB2312" w:hAnsi="仿宋_GB2312" w:eastAsia="仿宋_GB2312" w:cs="仿宋_GB2312"/>
          <w:b w:val="0"/>
          <w:sz w:val="32"/>
          <w:szCs w:val="32"/>
          <w:lang w:eastAsia="zh-CN"/>
        </w:rPr>
        <w:t>单位</w:t>
      </w:r>
      <w:r>
        <w:rPr>
          <w:rFonts w:hint="eastAsia" w:ascii="仿宋_GB2312" w:hAnsi="仿宋_GB2312" w:eastAsia="仿宋_GB2312" w:cs="仿宋_GB2312"/>
          <w:b w:val="0"/>
          <w:sz w:val="32"/>
          <w:szCs w:val="32"/>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spacing w:before="0" w:after="0" w:line="500" w:lineRule="exact"/>
        <w:ind w:firstLine="560"/>
        <w:jc w:val="left"/>
        <w:outlineLvl w:val="9"/>
      </w:pPr>
      <w:r>
        <w:rPr>
          <w:rFonts w:hint="eastAsia" w:ascii="仿宋_GB2312" w:hAnsi="仿宋_GB2312" w:eastAsia="仿宋_GB2312" w:cs="仿宋_GB2312"/>
          <w:b w:val="0"/>
          <w:sz w:val="32"/>
          <w:szCs w:val="32"/>
        </w:rPr>
        <w:t>根据《石家庄市人民政府办公室职能配置、内设机构和人员编制规定》，石家庄市人民政府办公室的主要职责是：</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b w:val="0"/>
          <w:sz w:val="32"/>
          <w:szCs w:val="32"/>
          <w:lang w:val="en-US" w:eastAsia="zh-CN"/>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pStyle w:val="26"/>
        <w:sectPr>
          <w:pgSz w:w="11900" w:h="16840"/>
          <w:pgMar w:top="1361" w:right="1020" w:bottom="1361" w:left="1020" w:header="720" w:footer="720" w:gutter="0"/>
          <w:pgNumType w:start="1"/>
        </w:sect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石家庄市人民政府办公室本级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预算的编制实行综合预算管理，即全部收入和支出都反映在预算中。 石家庄市人民政府办公室机关及所属事业单位的收支包含在</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预算中。</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当年全部收入。2026年预算收入9476.56万元，其中：一般公共预算收入9476.56万元，基金预算收入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收支预算总表支出栏、基本支出表、项目支出表按经济分类和支出功能分类科目编制，反映石家庄市人民政府办公室年度</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 xml:space="preserve">预算中支出预算的总体情况。 2026年支出预算9476.56万元，其中基本支出4999.73万元，包括人员经费4539.54万元和日常公用经费460.19万元；项目支出4476.83万元， </w:t>
      </w:r>
      <w:r>
        <w:rPr>
          <w:rFonts w:hint="eastAsia" w:ascii="仿宋_GB2312" w:hAnsi="仿宋_GB2312" w:eastAsia="仿宋_GB2312" w:cs="仿宋_GB2312"/>
          <w:sz w:val="32"/>
          <w:szCs w:val="32"/>
          <w:lang w:eastAsia="zh-CN"/>
        </w:rPr>
        <w:t>其中委托业务费</w:t>
      </w:r>
      <w:r>
        <w:rPr>
          <w:rFonts w:hint="eastAsia" w:ascii="仿宋_GB2312" w:hAnsi="仿宋_GB2312" w:eastAsia="仿宋_GB2312" w:cs="仿宋_GB2312"/>
          <w:sz w:val="32"/>
          <w:szCs w:val="32"/>
          <w:lang w:val="en-US" w:eastAsia="zh-CN"/>
        </w:rPr>
        <w:t>3870.92万元；</w:t>
      </w:r>
      <w:r>
        <w:rPr>
          <w:rFonts w:hint="eastAsia" w:ascii="仿宋_GB2312" w:hAnsi="仿宋_GB2312" w:eastAsia="仿宋_GB2312" w:cs="仿宋_GB2312"/>
          <w:sz w:val="32"/>
          <w:szCs w:val="32"/>
        </w:rPr>
        <w:t>主要为:12345市政府公开电话热线保障经费、公务服务和会务服务保障费等</w:t>
      </w:r>
      <w:r>
        <w:rPr>
          <w:rFonts w:hint="eastAsia" w:ascii="仿宋_GB2312" w:hAnsi="仿宋_GB2312" w:eastAsia="仿宋_GB2312" w:cs="仿宋_GB2312"/>
          <w:sz w:val="32"/>
          <w:szCs w:val="32"/>
          <w:lang w:eastAsia="zh-CN"/>
        </w:rPr>
        <w:t>。</w:t>
      </w:r>
      <w:bookmarkStart w:id="19" w:name="_GoBack"/>
      <w:bookmarkEnd w:id="19"/>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2026年预算收支安排9476.56万元，较2025年预算增加152.88万元， 其中：基本支出增加373.22万元，主要为：增加人员经费支出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pict>
          <v:shape id="_x0000_i1026"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项目支出减少220.34万元，主要为：驻京联络处经费及服务保障经费、办公室综合业务保障经费、市政府微信和微博运维等政务公开经费减少</w:t>
      </w:r>
      <w:r>
        <w:rPr>
          <w:rFonts w:hint="eastAsia" w:ascii="仿宋_GB2312" w:hAnsi="仿宋_GB2312" w:eastAsia="仿宋_GB2312" w:cs="仿宋_GB2312"/>
          <w:sz w:val="32"/>
          <w:szCs w:val="32"/>
        </w:rPr>
        <w:pict>
          <v:shape id="_x0000_i1027"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本单位机关运行经费安排460.19万元。机关运行经费主要用于办公费、邮电费、差旅费、会议费、福利费、日常维修费、专用材料及一般设备购置费等。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本</w:t>
      </w:r>
      <w:r>
        <w:rPr>
          <w:rFonts w:hint="eastAsia" w:ascii="仿宋_GB2312" w:hAnsi="仿宋_GB2312" w:eastAsia="仿宋_GB2312" w:cs="仿宋_GB2312"/>
          <w:sz w:val="32"/>
          <w:szCs w:val="32"/>
          <w:lang w:val="en-US" w:eastAsia="zh-CN" w:bidi="ar-SA"/>
        </w:rPr>
        <w:t>单位</w:t>
      </w:r>
      <w:r>
        <w:rPr>
          <w:rFonts w:hint="eastAsia" w:ascii="仿宋_GB2312" w:hAnsi="仿宋_GB2312" w:eastAsia="仿宋_GB2312" w:cs="仿宋_GB2312"/>
          <w:sz w:val="32"/>
          <w:szCs w:val="32"/>
          <w:lang w:val="en-US" w:eastAsia="uk-UA" w:bidi="ar-SA"/>
        </w:rPr>
        <w:t>安排“三公经费”2.3万元，与上年相比持平，无增减变化，其中，因公出国（境）费0万元；公务用车购置及运维费0万元（其中：公务用车购置费0万元，公务用车运维费0万元）；公务接待费2.3万元。因公出国（境）费0 万元，与2023年相比持平，无增减变化，主要原因是年初没有安排因公出国（境）费用；公务用车购置及运维费0万元 （其中：公务用车购置费0万元，公务用车运行维护费0万元)，与上年持平，无增减变化，主要原因是公务用车严格执行相关制度，厉行节约（其中公务用车购置费与上年相比持平，无增减变化；公务用车运行维护费与上年持平，无增减 变化）；公务接待费2.3万元，与202</w:t>
      </w:r>
      <w:r>
        <w:rPr>
          <w:rFonts w:hint="eastAsia" w:ascii="仿宋_GB2312" w:hAnsi="仿宋_GB2312" w:eastAsia="仿宋_GB2312" w:cs="仿宋_GB2312"/>
          <w:sz w:val="32"/>
          <w:szCs w:val="32"/>
          <w:lang w:val="en-US" w:eastAsia="zh-CN" w:bidi="ar-SA"/>
        </w:rPr>
        <w:t>5</w:t>
      </w:r>
      <w:r>
        <w:rPr>
          <w:rFonts w:hint="eastAsia" w:ascii="仿宋_GB2312" w:hAnsi="仿宋_GB2312" w:eastAsia="仿宋_GB2312" w:cs="仿宋_GB2312"/>
          <w:sz w:val="32"/>
          <w:szCs w:val="32"/>
          <w:lang w:val="en-US" w:eastAsia="uk-UA" w:bidi="ar-SA"/>
        </w:rPr>
        <w:t>年度预算相比持平，无增减变化，主要原因是公务接待任务无增减变化。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6</w:t>
      </w:r>
      <w:r>
        <w:t>年，市政府办公室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rPr>
          <w:rFonts w:hint="eastAsia"/>
          <w:lang w:val="en-US" w:eastAsia="zh-CN"/>
        </w:rPr>
        <w:t>1.</w:t>
      </w:r>
      <w:r>
        <w:t>全面提升办文办会质量</w:t>
      </w:r>
    </w:p>
    <w:p>
      <w:pPr>
        <w:pStyle w:val="22"/>
      </w:pPr>
      <w:r>
        <w:t>绩效目标：市政府办公室积极主动对标对表，借鉴省政府办公厅和市委办公室办文办会的好经验好做法，完善制度、规范流程、明确标准，不断提高办文办会质量和效率。</w:t>
      </w:r>
    </w:p>
    <w:p>
      <w:pPr>
        <w:pStyle w:val="22"/>
      </w:pPr>
      <w: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22"/>
      </w:pPr>
      <w:r>
        <w:rPr>
          <w:rFonts w:hint="eastAsia"/>
          <w:lang w:val="en-US" w:eastAsia="zh-CN"/>
        </w:rPr>
        <w:t>2.</w:t>
      </w:r>
      <w:r>
        <w:t>全面提升政务服务质量和效率</w:t>
      </w:r>
    </w:p>
    <w:p>
      <w:pPr>
        <w:pStyle w:val="22"/>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22"/>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22"/>
      </w:pPr>
      <w:r>
        <w:rPr>
          <w:rFonts w:hint="eastAsia"/>
          <w:lang w:val="en-US" w:eastAsia="zh-CN"/>
        </w:rPr>
        <w:t>3.</w:t>
      </w:r>
      <w:r>
        <w:t>全面做好重大专项工作</w:t>
      </w:r>
    </w:p>
    <w:p>
      <w:pPr>
        <w:pStyle w:val="22"/>
      </w:pPr>
      <w:r>
        <w:t>绩效目标：做好重大应急突发事件处置等工作，落实会议组织、文件起草、印发等事项，协调推进各项工作任务开展；组织实施考核、信息汇总上报和宣传等工作；积极落实市领导交办的其它事项。</w:t>
      </w:r>
    </w:p>
    <w:p>
      <w:pPr>
        <w:pStyle w:val="23"/>
      </w:pPr>
      <w:r>
        <w:t>绩效指标：指导有关部门完善应急预案，文件指导性进一步增强，工作有效推进，信息汇总准确，宣传报道及时，市领导交办事项完成圆满。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rPr>
          <w:rFonts w:hint="eastAsia"/>
          <w:lang w:val="en-US" w:eastAsia="zh-CN"/>
        </w:rPr>
        <w:t>1.</w:t>
      </w:r>
      <w:r>
        <w:t>牢固树立精品意识。注重文稿的思想性、理论性和指导性，精益求精；围绕稳增长、调结构、治污染、惠民生、防风险等，坚持问题导向，把深入基层调研作为谋划工作的先导，切实提高公文的操作性和指导性。</w:t>
      </w:r>
    </w:p>
    <w:p>
      <w:pPr>
        <w:pStyle w:val="22"/>
      </w:pPr>
      <w:r>
        <w:rPr>
          <w:rFonts w:hint="eastAsia"/>
          <w:lang w:val="en-US" w:eastAsia="zh-CN"/>
        </w:rPr>
        <w:t>2.</w:t>
      </w:r>
      <w:r>
        <w:t>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22"/>
      </w:pPr>
      <w:r>
        <w:rPr>
          <w:rFonts w:hint="eastAsia"/>
          <w:lang w:val="en-US" w:eastAsia="zh-CN"/>
        </w:rPr>
        <w:t>3.</w:t>
      </w:r>
      <w:r>
        <w:t>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22"/>
      </w:pPr>
      <w:r>
        <w:rPr>
          <w:rFonts w:hint="eastAsia"/>
          <w:lang w:val="en-US" w:eastAsia="zh-CN"/>
        </w:rPr>
        <w:t>4.</w:t>
      </w:r>
      <w:r>
        <w:t>加强绩效运行监控。实施开展绩效运行监控，全程跟踪预算执行进度，对执行过程中发现的问题及时研究解决，制定切实可行举措，保证绩效目标按期高质量完成。</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13010026P00971210586P</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15.91</w:t>
            </w:r>
          </w:p>
        </w:tc>
        <w:tc>
          <w:tcPr>
            <w:tcW w:w="2835" w:type="dxa"/>
            <w:vAlign w:val="center"/>
          </w:tcPr>
          <w:p>
            <w:pPr>
              <w:pStyle w:val="11"/>
            </w:pPr>
            <w:r>
              <w:t>其中：财政    资金</w:t>
            </w:r>
          </w:p>
        </w:tc>
        <w:tc>
          <w:tcPr>
            <w:tcW w:w="2551" w:type="dxa"/>
            <w:vAlign w:val="center"/>
          </w:tcPr>
          <w:p>
            <w:pPr>
              <w:pStyle w:val="13"/>
            </w:pPr>
            <w:r>
              <w:t>15.91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购买办公桌椅、办公设备等费用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1.购买办公桌椅、办公设备等，更好保障单位日常运转。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办公家具和办公设备购置数量（台</w:t>
            </w:r>
          </w:p>
        </w:tc>
        <w:tc>
          <w:tcPr>
            <w:tcW w:w="5386" w:type="dxa"/>
            <w:vAlign w:val="center"/>
          </w:tcPr>
          <w:p>
            <w:pPr>
              <w:pStyle w:val="13"/>
            </w:pPr>
            <w:r>
              <w:t>办公家具和办公设备购置数量（台/件/辆/套）</w:t>
            </w:r>
          </w:p>
        </w:tc>
        <w:tc>
          <w:tcPr>
            <w:tcW w:w="2268" w:type="dxa"/>
            <w:vAlign w:val="center"/>
          </w:tcPr>
          <w:p>
            <w:pPr>
              <w:pStyle w:val="13"/>
            </w:pPr>
            <w:r>
              <w:t>≥50台</w:t>
            </w:r>
          </w:p>
        </w:tc>
        <w:tc>
          <w:tcPr>
            <w:tcW w:w="1276" w:type="dxa"/>
            <w:vAlign w:val="center"/>
          </w:tcPr>
          <w:p>
            <w:pPr>
              <w:pStyle w:val="13"/>
            </w:pPr>
            <w:r>
              <w:t>新入职人数和需更换设备人数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≥99%</w:t>
            </w:r>
          </w:p>
        </w:tc>
        <w:tc>
          <w:tcPr>
            <w:tcW w:w="1276" w:type="dxa"/>
            <w:vAlign w:val="center"/>
          </w:tcPr>
          <w:p>
            <w:pPr>
              <w:pStyle w:val="13"/>
            </w:pPr>
            <w:r>
              <w:t>购买设备是否正常使用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办公设备采购完成时间</w:t>
            </w:r>
          </w:p>
        </w:tc>
        <w:tc>
          <w:tcPr>
            <w:tcW w:w="5386" w:type="dxa"/>
            <w:vAlign w:val="center"/>
          </w:tcPr>
          <w:p>
            <w:pPr>
              <w:pStyle w:val="13"/>
            </w:pPr>
            <w:r>
              <w:t>办公设备采购完成时间</w:t>
            </w:r>
          </w:p>
        </w:tc>
        <w:tc>
          <w:tcPr>
            <w:tcW w:w="2268" w:type="dxa"/>
            <w:vAlign w:val="center"/>
          </w:tcPr>
          <w:p>
            <w:pPr>
              <w:pStyle w:val="13"/>
            </w:pPr>
            <w:r>
              <w:t>≤1星期</w:t>
            </w:r>
          </w:p>
        </w:tc>
        <w:tc>
          <w:tcPr>
            <w:tcW w:w="1276" w:type="dxa"/>
            <w:vAlign w:val="center"/>
          </w:tcPr>
          <w:p>
            <w:pPr>
              <w:pStyle w:val="13"/>
            </w:pPr>
            <w:r>
              <w:t>根据采购流程确定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≤15.91万元</w:t>
            </w:r>
          </w:p>
        </w:tc>
        <w:tc>
          <w:tcPr>
            <w:tcW w:w="1276" w:type="dxa"/>
            <w:vAlign w:val="center"/>
          </w:tcPr>
          <w:p>
            <w:pPr>
              <w:pStyle w:val="13"/>
            </w:pPr>
            <w:r>
              <w:t>根据市场价格推算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是否保障单位正常运转从而产生社会效益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购买设备是否正常使用</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13010026P00971110549D</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用于支付党组织活动费用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1.用于党组织活动，确保党组织工作正常有序开展。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开展主题活动次数</w:t>
            </w:r>
          </w:p>
        </w:tc>
        <w:tc>
          <w:tcPr>
            <w:tcW w:w="5386" w:type="dxa"/>
            <w:vAlign w:val="center"/>
          </w:tcPr>
          <w:p>
            <w:pPr>
              <w:pStyle w:val="13"/>
            </w:pPr>
            <w:r>
              <w:t>开展活动次数</w:t>
            </w:r>
          </w:p>
        </w:tc>
        <w:tc>
          <w:tcPr>
            <w:tcW w:w="2268" w:type="dxa"/>
            <w:vAlign w:val="center"/>
          </w:tcPr>
          <w:p>
            <w:pPr>
              <w:pStyle w:val="13"/>
            </w:pPr>
            <w:r>
              <w:t>≥3次</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活动效果</w:t>
            </w:r>
          </w:p>
        </w:tc>
        <w:tc>
          <w:tcPr>
            <w:tcW w:w="5386" w:type="dxa"/>
            <w:vAlign w:val="center"/>
          </w:tcPr>
          <w:p>
            <w:pPr>
              <w:pStyle w:val="13"/>
            </w:pPr>
            <w:r>
              <w:t>活动效果达到预期</w:t>
            </w:r>
          </w:p>
        </w:tc>
        <w:tc>
          <w:tcPr>
            <w:tcW w:w="2268" w:type="dxa"/>
            <w:vAlign w:val="center"/>
          </w:tcPr>
          <w:p>
            <w:pPr>
              <w:pStyle w:val="13"/>
            </w:pPr>
            <w:r>
              <w:t>活动效果达到预期</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开展培训、组织党员活动按年度工</w:t>
            </w:r>
          </w:p>
        </w:tc>
        <w:tc>
          <w:tcPr>
            <w:tcW w:w="5386" w:type="dxa"/>
            <w:vAlign w:val="center"/>
          </w:tcPr>
          <w:p>
            <w:pPr>
              <w:pStyle w:val="13"/>
            </w:pPr>
            <w:r>
              <w:t>开展培训、组织党员活动按年度工作计划比例</w:t>
            </w:r>
          </w:p>
        </w:tc>
        <w:tc>
          <w:tcPr>
            <w:tcW w:w="2268" w:type="dxa"/>
            <w:vAlign w:val="center"/>
          </w:tcPr>
          <w:p>
            <w:pPr>
              <w:pStyle w:val="13"/>
            </w:pPr>
            <w:r>
              <w:t>≥75%</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≤16万元</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w:t>
            </w:r>
          </w:p>
        </w:tc>
        <w:tc>
          <w:tcPr>
            <w:tcW w:w="5386" w:type="dxa"/>
            <w:vAlign w:val="center"/>
          </w:tcPr>
          <w:p>
            <w:pPr>
              <w:pStyle w:val="13"/>
            </w:pPr>
            <w:r>
              <w:t>参加各类活动的党员对活动安排满意率</w:t>
            </w:r>
          </w:p>
        </w:tc>
        <w:tc>
          <w:tcPr>
            <w:tcW w:w="2268" w:type="dxa"/>
            <w:vAlign w:val="center"/>
          </w:tcPr>
          <w:p>
            <w:pPr>
              <w:pStyle w:val="13"/>
            </w:pPr>
            <w:r>
              <w:t>≥98%</w:t>
            </w:r>
          </w:p>
        </w:tc>
        <w:tc>
          <w:tcPr>
            <w:tcW w:w="1276" w:type="dxa"/>
            <w:vAlign w:val="center"/>
          </w:tcPr>
          <w:p>
            <w:pPr>
              <w:pStyle w:val="13"/>
            </w:pPr>
            <w:r>
              <w:t>按照党建工作计划确定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13010026P009935103136</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用于支付文件印刷费，确保办公室工作正常运转。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1.用于文件印刷，确保工作正常开展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文件印刷数量</w:t>
            </w:r>
          </w:p>
        </w:tc>
        <w:tc>
          <w:tcPr>
            <w:tcW w:w="5386" w:type="dxa"/>
            <w:vAlign w:val="center"/>
          </w:tcPr>
          <w:p>
            <w:pPr>
              <w:pStyle w:val="13"/>
            </w:pPr>
            <w:r>
              <w:t>文件印刷数量</w:t>
            </w:r>
          </w:p>
        </w:tc>
        <w:tc>
          <w:tcPr>
            <w:tcW w:w="2268" w:type="dxa"/>
            <w:vAlign w:val="center"/>
          </w:tcPr>
          <w:p>
            <w:pPr>
              <w:pStyle w:val="13"/>
            </w:pPr>
            <w:r>
              <w:t>≥10000次</w:t>
            </w:r>
          </w:p>
        </w:tc>
        <w:tc>
          <w:tcPr>
            <w:tcW w:w="1276" w:type="dxa"/>
            <w:vAlign w:val="center"/>
          </w:tcPr>
          <w:p>
            <w:pPr>
              <w:pStyle w:val="13"/>
            </w:pPr>
            <w:r>
              <w:t>按照需印刷文件的次数估算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印刷品验收合格率</w:t>
            </w:r>
          </w:p>
        </w:tc>
        <w:tc>
          <w:tcPr>
            <w:tcW w:w="5386" w:type="dxa"/>
            <w:vAlign w:val="center"/>
          </w:tcPr>
          <w:p>
            <w:pPr>
              <w:pStyle w:val="13"/>
            </w:pPr>
            <w:r>
              <w:t>印刷品验收合格率</w:t>
            </w:r>
          </w:p>
        </w:tc>
        <w:tc>
          <w:tcPr>
            <w:tcW w:w="2268" w:type="dxa"/>
            <w:vAlign w:val="center"/>
          </w:tcPr>
          <w:p>
            <w:pPr>
              <w:pStyle w:val="13"/>
            </w:pPr>
            <w:r>
              <w:t>≥99%</w:t>
            </w:r>
          </w:p>
        </w:tc>
        <w:tc>
          <w:tcPr>
            <w:tcW w:w="1276" w:type="dxa"/>
            <w:vAlign w:val="center"/>
          </w:tcPr>
          <w:p>
            <w:pPr>
              <w:pStyle w:val="13"/>
            </w:pPr>
            <w:r>
              <w:t>印刷品能否正常使用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按时完成印刷任务</w:t>
            </w:r>
          </w:p>
        </w:tc>
        <w:tc>
          <w:tcPr>
            <w:tcW w:w="5386" w:type="dxa"/>
            <w:vAlign w:val="center"/>
          </w:tcPr>
          <w:p>
            <w:pPr>
              <w:pStyle w:val="13"/>
            </w:pPr>
            <w:r>
              <w:t>按时完成印刷任务</w:t>
            </w:r>
          </w:p>
        </w:tc>
        <w:tc>
          <w:tcPr>
            <w:tcW w:w="2268" w:type="dxa"/>
            <w:vAlign w:val="center"/>
          </w:tcPr>
          <w:p>
            <w:pPr>
              <w:pStyle w:val="13"/>
            </w:pPr>
            <w:r>
              <w:t>≤3天</w:t>
            </w:r>
          </w:p>
        </w:tc>
        <w:tc>
          <w:tcPr>
            <w:tcW w:w="1276" w:type="dxa"/>
            <w:vAlign w:val="center"/>
          </w:tcPr>
          <w:p>
            <w:pPr>
              <w:pStyle w:val="13"/>
            </w:pPr>
            <w:r>
              <w:t>印刷品能否及时交付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≤70万元</w:t>
            </w:r>
          </w:p>
        </w:tc>
        <w:tc>
          <w:tcPr>
            <w:tcW w:w="1276" w:type="dxa"/>
            <w:vAlign w:val="center"/>
          </w:tcPr>
          <w:p>
            <w:pPr>
              <w:pStyle w:val="13"/>
            </w:pPr>
            <w:r>
              <w:t>印刷费用是否控制在预算内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项目实施对公共服务水平提升情况与计划对比</w:t>
            </w:r>
          </w:p>
        </w:tc>
        <w:tc>
          <w:tcPr>
            <w:tcW w:w="2268" w:type="dxa"/>
            <w:vAlign w:val="center"/>
          </w:tcPr>
          <w:p>
            <w:pPr>
              <w:pStyle w:val="13"/>
            </w:pPr>
            <w:r>
              <w:t>100%</w:t>
            </w:r>
          </w:p>
        </w:tc>
        <w:tc>
          <w:tcPr>
            <w:tcW w:w="1276" w:type="dxa"/>
            <w:vAlign w:val="center"/>
          </w:tcPr>
          <w:p>
            <w:pPr>
              <w:pStyle w:val="13"/>
            </w:pPr>
            <w:r>
              <w:t>印刷项目是否提升公共服务水平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使用者满意程度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13010026P00007510224C</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用于支付业务培训和政务公开培训费用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1.组织大型培训活动，确保培训人员综合素质提高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≥1</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加强学员管理，提高教学水平，确</w:t>
            </w:r>
          </w:p>
        </w:tc>
        <w:tc>
          <w:tcPr>
            <w:tcW w:w="5386" w:type="dxa"/>
            <w:vAlign w:val="center"/>
          </w:tcPr>
          <w:p>
            <w:pPr>
              <w:pStyle w:val="13"/>
            </w:pPr>
            <w:r>
              <w:t>加强学员管理，提高教学水平，确保学员培训的质量。</w:t>
            </w:r>
          </w:p>
        </w:tc>
        <w:tc>
          <w:tcPr>
            <w:tcW w:w="2268" w:type="dxa"/>
            <w:vAlign w:val="center"/>
          </w:tcPr>
          <w:p>
            <w:pPr>
              <w:pStyle w:val="13"/>
            </w:pPr>
            <w:r>
              <w:t>综合素质提高</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≤7天</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≥90%</w:t>
            </w:r>
          </w:p>
        </w:tc>
        <w:tc>
          <w:tcPr>
            <w:tcW w:w="1276" w:type="dxa"/>
            <w:vAlign w:val="center"/>
          </w:tcPr>
          <w:p>
            <w:pPr>
              <w:pStyle w:val="13"/>
            </w:pPr>
            <w:r>
              <w:t>根据年度培训计划确定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13010026P00988010272G</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支付专家咨询费及法律顾问经费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1.用于聘请专家、律师对业务文件及工作流程进行审核把关，确保业务文件及工作流程合规。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实际咨询次数</w:t>
            </w:r>
          </w:p>
        </w:tc>
        <w:tc>
          <w:tcPr>
            <w:tcW w:w="2268" w:type="dxa"/>
            <w:vAlign w:val="center"/>
          </w:tcPr>
          <w:p>
            <w:pPr>
              <w:pStyle w:val="13"/>
            </w:pPr>
            <w:r>
              <w:t>≥50次</w:t>
            </w:r>
          </w:p>
        </w:tc>
        <w:tc>
          <w:tcPr>
            <w:tcW w:w="1276" w:type="dxa"/>
            <w:vAlign w:val="center"/>
          </w:tcPr>
          <w:p>
            <w:pPr>
              <w:pStyle w:val="13"/>
            </w:pPr>
            <w:r>
              <w:t>咨询次数是否达到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咨询效果与预期对比</w:t>
            </w:r>
          </w:p>
        </w:tc>
        <w:tc>
          <w:tcPr>
            <w:tcW w:w="2268" w:type="dxa"/>
            <w:vAlign w:val="center"/>
          </w:tcPr>
          <w:p>
            <w:pPr>
              <w:pStyle w:val="13"/>
            </w:pPr>
            <w:r>
              <w:t>≥98%</w:t>
            </w:r>
          </w:p>
        </w:tc>
        <w:tc>
          <w:tcPr>
            <w:tcW w:w="1276" w:type="dxa"/>
            <w:vAlign w:val="center"/>
          </w:tcPr>
          <w:p>
            <w:pPr>
              <w:pStyle w:val="13"/>
            </w:pPr>
            <w:r>
              <w:t>咨询效果是否达到预期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咨询的时效性</w:t>
            </w:r>
          </w:p>
        </w:tc>
        <w:tc>
          <w:tcPr>
            <w:tcW w:w="2268" w:type="dxa"/>
            <w:vAlign w:val="center"/>
          </w:tcPr>
          <w:p>
            <w:pPr>
              <w:pStyle w:val="13"/>
            </w:pPr>
            <w:r>
              <w:t>≤3天</w:t>
            </w:r>
          </w:p>
        </w:tc>
        <w:tc>
          <w:tcPr>
            <w:tcW w:w="1276" w:type="dxa"/>
            <w:vAlign w:val="center"/>
          </w:tcPr>
          <w:p>
            <w:pPr>
              <w:pStyle w:val="13"/>
            </w:pPr>
            <w:r>
              <w:t>结果反馈是否及时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≤13万元</w:t>
            </w:r>
          </w:p>
        </w:tc>
        <w:tc>
          <w:tcPr>
            <w:tcW w:w="1276" w:type="dxa"/>
            <w:vAlign w:val="center"/>
          </w:tcPr>
          <w:p>
            <w:pPr>
              <w:pStyle w:val="13"/>
            </w:pPr>
            <w:r>
              <w:t>费用是否在预算控制内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工作效能与上年对比提升</w:t>
            </w:r>
          </w:p>
        </w:tc>
        <w:tc>
          <w:tcPr>
            <w:tcW w:w="2268" w:type="dxa"/>
            <w:vAlign w:val="center"/>
          </w:tcPr>
          <w:p>
            <w:pPr>
              <w:pStyle w:val="13"/>
            </w:pPr>
            <w:r>
              <w:t>≥5%</w:t>
            </w:r>
          </w:p>
        </w:tc>
        <w:tc>
          <w:tcPr>
            <w:tcW w:w="1276" w:type="dxa"/>
            <w:vAlign w:val="center"/>
          </w:tcPr>
          <w:p>
            <w:pPr>
              <w:pStyle w:val="13"/>
            </w:pPr>
            <w:r>
              <w:t>工作效能是否有提升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咨询科室是否满意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6、专项邮电费绩效目标表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13010026P00667710107F</w:t>
            </w:r>
          </w:p>
        </w:tc>
        <w:tc>
          <w:tcPr>
            <w:tcW w:w="2835" w:type="dxa"/>
            <w:vAlign w:val="center"/>
          </w:tcPr>
          <w:p>
            <w:pPr>
              <w:pStyle w:val="11"/>
            </w:pPr>
            <w:r>
              <w:t>项目名称</w:t>
            </w:r>
          </w:p>
        </w:tc>
        <w:tc>
          <w:tcPr>
            <w:tcW w:w="6095" w:type="dxa"/>
            <w:gridSpan w:val="3"/>
            <w:vAlign w:val="center"/>
          </w:tcPr>
          <w:p>
            <w:pPr>
              <w:pStyle w:val="13"/>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用于支付交换中心邮件费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1.用于交换中心邮件费，确保公文在区县间正常流转。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邮政业业务总量</w:t>
            </w:r>
          </w:p>
        </w:tc>
        <w:tc>
          <w:tcPr>
            <w:tcW w:w="5386" w:type="dxa"/>
            <w:vAlign w:val="center"/>
          </w:tcPr>
          <w:p>
            <w:pPr>
              <w:pStyle w:val="13"/>
            </w:pPr>
            <w:r>
              <w:t>邮寄次数</w:t>
            </w:r>
          </w:p>
        </w:tc>
        <w:tc>
          <w:tcPr>
            <w:tcW w:w="2268" w:type="dxa"/>
            <w:vAlign w:val="center"/>
          </w:tcPr>
          <w:p>
            <w:pPr>
              <w:pStyle w:val="13"/>
            </w:pPr>
            <w:r>
              <w:t>≥300</w:t>
            </w:r>
          </w:p>
        </w:tc>
        <w:tc>
          <w:tcPr>
            <w:tcW w:w="1276" w:type="dxa"/>
            <w:vAlign w:val="center"/>
          </w:tcPr>
          <w:p>
            <w:pPr>
              <w:pStyle w:val="13"/>
            </w:pPr>
            <w:r>
              <w:t>按照去年邮寄次数确定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邮件妥收率</w:t>
            </w:r>
          </w:p>
        </w:tc>
        <w:tc>
          <w:tcPr>
            <w:tcW w:w="5386" w:type="dxa"/>
            <w:vAlign w:val="center"/>
          </w:tcPr>
          <w:p>
            <w:pPr>
              <w:pStyle w:val="13"/>
            </w:pPr>
            <w:r>
              <w:t>邮件妥收率</w:t>
            </w:r>
          </w:p>
        </w:tc>
        <w:tc>
          <w:tcPr>
            <w:tcW w:w="2268" w:type="dxa"/>
            <w:vAlign w:val="center"/>
          </w:tcPr>
          <w:p>
            <w:pPr>
              <w:pStyle w:val="13"/>
            </w:pPr>
            <w:r>
              <w:t>≥99%</w:t>
            </w:r>
          </w:p>
        </w:tc>
        <w:tc>
          <w:tcPr>
            <w:tcW w:w="1276" w:type="dxa"/>
            <w:vAlign w:val="center"/>
          </w:tcPr>
          <w:p>
            <w:pPr>
              <w:pStyle w:val="13"/>
            </w:pPr>
            <w:r>
              <w:t>按照每年邮寄次数确定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及时到达</w:t>
            </w:r>
          </w:p>
        </w:tc>
        <w:tc>
          <w:tcPr>
            <w:tcW w:w="2268" w:type="dxa"/>
            <w:vAlign w:val="center"/>
          </w:tcPr>
          <w:p>
            <w:pPr>
              <w:pStyle w:val="13"/>
            </w:pPr>
            <w:r>
              <w:t>≤3天</w:t>
            </w:r>
          </w:p>
        </w:tc>
        <w:tc>
          <w:tcPr>
            <w:tcW w:w="1276" w:type="dxa"/>
            <w:vAlign w:val="center"/>
          </w:tcPr>
          <w:p>
            <w:pPr>
              <w:pStyle w:val="13"/>
            </w:pPr>
            <w:r>
              <w:t>按照邮寄文件及时到达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≤13万元</w:t>
            </w:r>
          </w:p>
        </w:tc>
        <w:tc>
          <w:tcPr>
            <w:tcW w:w="1276" w:type="dxa"/>
            <w:vAlign w:val="center"/>
          </w:tcPr>
          <w:p>
            <w:pPr>
              <w:pStyle w:val="13"/>
            </w:pPr>
            <w:r>
              <w:t>按照每次邮寄价格推测确定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产生了社会效益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寄件人和收件人是否满意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7、12345市政府公开电话热线保障经费绩效目标表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13010026P00TJ6010004W</w:t>
            </w:r>
          </w:p>
        </w:tc>
        <w:tc>
          <w:tcPr>
            <w:tcW w:w="2835" w:type="dxa"/>
            <w:vAlign w:val="center"/>
          </w:tcPr>
          <w:p>
            <w:pPr>
              <w:pStyle w:val="11"/>
            </w:pPr>
            <w:r>
              <w:t>项目名称</w:t>
            </w:r>
          </w:p>
        </w:tc>
        <w:tc>
          <w:tcPr>
            <w:tcW w:w="6095" w:type="dxa"/>
            <w:gridSpan w:val="3"/>
            <w:vAlign w:val="center"/>
          </w:tcPr>
          <w:p>
            <w:pPr>
              <w:pStyle w:val="13"/>
            </w:pPr>
            <w:r>
              <w:t>12345市政府公开电话热线保障经费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3548.92</w:t>
            </w:r>
          </w:p>
        </w:tc>
        <w:tc>
          <w:tcPr>
            <w:tcW w:w="2835" w:type="dxa"/>
            <w:vAlign w:val="center"/>
          </w:tcPr>
          <w:p>
            <w:pPr>
              <w:pStyle w:val="11"/>
            </w:pPr>
            <w:r>
              <w:t>其中：财政    资金</w:t>
            </w:r>
          </w:p>
        </w:tc>
        <w:tc>
          <w:tcPr>
            <w:tcW w:w="2551" w:type="dxa"/>
            <w:vAlign w:val="center"/>
          </w:tcPr>
          <w:p>
            <w:pPr>
              <w:pStyle w:val="13"/>
            </w:pPr>
            <w:r>
              <w:t>3548.92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用于支付公开电话人员及场地费用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1.用于市政府公开电话人员及场地等费用，确保市政府公开电话正常运转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接线人数</w:t>
            </w:r>
          </w:p>
        </w:tc>
        <w:tc>
          <w:tcPr>
            <w:tcW w:w="2268" w:type="dxa"/>
            <w:vAlign w:val="center"/>
          </w:tcPr>
          <w:p>
            <w:pPr>
              <w:pStyle w:val="13"/>
            </w:pPr>
            <w:r>
              <w:t>≥300人</w:t>
            </w:r>
          </w:p>
        </w:tc>
        <w:tc>
          <w:tcPr>
            <w:tcW w:w="1276" w:type="dxa"/>
            <w:vAlign w:val="center"/>
          </w:tcPr>
          <w:p>
            <w:pPr>
              <w:pStyle w:val="13"/>
            </w:pPr>
            <w:r>
              <w:t>接线人员是否充足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接线效果</w:t>
            </w:r>
          </w:p>
        </w:tc>
        <w:tc>
          <w:tcPr>
            <w:tcW w:w="2268" w:type="dxa"/>
            <w:vAlign w:val="center"/>
          </w:tcPr>
          <w:p>
            <w:pPr>
              <w:pStyle w:val="13"/>
            </w:pPr>
            <w:r>
              <w:t>100%</w:t>
            </w:r>
          </w:p>
        </w:tc>
        <w:tc>
          <w:tcPr>
            <w:tcW w:w="1276" w:type="dxa"/>
            <w:vAlign w:val="center"/>
          </w:tcPr>
          <w:p>
            <w:pPr>
              <w:pStyle w:val="13"/>
            </w:pPr>
            <w:r>
              <w:t>接线人员是否准确解答问题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接线时效</w:t>
            </w:r>
          </w:p>
        </w:tc>
        <w:tc>
          <w:tcPr>
            <w:tcW w:w="2268" w:type="dxa"/>
            <w:vAlign w:val="center"/>
          </w:tcPr>
          <w:p>
            <w:pPr>
              <w:pStyle w:val="13"/>
            </w:pPr>
            <w:r>
              <w:t>≤60秒</w:t>
            </w:r>
          </w:p>
        </w:tc>
        <w:tc>
          <w:tcPr>
            <w:tcW w:w="1276" w:type="dxa"/>
            <w:vAlign w:val="center"/>
          </w:tcPr>
          <w:p>
            <w:pPr>
              <w:pStyle w:val="13"/>
            </w:pPr>
            <w:r>
              <w:t>接线是否高效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租赁成本</w:t>
            </w:r>
          </w:p>
        </w:tc>
        <w:tc>
          <w:tcPr>
            <w:tcW w:w="2268" w:type="dxa"/>
            <w:vAlign w:val="center"/>
          </w:tcPr>
          <w:p>
            <w:pPr>
              <w:pStyle w:val="13"/>
            </w:pPr>
            <w:r>
              <w:t>≤350万元</w:t>
            </w:r>
          </w:p>
        </w:tc>
        <w:tc>
          <w:tcPr>
            <w:tcW w:w="1276" w:type="dxa"/>
            <w:vAlign w:val="center"/>
          </w:tcPr>
          <w:p>
            <w:pPr>
              <w:pStyle w:val="13"/>
            </w:pPr>
            <w:r>
              <w:t>租赁成本是否控制在预算内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群众知晓率</w:t>
            </w:r>
          </w:p>
        </w:tc>
        <w:tc>
          <w:tcPr>
            <w:tcW w:w="2268" w:type="dxa"/>
            <w:vAlign w:val="center"/>
          </w:tcPr>
          <w:p>
            <w:pPr>
              <w:pStyle w:val="13"/>
            </w:pPr>
            <w:r>
              <w:t>≥5%</w:t>
            </w:r>
          </w:p>
        </w:tc>
        <w:tc>
          <w:tcPr>
            <w:tcW w:w="1276" w:type="dxa"/>
            <w:vAlign w:val="center"/>
          </w:tcPr>
          <w:p>
            <w:pPr>
              <w:pStyle w:val="13"/>
            </w:pPr>
            <w:r>
              <w:t>群众是否知晓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2268" w:type="dxa"/>
            <w:vAlign w:val="center"/>
          </w:tcPr>
          <w:p>
            <w:pPr>
              <w:pStyle w:val="13"/>
            </w:pPr>
            <w:r>
              <w:t>≥98%</w:t>
            </w:r>
          </w:p>
        </w:tc>
        <w:tc>
          <w:tcPr>
            <w:tcW w:w="1276" w:type="dxa"/>
            <w:vAlign w:val="center"/>
          </w:tcPr>
          <w:p>
            <w:pPr>
              <w:pStyle w:val="13"/>
            </w:pPr>
            <w:r>
              <w:t>群众对接线回答是否满意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8、办公室综合业务保障经费绩效目标表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13010026P009683100082</w:t>
            </w:r>
          </w:p>
        </w:tc>
        <w:tc>
          <w:tcPr>
            <w:tcW w:w="2835" w:type="dxa"/>
            <w:vAlign w:val="center"/>
          </w:tcPr>
          <w:p>
            <w:pPr>
              <w:pStyle w:val="11"/>
            </w:pPr>
            <w:r>
              <w:t>项目名称</w:t>
            </w:r>
          </w:p>
        </w:tc>
        <w:tc>
          <w:tcPr>
            <w:tcW w:w="6095" w:type="dxa"/>
            <w:gridSpan w:val="3"/>
            <w:vAlign w:val="center"/>
          </w:tcPr>
          <w:p>
            <w:pPr>
              <w:pStyle w:val="13"/>
            </w:pPr>
            <w:r>
              <w:t>办公室综合业务保障经费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支付调研、信访、委托业务等费用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1.用于业务委托、调研等，确保市政府办公室正常运转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委托服务数量</w:t>
            </w:r>
          </w:p>
        </w:tc>
        <w:tc>
          <w:tcPr>
            <w:tcW w:w="5386" w:type="dxa"/>
            <w:vAlign w:val="center"/>
          </w:tcPr>
          <w:p>
            <w:pPr>
              <w:pStyle w:val="13"/>
            </w:pPr>
            <w:r>
              <w:t>委托服务单位数量</w:t>
            </w:r>
          </w:p>
        </w:tc>
        <w:tc>
          <w:tcPr>
            <w:tcW w:w="2268" w:type="dxa"/>
            <w:vAlign w:val="center"/>
          </w:tcPr>
          <w:p>
            <w:pPr>
              <w:pStyle w:val="13"/>
            </w:pPr>
            <w:r>
              <w:t>≥5个</w:t>
            </w:r>
          </w:p>
        </w:tc>
        <w:tc>
          <w:tcPr>
            <w:tcW w:w="1276" w:type="dxa"/>
            <w:vAlign w:val="center"/>
          </w:tcPr>
          <w:p>
            <w:pPr>
              <w:pStyle w:val="13"/>
            </w:pPr>
            <w:r>
              <w:t>根据委托业务量确定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工作任务完成情况</w:t>
            </w:r>
          </w:p>
        </w:tc>
        <w:tc>
          <w:tcPr>
            <w:tcW w:w="5386" w:type="dxa"/>
            <w:vAlign w:val="center"/>
          </w:tcPr>
          <w:p>
            <w:pPr>
              <w:pStyle w:val="13"/>
            </w:pPr>
            <w:r>
              <w:t>工作任务完成质量</w:t>
            </w:r>
          </w:p>
        </w:tc>
        <w:tc>
          <w:tcPr>
            <w:tcW w:w="2268" w:type="dxa"/>
            <w:vAlign w:val="center"/>
          </w:tcPr>
          <w:p>
            <w:pPr>
              <w:pStyle w:val="13"/>
            </w:pPr>
            <w:r>
              <w:t>100%</w:t>
            </w:r>
          </w:p>
        </w:tc>
        <w:tc>
          <w:tcPr>
            <w:tcW w:w="1276" w:type="dxa"/>
            <w:vAlign w:val="center"/>
          </w:tcPr>
          <w:p>
            <w:pPr>
              <w:pStyle w:val="13"/>
            </w:pPr>
            <w:r>
              <w:t>根据工作质量确定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开展工作时效性</w:t>
            </w:r>
          </w:p>
          <w:p>
            <w:pPr>
              <w:pStyle w:val="13"/>
            </w:pPr>
          </w:p>
        </w:tc>
        <w:tc>
          <w:tcPr>
            <w:tcW w:w="5386" w:type="dxa"/>
            <w:vAlign w:val="center"/>
          </w:tcPr>
          <w:p>
            <w:pPr>
              <w:pStyle w:val="13"/>
            </w:pPr>
            <w:r>
              <w:t>开展工作时效性</w:t>
            </w:r>
          </w:p>
          <w:p>
            <w:pPr>
              <w:pStyle w:val="13"/>
            </w:pPr>
          </w:p>
        </w:tc>
        <w:tc>
          <w:tcPr>
            <w:tcW w:w="2268" w:type="dxa"/>
            <w:vAlign w:val="center"/>
          </w:tcPr>
          <w:p>
            <w:pPr>
              <w:pStyle w:val="13"/>
            </w:pPr>
            <w:r>
              <w:t>≤1星期</w:t>
            </w:r>
          </w:p>
        </w:tc>
        <w:tc>
          <w:tcPr>
            <w:tcW w:w="1276" w:type="dxa"/>
            <w:vAlign w:val="center"/>
          </w:tcPr>
          <w:p>
            <w:pPr>
              <w:pStyle w:val="13"/>
            </w:pPr>
            <w:r>
              <w:t>是否及时完成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委托业务次均成本</w:t>
            </w:r>
          </w:p>
        </w:tc>
        <w:tc>
          <w:tcPr>
            <w:tcW w:w="2268" w:type="dxa"/>
            <w:vAlign w:val="center"/>
          </w:tcPr>
          <w:p>
            <w:pPr>
              <w:pStyle w:val="13"/>
            </w:pPr>
            <w:r>
              <w:t>≤10万元</w:t>
            </w:r>
          </w:p>
        </w:tc>
        <w:tc>
          <w:tcPr>
            <w:tcW w:w="1276" w:type="dxa"/>
            <w:vAlign w:val="center"/>
          </w:tcPr>
          <w:p>
            <w:pPr>
              <w:pStyle w:val="13"/>
            </w:pPr>
            <w:r>
              <w:t>次均成本控制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工作正常开展率</w:t>
            </w:r>
          </w:p>
        </w:tc>
        <w:tc>
          <w:tcPr>
            <w:tcW w:w="2268" w:type="dxa"/>
            <w:vAlign w:val="center"/>
          </w:tcPr>
          <w:p>
            <w:pPr>
              <w:pStyle w:val="13"/>
            </w:pPr>
            <w:r>
              <w:t>≥98%</w:t>
            </w:r>
          </w:p>
        </w:tc>
        <w:tc>
          <w:tcPr>
            <w:tcW w:w="1276" w:type="dxa"/>
            <w:vAlign w:val="center"/>
          </w:tcPr>
          <w:p>
            <w:pPr>
              <w:pStyle w:val="13"/>
            </w:pPr>
            <w:r>
              <w:t>业务是否正常开展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9、公务服务和会务服务保障经费绩效目标表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13010026P00PN6L10007G</w:t>
            </w:r>
          </w:p>
        </w:tc>
        <w:tc>
          <w:tcPr>
            <w:tcW w:w="2835" w:type="dxa"/>
            <w:vAlign w:val="center"/>
          </w:tcPr>
          <w:p>
            <w:pPr>
              <w:pStyle w:val="11"/>
            </w:pPr>
            <w:r>
              <w:t>项目名称</w:t>
            </w:r>
          </w:p>
        </w:tc>
        <w:tc>
          <w:tcPr>
            <w:tcW w:w="6095" w:type="dxa"/>
            <w:gridSpan w:val="3"/>
            <w:vAlign w:val="center"/>
          </w:tcPr>
          <w:p>
            <w:pPr>
              <w:pStyle w:val="13"/>
            </w:pPr>
            <w:r>
              <w:t>公务服务和会务服务保障经费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185.00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支付公务服务及会务服务费用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1.用于5号楼公务服务及会务服务，确保5号楼正常运转。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服务天数</w:t>
            </w:r>
          </w:p>
        </w:tc>
        <w:tc>
          <w:tcPr>
            <w:tcW w:w="2268" w:type="dxa"/>
            <w:vAlign w:val="center"/>
          </w:tcPr>
          <w:p>
            <w:pPr>
              <w:pStyle w:val="13"/>
            </w:pPr>
            <w:r>
              <w:t>365天</w:t>
            </w:r>
          </w:p>
        </w:tc>
        <w:tc>
          <w:tcPr>
            <w:tcW w:w="1276" w:type="dxa"/>
            <w:vAlign w:val="center"/>
          </w:tcPr>
          <w:p>
            <w:pPr>
              <w:pStyle w:val="13"/>
            </w:pPr>
            <w:r>
              <w:t>是否保证服务时间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服务水平</w:t>
            </w:r>
          </w:p>
        </w:tc>
        <w:tc>
          <w:tcPr>
            <w:tcW w:w="5386" w:type="dxa"/>
            <w:vAlign w:val="center"/>
          </w:tcPr>
          <w:p>
            <w:pPr>
              <w:pStyle w:val="13"/>
            </w:pPr>
            <w:r>
              <w:t>服务质量</w:t>
            </w:r>
          </w:p>
        </w:tc>
        <w:tc>
          <w:tcPr>
            <w:tcW w:w="2268" w:type="dxa"/>
            <w:vAlign w:val="center"/>
          </w:tcPr>
          <w:p>
            <w:pPr>
              <w:pStyle w:val="13"/>
            </w:pPr>
            <w:r>
              <w:t>100%</w:t>
            </w:r>
          </w:p>
        </w:tc>
        <w:tc>
          <w:tcPr>
            <w:tcW w:w="1276" w:type="dxa"/>
            <w:vAlign w:val="center"/>
          </w:tcPr>
          <w:p>
            <w:pPr>
              <w:pStyle w:val="13"/>
            </w:pPr>
            <w:r>
              <w:t>是否保证服务质量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服务时效</w:t>
            </w:r>
          </w:p>
        </w:tc>
        <w:tc>
          <w:tcPr>
            <w:tcW w:w="2268" w:type="dxa"/>
            <w:vAlign w:val="center"/>
          </w:tcPr>
          <w:p>
            <w:pPr>
              <w:pStyle w:val="13"/>
            </w:pPr>
            <w:r>
              <w:t>≤0.5小时</w:t>
            </w:r>
          </w:p>
        </w:tc>
        <w:tc>
          <w:tcPr>
            <w:tcW w:w="1276" w:type="dxa"/>
            <w:vAlign w:val="center"/>
          </w:tcPr>
          <w:p>
            <w:pPr>
              <w:pStyle w:val="13"/>
            </w:pPr>
            <w:r>
              <w:t>服务时效是否及时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≤185万元</w:t>
            </w:r>
          </w:p>
        </w:tc>
        <w:tc>
          <w:tcPr>
            <w:tcW w:w="1276" w:type="dxa"/>
            <w:vAlign w:val="center"/>
          </w:tcPr>
          <w:p>
            <w:pPr>
              <w:pStyle w:val="13"/>
            </w:pPr>
            <w:r>
              <w:t>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突发事件处理效率</w:t>
            </w:r>
          </w:p>
        </w:tc>
        <w:tc>
          <w:tcPr>
            <w:tcW w:w="2268" w:type="dxa"/>
            <w:vAlign w:val="center"/>
          </w:tcPr>
          <w:p>
            <w:pPr>
              <w:pStyle w:val="13"/>
            </w:pPr>
            <w:r>
              <w:t>≥5%</w:t>
            </w:r>
          </w:p>
        </w:tc>
        <w:tc>
          <w:tcPr>
            <w:tcW w:w="1276" w:type="dxa"/>
            <w:vAlign w:val="center"/>
          </w:tcPr>
          <w:p>
            <w:pPr>
              <w:pStyle w:val="13"/>
            </w:pPr>
            <w:r>
              <w:t>对突发事件处理情况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5号楼工作人员满意度</w:t>
            </w:r>
          </w:p>
        </w:tc>
        <w:tc>
          <w:tcPr>
            <w:tcW w:w="2268" w:type="dxa"/>
            <w:vAlign w:val="center"/>
          </w:tcPr>
          <w:p>
            <w:pPr>
              <w:pStyle w:val="13"/>
            </w:pPr>
            <w:r>
              <w:t>≥98%</w:t>
            </w:r>
          </w:p>
        </w:tc>
        <w:tc>
          <w:tcPr>
            <w:tcW w:w="1276" w:type="dxa"/>
            <w:vAlign w:val="center"/>
          </w:tcPr>
          <w:p>
            <w:pPr>
              <w:pStyle w:val="13"/>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10、公益损害及环境污染举报奖励经费绩效目标表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13010026P00980810004M</w:t>
            </w:r>
          </w:p>
        </w:tc>
        <w:tc>
          <w:tcPr>
            <w:tcW w:w="2835" w:type="dxa"/>
            <w:vAlign w:val="center"/>
          </w:tcPr>
          <w:p>
            <w:pPr>
              <w:pStyle w:val="11"/>
            </w:pPr>
            <w:r>
              <w:t>项目名称</w:t>
            </w:r>
          </w:p>
        </w:tc>
        <w:tc>
          <w:tcPr>
            <w:tcW w:w="6095" w:type="dxa"/>
            <w:gridSpan w:val="3"/>
            <w:vAlign w:val="center"/>
          </w:tcPr>
          <w:p>
            <w:pPr>
              <w:pStyle w:val="13"/>
            </w:pPr>
            <w:r>
              <w:t>公益损害及环境污染举报奖励经费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支付公益损害及环境污染举报奖励费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1.用于公益损害及环境污染举报奖励，提升市民举报积极性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奖励次数</w:t>
            </w:r>
          </w:p>
        </w:tc>
        <w:tc>
          <w:tcPr>
            <w:tcW w:w="2268" w:type="dxa"/>
            <w:vAlign w:val="center"/>
          </w:tcPr>
          <w:p>
            <w:pPr>
              <w:pStyle w:val="13"/>
            </w:pPr>
            <w:r>
              <w:t>≥50次</w:t>
            </w:r>
          </w:p>
        </w:tc>
        <w:tc>
          <w:tcPr>
            <w:tcW w:w="1276" w:type="dxa"/>
            <w:vAlign w:val="center"/>
          </w:tcPr>
          <w:p>
            <w:pPr>
              <w:pStyle w:val="13"/>
            </w:pPr>
            <w:r>
              <w:t>根据举报次数和真实性确定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奖励金额</w:t>
            </w:r>
          </w:p>
        </w:tc>
        <w:tc>
          <w:tcPr>
            <w:tcW w:w="2268" w:type="dxa"/>
            <w:vAlign w:val="center"/>
          </w:tcPr>
          <w:p>
            <w:pPr>
              <w:pStyle w:val="13"/>
            </w:pPr>
            <w:r>
              <w:t>100%</w:t>
            </w:r>
          </w:p>
        </w:tc>
        <w:tc>
          <w:tcPr>
            <w:tcW w:w="1276" w:type="dxa"/>
            <w:vAlign w:val="center"/>
          </w:tcPr>
          <w:p>
            <w:pPr>
              <w:pStyle w:val="13"/>
            </w:pPr>
            <w:r>
              <w:t>根据相关文件确定奖励金额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奖励的及时性</w:t>
            </w:r>
          </w:p>
        </w:tc>
        <w:tc>
          <w:tcPr>
            <w:tcW w:w="2268" w:type="dxa"/>
            <w:vAlign w:val="center"/>
          </w:tcPr>
          <w:p>
            <w:pPr>
              <w:pStyle w:val="13"/>
            </w:pPr>
            <w:r>
              <w:t>≤2月</w:t>
            </w:r>
          </w:p>
        </w:tc>
        <w:tc>
          <w:tcPr>
            <w:tcW w:w="1276" w:type="dxa"/>
            <w:vAlign w:val="center"/>
          </w:tcPr>
          <w:p>
            <w:pPr>
              <w:pStyle w:val="13"/>
            </w:pPr>
            <w:r>
              <w:t>是否及时进行奖励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≤3万元</w:t>
            </w:r>
          </w:p>
        </w:tc>
        <w:tc>
          <w:tcPr>
            <w:tcW w:w="1276" w:type="dxa"/>
            <w:vAlign w:val="center"/>
          </w:tcPr>
          <w:p>
            <w:pPr>
              <w:pStyle w:val="13"/>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市民举报积极性提升率</w:t>
            </w:r>
          </w:p>
        </w:tc>
        <w:tc>
          <w:tcPr>
            <w:tcW w:w="2268" w:type="dxa"/>
            <w:vAlign w:val="center"/>
          </w:tcPr>
          <w:p>
            <w:pPr>
              <w:pStyle w:val="13"/>
            </w:pPr>
            <w:r>
              <w:t>≥5%</w:t>
            </w:r>
          </w:p>
        </w:tc>
        <w:tc>
          <w:tcPr>
            <w:tcW w:w="1276" w:type="dxa"/>
            <w:vAlign w:val="center"/>
          </w:tcPr>
          <w:p>
            <w:pPr>
              <w:pStyle w:val="13"/>
            </w:pPr>
            <w:r>
              <w:t>市民举报积极性是否提高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举报人满意度</w:t>
            </w:r>
          </w:p>
        </w:tc>
        <w:tc>
          <w:tcPr>
            <w:tcW w:w="2268" w:type="dxa"/>
            <w:vAlign w:val="center"/>
          </w:tcPr>
          <w:p>
            <w:pPr>
              <w:pStyle w:val="13"/>
            </w:pPr>
            <w:r>
              <w:t>≥98%</w:t>
            </w:r>
          </w:p>
        </w:tc>
        <w:tc>
          <w:tcPr>
            <w:tcW w:w="1276" w:type="dxa"/>
            <w:vAlign w:val="center"/>
          </w:tcPr>
          <w:p>
            <w:pPr>
              <w:pStyle w:val="13"/>
            </w:pPr>
            <w:r>
              <w:t>举报人是否满意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11、市政府微信和微博运维等政务公开经费绩效目标表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13010026P004L0810007G</w:t>
            </w:r>
          </w:p>
        </w:tc>
        <w:tc>
          <w:tcPr>
            <w:tcW w:w="2835" w:type="dxa"/>
            <w:vAlign w:val="center"/>
          </w:tcPr>
          <w:p>
            <w:pPr>
              <w:pStyle w:val="11"/>
            </w:pPr>
            <w:r>
              <w:t>项目名称</w:t>
            </w:r>
          </w:p>
        </w:tc>
        <w:tc>
          <w:tcPr>
            <w:tcW w:w="6095" w:type="dxa"/>
            <w:gridSpan w:val="3"/>
            <w:vAlign w:val="center"/>
          </w:tcPr>
          <w:p>
            <w:pPr>
              <w:pStyle w:val="13"/>
            </w:pPr>
            <w:r>
              <w:t>市政府微信和微博运维等政务公开经费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支付市政府微博、微信公众号建设运维费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1.用于市政府微博、微信公众号建设运维，确保工作正常开展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次数</w:t>
            </w:r>
          </w:p>
        </w:tc>
        <w:tc>
          <w:tcPr>
            <w:tcW w:w="5386" w:type="dxa"/>
            <w:vAlign w:val="center"/>
          </w:tcPr>
          <w:p>
            <w:pPr>
              <w:pStyle w:val="13"/>
            </w:pPr>
            <w:r>
              <w:t>实际发送的微博、微信公众号次数</w:t>
            </w:r>
          </w:p>
        </w:tc>
        <w:tc>
          <w:tcPr>
            <w:tcW w:w="2268" w:type="dxa"/>
            <w:vAlign w:val="center"/>
          </w:tcPr>
          <w:p>
            <w:pPr>
              <w:pStyle w:val="13"/>
            </w:pPr>
            <w:r>
              <w:t>≥30条/月</w:t>
            </w:r>
          </w:p>
        </w:tc>
        <w:tc>
          <w:tcPr>
            <w:tcW w:w="1276" w:type="dxa"/>
            <w:vAlign w:val="center"/>
          </w:tcPr>
          <w:p>
            <w:pPr>
              <w:pStyle w:val="13"/>
            </w:pPr>
            <w:r>
              <w:t>实际发送次数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业务完成质量</w:t>
            </w:r>
          </w:p>
        </w:tc>
        <w:tc>
          <w:tcPr>
            <w:tcW w:w="2268" w:type="dxa"/>
            <w:vAlign w:val="center"/>
          </w:tcPr>
          <w:p>
            <w:pPr>
              <w:pStyle w:val="13"/>
            </w:pPr>
            <w:r>
              <w:t>100%</w:t>
            </w:r>
          </w:p>
        </w:tc>
        <w:tc>
          <w:tcPr>
            <w:tcW w:w="1276" w:type="dxa"/>
            <w:vAlign w:val="center"/>
          </w:tcPr>
          <w:p>
            <w:pPr>
              <w:pStyle w:val="13"/>
            </w:pPr>
            <w:r>
              <w:t>业务完成质量品质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tc>
        <w:tc>
          <w:tcPr>
            <w:tcW w:w="5386" w:type="dxa"/>
            <w:vAlign w:val="center"/>
          </w:tcPr>
          <w:p>
            <w:pPr>
              <w:pStyle w:val="13"/>
            </w:pPr>
            <w:r>
              <w:t>工作完成的时效于计划差额</w:t>
            </w:r>
          </w:p>
          <w:p>
            <w:pPr>
              <w:pStyle w:val="13"/>
            </w:pPr>
          </w:p>
        </w:tc>
        <w:tc>
          <w:tcPr>
            <w:tcW w:w="2268" w:type="dxa"/>
            <w:vAlign w:val="center"/>
          </w:tcPr>
          <w:p>
            <w:pPr>
              <w:pStyle w:val="13"/>
            </w:pPr>
            <w:r>
              <w:t>≤1天</w:t>
            </w:r>
          </w:p>
        </w:tc>
        <w:tc>
          <w:tcPr>
            <w:tcW w:w="1276" w:type="dxa"/>
            <w:vAlign w:val="center"/>
          </w:tcPr>
          <w:p>
            <w:pPr>
              <w:pStyle w:val="13"/>
            </w:pPr>
            <w:r>
              <w:t>是否及时发送信息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≤42万元</w:t>
            </w:r>
          </w:p>
        </w:tc>
        <w:tc>
          <w:tcPr>
            <w:tcW w:w="1276" w:type="dxa"/>
            <w:vAlign w:val="center"/>
          </w:tcPr>
          <w:p>
            <w:pPr>
              <w:pStyle w:val="13"/>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微博、微信公众号市民知晓度</w:t>
            </w:r>
          </w:p>
        </w:tc>
        <w:tc>
          <w:tcPr>
            <w:tcW w:w="2268" w:type="dxa"/>
            <w:vAlign w:val="center"/>
          </w:tcPr>
          <w:p>
            <w:pPr>
              <w:pStyle w:val="13"/>
            </w:pPr>
            <w:r>
              <w:t>≥5%</w:t>
            </w:r>
          </w:p>
        </w:tc>
        <w:tc>
          <w:tcPr>
            <w:tcW w:w="1276" w:type="dxa"/>
            <w:vAlign w:val="center"/>
          </w:tcPr>
          <w:p>
            <w:pPr>
              <w:pStyle w:val="13"/>
            </w:pPr>
            <w:r>
              <w:t>是否产生一定的社会效益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2268" w:type="dxa"/>
            <w:vAlign w:val="center"/>
          </w:tcPr>
          <w:p>
            <w:pPr>
              <w:pStyle w:val="13"/>
            </w:pPr>
            <w:r>
              <w:t>≥98%</w:t>
            </w:r>
          </w:p>
        </w:tc>
        <w:tc>
          <w:tcPr>
            <w:tcW w:w="1276" w:type="dxa"/>
            <w:vAlign w:val="center"/>
          </w:tcPr>
          <w:p>
            <w:pPr>
              <w:pStyle w:val="13"/>
            </w:pPr>
            <w:r>
              <w:t>群众是否对发送的信息满意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12、私搭乱建、违章建筑专项整治指挥部集中办公经费绩效目标表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13010026P009683100101</w:t>
            </w:r>
          </w:p>
        </w:tc>
        <w:tc>
          <w:tcPr>
            <w:tcW w:w="2835" w:type="dxa"/>
            <w:vAlign w:val="center"/>
          </w:tcPr>
          <w:p>
            <w:pPr>
              <w:pStyle w:val="11"/>
            </w:pPr>
            <w:r>
              <w:t>项目名称</w:t>
            </w:r>
          </w:p>
        </w:tc>
        <w:tc>
          <w:tcPr>
            <w:tcW w:w="6095" w:type="dxa"/>
            <w:gridSpan w:val="3"/>
            <w:vAlign w:val="center"/>
          </w:tcPr>
          <w:p>
            <w:pPr>
              <w:pStyle w:val="13"/>
            </w:pPr>
            <w:r>
              <w:t>私搭乱建、违章建筑专项整治指挥部集中办公经费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支付私搭乱建、违章建筑专项整治指挥部办公经费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1.用于市私搭乱建、违章建筑专项整治指挥部办公经费，确保指挥部工作正常运转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指挥部实际工作人数</w:t>
            </w:r>
          </w:p>
        </w:tc>
        <w:tc>
          <w:tcPr>
            <w:tcW w:w="2268" w:type="dxa"/>
            <w:vAlign w:val="center"/>
          </w:tcPr>
          <w:p>
            <w:pPr>
              <w:pStyle w:val="13"/>
            </w:pPr>
            <w:r>
              <w:t>≥20人</w:t>
            </w:r>
          </w:p>
        </w:tc>
        <w:tc>
          <w:tcPr>
            <w:tcW w:w="1276" w:type="dxa"/>
            <w:vAlign w:val="center"/>
          </w:tcPr>
          <w:p>
            <w:pPr>
              <w:pStyle w:val="13"/>
            </w:pPr>
            <w:r>
              <w:t>工作人员是否充足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清理私搭乱建、违章建筑效果与计划对比</w:t>
            </w:r>
          </w:p>
        </w:tc>
        <w:tc>
          <w:tcPr>
            <w:tcW w:w="2268" w:type="dxa"/>
            <w:vAlign w:val="center"/>
          </w:tcPr>
          <w:p>
            <w:pPr>
              <w:pStyle w:val="13"/>
            </w:pPr>
            <w:r>
              <w:t xml:space="preserve">≥98% </w:t>
            </w:r>
          </w:p>
        </w:tc>
        <w:tc>
          <w:tcPr>
            <w:tcW w:w="1276" w:type="dxa"/>
            <w:vAlign w:val="center"/>
          </w:tcPr>
          <w:p>
            <w:pPr>
              <w:pStyle w:val="13"/>
            </w:pPr>
            <w:r>
              <w:t>清理质量是否达标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实际工作时长</w:t>
            </w:r>
          </w:p>
        </w:tc>
        <w:tc>
          <w:tcPr>
            <w:tcW w:w="2268" w:type="dxa"/>
            <w:vAlign w:val="center"/>
          </w:tcPr>
          <w:p>
            <w:pPr>
              <w:pStyle w:val="13"/>
            </w:pPr>
            <w:r>
              <w:t>≥1年</w:t>
            </w:r>
          </w:p>
        </w:tc>
        <w:tc>
          <w:tcPr>
            <w:tcW w:w="1276" w:type="dxa"/>
            <w:vAlign w:val="center"/>
          </w:tcPr>
          <w:p>
            <w:pPr>
              <w:pStyle w:val="13"/>
            </w:pPr>
            <w:r>
              <w:t>工作时长能否达到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≤30万</w:t>
            </w:r>
          </w:p>
        </w:tc>
        <w:tc>
          <w:tcPr>
            <w:tcW w:w="1276" w:type="dxa"/>
            <w:vAlign w:val="center"/>
          </w:tcPr>
          <w:p>
            <w:pPr>
              <w:pStyle w:val="13"/>
            </w:pPr>
            <w:r>
              <w:t>费用是否能控制在预算内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市容市貌达到预期效果</w:t>
            </w:r>
          </w:p>
        </w:tc>
        <w:tc>
          <w:tcPr>
            <w:tcW w:w="2268" w:type="dxa"/>
            <w:vAlign w:val="center"/>
          </w:tcPr>
          <w:p>
            <w:pPr>
              <w:pStyle w:val="13"/>
            </w:pPr>
            <w:r>
              <w:t>市容市貌达到预期效果</w:t>
            </w:r>
          </w:p>
        </w:tc>
        <w:tc>
          <w:tcPr>
            <w:tcW w:w="1276" w:type="dxa"/>
            <w:vAlign w:val="center"/>
          </w:tcPr>
          <w:p>
            <w:pPr>
              <w:pStyle w:val="13"/>
            </w:pPr>
            <w:r>
              <w:t>预期效果是否实现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指挥部工作人员满意度</w:t>
            </w:r>
          </w:p>
        </w:tc>
        <w:tc>
          <w:tcPr>
            <w:tcW w:w="2268" w:type="dxa"/>
            <w:vAlign w:val="center"/>
          </w:tcPr>
          <w:p>
            <w:pPr>
              <w:pStyle w:val="13"/>
            </w:pPr>
            <w:r>
              <w:t>≥98%</w:t>
            </w:r>
          </w:p>
        </w:tc>
        <w:tc>
          <w:tcPr>
            <w:tcW w:w="1276" w:type="dxa"/>
            <w:vAlign w:val="center"/>
          </w:tcPr>
          <w:p>
            <w:pPr>
              <w:pStyle w:val="13"/>
            </w:pPr>
            <w:r>
              <w:t>工作人员是否满意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13、驻京联络处服务保障经费绩效目标表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13010026P00031410005U</w:t>
            </w:r>
          </w:p>
        </w:tc>
        <w:tc>
          <w:tcPr>
            <w:tcW w:w="2835" w:type="dxa"/>
            <w:vAlign w:val="center"/>
          </w:tcPr>
          <w:p>
            <w:pPr>
              <w:pStyle w:val="11"/>
            </w:pPr>
            <w:r>
              <w:t>项目名称</w:t>
            </w:r>
          </w:p>
        </w:tc>
        <w:tc>
          <w:tcPr>
            <w:tcW w:w="6095" w:type="dxa"/>
            <w:gridSpan w:val="3"/>
            <w:vAlign w:val="center"/>
          </w:tcPr>
          <w:p>
            <w:pPr>
              <w:pStyle w:val="13"/>
            </w:pPr>
            <w:r>
              <w:t>驻京联络处服务保障经费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w:t>
            </w:r>
          </w:p>
        </w:tc>
        <w:tc>
          <w:tcPr>
            <w:tcW w:w="2835" w:type="dxa"/>
            <w:vAlign w:val="center"/>
          </w:tcPr>
          <w:p>
            <w:pPr>
              <w:pStyle w:val="11"/>
            </w:pPr>
            <w:r>
              <w:t>其中：财政    资金</w:t>
            </w:r>
          </w:p>
        </w:tc>
        <w:tc>
          <w:tcPr>
            <w:tcW w:w="2551" w:type="dxa"/>
            <w:vAlign w:val="center"/>
          </w:tcPr>
          <w:p>
            <w:pPr>
              <w:pStyle w:val="13"/>
            </w:pPr>
            <w:r>
              <w:t>320.00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支付驻京办办公经费及服务保障经费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1.完成在京与国家各部委对接，确保驻京办工作正常开展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对接活动次数</w:t>
            </w:r>
          </w:p>
        </w:tc>
        <w:tc>
          <w:tcPr>
            <w:tcW w:w="5386" w:type="dxa"/>
            <w:vAlign w:val="center"/>
          </w:tcPr>
          <w:p>
            <w:pPr>
              <w:pStyle w:val="13"/>
            </w:pPr>
            <w:r>
              <w:t>对接活动次数</w:t>
            </w:r>
          </w:p>
        </w:tc>
        <w:tc>
          <w:tcPr>
            <w:tcW w:w="2268" w:type="dxa"/>
            <w:vAlign w:val="center"/>
          </w:tcPr>
          <w:p>
            <w:pPr>
              <w:pStyle w:val="13"/>
            </w:pPr>
            <w:r>
              <w:t>≥50次</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活动效果</w:t>
            </w:r>
          </w:p>
        </w:tc>
        <w:tc>
          <w:tcPr>
            <w:tcW w:w="5386" w:type="dxa"/>
            <w:vAlign w:val="center"/>
          </w:tcPr>
          <w:p>
            <w:pPr>
              <w:pStyle w:val="13"/>
            </w:pPr>
            <w:r>
              <w:t>对接效果与预期对比</w:t>
            </w:r>
          </w:p>
        </w:tc>
        <w:tc>
          <w:tcPr>
            <w:tcW w:w="2268" w:type="dxa"/>
            <w:vAlign w:val="center"/>
          </w:tcPr>
          <w:p>
            <w:pPr>
              <w:pStyle w:val="13"/>
            </w:pPr>
            <w:r>
              <w:t>100%</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对接活动开展及时性</w:t>
            </w:r>
          </w:p>
        </w:tc>
        <w:tc>
          <w:tcPr>
            <w:tcW w:w="2268" w:type="dxa"/>
            <w:vAlign w:val="center"/>
          </w:tcPr>
          <w:p>
            <w:pPr>
              <w:pStyle w:val="13"/>
            </w:pPr>
            <w:r>
              <w:t>≤1小时</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≤320万元</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工作影响力</w:t>
            </w:r>
          </w:p>
        </w:tc>
        <w:tc>
          <w:tcPr>
            <w:tcW w:w="5386" w:type="dxa"/>
            <w:vAlign w:val="center"/>
          </w:tcPr>
          <w:p>
            <w:pPr>
              <w:pStyle w:val="13"/>
            </w:pPr>
            <w:r>
              <w:t>提高在京影响力</w:t>
            </w:r>
          </w:p>
        </w:tc>
        <w:tc>
          <w:tcPr>
            <w:tcW w:w="2268" w:type="dxa"/>
            <w:vAlign w:val="center"/>
          </w:tcPr>
          <w:p>
            <w:pPr>
              <w:pStyle w:val="13"/>
            </w:pPr>
            <w:r>
              <w:t>≥5%</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服务保障对象的满意度</w:t>
            </w:r>
          </w:p>
        </w:tc>
        <w:tc>
          <w:tcPr>
            <w:tcW w:w="2268" w:type="dxa"/>
            <w:vAlign w:val="center"/>
          </w:tcPr>
          <w:p>
            <w:pPr>
              <w:pStyle w:val="13"/>
            </w:pPr>
            <w:r>
              <w:t>≥98%</w:t>
            </w:r>
          </w:p>
        </w:tc>
        <w:tc>
          <w:tcPr>
            <w:tcW w:w="1276" w:type="dxa"/>
            <w:vAlign w:val="center"/>
          </w:tcPr>
          <w:p>
            <w:pPr>
              <w:pStyle w:val="13"/>
            </w:pPr>
            <w:r>
              <w:t>驻京办工作安排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301石家庄市人民政府办公室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3884.65</w:t>
            </w:r>
          </w:p>
        </w:tc>
        <w:tc>
          <w:tcPr>
            <w:tcW w:w="964" w:type="dxa"/>
            <w:vAlign w:val="center"/>
          </w:tcPr>
          <w:p>
            <w:pPr>
              <w:pStyle w:val="16"/>
            </w:pPr>
            <w:r>
              <w:t>3884.65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3884.65</w:t>
            </w:r>
          </w:p>
        </w:tc>
        <w:tc>
          <w:tcPr>
            <w:tcW w:w="964" w:type="dxa"/>
            <w:vAlign w:val="center"/>
          </w:tcPr>
          <w:p>
            <w:pPr>
              <w:pStyle w:val="16"/>
            </w:pPr>
            <w:r>
              <w:t>3884.65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219.41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1.10</w:t>
            </w:r>
          </w:p>
        </w:tc>
        <w:tc>
          <w:tcPr>
            <w:tcW w:w="964" w:type="dxa"/>
            <w:vAlign w:val="center"/>
          </w:tcPr>
          <w:p>
            <w:pPr>
              <w:pStyle w:val="12"/>
            </w:pPr>
            <w:r>
              <w:t>5.50</w:t>
            </w: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12</w:t>
            </w:r>
          </w:p>
        </w:tc>
        <w:tc>
          <w:tcPr>
            <w:tcW w:w="850" w:type="dxa"/>
            <w:vAlign w:val="center"/>
          </w:tcPr>
          <w:p>
            <w:pPr>
              <w:pStyle w:val="12"/>
            </w:pPr>
            <w:r>
              <w:t>0.50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平板式计算机</w:t>
            </w:r>
          </w:p>
        </w:tc>
        <w:tc>
          <w:tcPr>
            <w:tcW w:w="1134" w:type="dxa"/>
            <w:vAlign w:val="center"/>
          </w:tcPr>
          <w:p>
            <w:pPr>
              <w:pStyle w:val="13"/>
            </w:pPr>
            <w:r>
              <w:t>A02010109</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0.70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3.71</w:t>
            </w:r>
          </w:p>
        </w:tc>
        <w:tc>
          <w:tcPr>
            <w:tcW w:w="964" w:type="dxa"/>
            <w:vAlign w:val="center"/>
          </w:tcPr>
          <w:p>
            <w:pPr>
              <w:pStyle w:val="12"/>
            </w:pPr>
            <w:r>
              <w:t>3.71</w:t>
            </w:r>
          </w:p>
        </w:tc>
        <w:tc>
          <w:tcPr>
            <w:tcW w:w="964" w:type="dxa"/>
            <w:vAlign w:val="center"/>
          </w:tcPr>
          <w:p>
            <w:pPr>
              <w:pStyle w:val="12"/>
            </w:pPr>
            <w:r>
              <w:t>3.71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70.00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7.00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12345市政府公开电话热线保障经费</w:t>
            </w:r>
          </w:p>
        </w:tc>
        <w:tc>
          <w:tcPr>
            <w:tcW w:w="964" w:type="dxa"/>
            <w:vAlign w:val="center"/>
          </w:tcPr>
          <w:p>
            <w:pPr>
              <w:pStyle w:val="12"/>
            </w:pPr>
            <w:r>
              <w:t>3548.92</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3548.92</w:t>
            </w:r>
          </w:p>
        </w:tc>
        <w:tc>
          <w:tcPr>
            <w:tcW w:w="964" w:type="dxa"/>
            <w:vAlign w:val="center"/>
          </w:tcPr>
          <w:p>
            <w:pPr>
              <w:pStyle w:val="12"/>
            </w:pPr>
            <w:r>
              <w:t>3548.92</w:t>
            </w:r>
          </w:p>
        </w:tc>
        <w:tc>
          <w:tcPr>
            <w:tcW w:w="964" w:type="dxa"/>
            <w:vAlign w:val="center"/>
          </w:tcPr>
          <w:p>
            <w:pPr>
              <w:pStyle w:val="12"/>
            </w:pPr>
            <w:r>
              <w:t>3548.92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办公室综合业务保障经费</w:t>
            </w:r>
          </w:p>
        </w:tc>
        <w:tc>
          <w:tcPr>
            <w:tcW w:w="964" w:type="dxa"/>
            <w:vAlign w:val="center"/>
          </w:tcPr>
          <w:p>
            <w:pPr>
              <w:pStyle w:val="12"/>
            </w:pPr>
            <w:r>
              <w:t>200.00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公务服务和会务服务保障经费</w:t>
            </w:r>
          </w:p>
        </w:tc>
        <w:tc>
          <w:tcPr>
            <w:tcW w:w="964" w:type="dxa"/>
            <w:vAlign w:val="center"/>
          </w:tcPr>
          <w:p>
            <w:pPr>
              <w:pStyle w:val="12"/>
            </w:pPr>
            <w:r>
              <w:t>185.00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185.00</w:t>
            </w:r>
          </w:p>
        </w:tc>
        <w:tc>
          <w:tcPr>
            <w:tcW w:w="964" w:type="dxa"/>
            <w:vAlign w:val="center"/>
          </w:tcPr>
          <w:p>
            <w:pPr>
              <w:pStyle w:val="12"/>
            </w:pPr>
            <w:r>
              <w:t>185.00</w:t>
            </w:r>
          </w:p>
        </w:tc>
        <w:tc>
          <w:tcPr>
            <w:tcW w:w="964" w:type="dxa"/>
            <w:vAlign w:val="center"/>
          </w:tcPr>
          <w:p>
            <w:pPr>
              <w:pStyle w:val="12"/>
            </w:pPr>
            <w:r>
              <w:t>185.00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市政府微信和微博运维等政务公开经费</w:t>
            </w:r>
          </w:p>
        </w:tc>
        <w:tc>
          <w:tcPr>
            <w:tcW w:w="964" w:type="dxa"/>
            <w:vAlign w:val="center"/>
          </w:tcPr>
          <w:p>
            <w:pPr>
              <w:pStyle w:val="12"/>
            </w:pPr>
            <w:r>
              <w:t>42.00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42.00</w:t>
            </w:r>
          </w:p>
        </w:tc>
        <w:tc>
          <w:tcPr>
            <w:tcW w:w="964" w:type="dxa"/>
            <w:vAlign w:val="center"/>
          </w:tcPr>
          <w:p>
            <w:pPr>
              <w:pStyle w:val="12"/>
            </w:pPr>
            <w:r>
              <w:t>42.00</w:t>
            </w:r>
          </w:p>
        </w:tc>
        <w:tc>
          <w:tcPr>
            <w:tcW w:w="964" w:type="dxa"/>
            <w:vAlign w:val="center"/>
          </w:tcPr>
          <w:p>
            <w:pPr>
              <w:pStyle w:val="12"/>
            </w:pPr>
            <w:r>
              <w:t>42.00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0.50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0.10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文件(图文)传真机</w:t>
            </w:r>
          </w:p>
        </w:tc>
        <w:tc>
          <w:tcPr>
            <w:tcW w:w="1134" w:type="dxa"/>
            <w:vAlign w:val="center"/>
          </w:tcPr>
          <w:p>
            <w:pPr>
              <w:pStyle w:val="13"/>
            </w:pPr>
            <w:r>
              <w:t>A02081001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0.16</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keepNext w:val="0"/>
        <w:keepLines w:val="0"/>
        <w:widowControl/>
        <w:suppressLineNumbers w:val="0"/>
        <w:spacing w:before="0" w:beforeAutospacing="0" w:after="0" w:afterAutospacing="0" w:line="500" w:lineRule="atLeast"/>
        <w:ind w:left="0" w:right="0" w:firstLine="560"/>
        <w:jc w:val="left"/>
        <w:rPr>
          <w:rFonts w:ascii="Calibri" w:hAnsi="Calibri" w:cs="Calibri"/>
          <w:b w:val="0"/>
          <w:i w:val="0"/>
          <w:caps w:val="0"/>
          <w:color w:val="000000"/>
          <w:spacing w:val="0"/>
          <w:sz w:val="22"/>
          <w:szCs w:val="22"/>
        </w:rPr>
      </w:pPr>
      <w:r>
        <w:rPr>
          <w:rFonts w:hint="default" w:ascii="Times New Roman" w:hAnsi="Times New Roman" w:eastAsia="宋体" w:cs="Times New Roman"/>
          <w:b w:val="0"/>
          <w:i w:val="0"/>
          <w:caps w:val="0"/>
          <w:color w:val="000000"/>
          <w:spacing w:val="0"/>
          <w:kern w:val="0"/>
          <w:sz w:val="28"/>
          <w:szCs w:val="28"/>
          <w:lang w:val="en-US" w:eastAsia="zh-CN" w:bidi="ar"/>
        </w:rPr>
        <w:t>石家庄市人民政府办公室（含所属单位）上年末固定资产金额为731.60万元（详见下表）。本年度拟购置固定资产总额为15.91万元，已按要求列入政府采购预算，详见政府采购预算表。</w:t>
      </w:r>
    </w:p>
    <w:p>
      <w:pPr>
        <w:keepNext w:val="0"/>
        <w:keepLines w:val="0"/>
        <w:widowControl/>
        <w:suppressLineNumbers w:val="0"/>
        <w:spacing w:before="0" w:beforeAutospacing="0" w:after="0" w:afterAutospacing="0" w:line="15" w:lineRule="atLeast"/>
        <w:ind w:left="0" w:right="0" w:firstLine="0"/>
        <w:jc w:val="center"/>
        <w:rPr>
          <w:rFonts w:hint="default" w:ascii="Calibri" w:hAnsi="Calibri" w:cs="Calibri"/>
          <w:b w:val="0"/>
          <w:i w:val="0"/>
          <w:caps w:val="0"/>
          <w:color w:val="000000"/>
          <w:spacing w:val="0"/>
          <w:sz w:val="22"/>
          <w:szCs w:val="22"/>
        </w:rPr>
      </w:pPr>
      <w:r>
        <w:rPr>
          <w:rFonts w:ascii="方正小标宋_GBK" w:hAnsi="方正小标宋_GBK" w:eastAsia="方正小标宋_GBK" w:cs="方正小标宋_GBK"/>
          <w:b w:val="0"/>
          <w:i w:val="0"/>
          <w:caps w:val="0"/>
          <w:color w:val="000000"/>
          <w:spacing w:val="0"/>
          <w:kern w:val="0"/>
          <w:sz w:val="36"/>
          <w:szCs w:val="36"/>
          <w:lang w:val="en-US" w:eastAsia="zh-CN" w:bidi="ar"/>
        </w:rPr>
        <w:t>部门固定资产占用情况表</w:t>
      </w:r>
    </w:p>
    <w:tbl>
      <w:tblPr>
        <w:tblStyle w:val="6"/>
        <w:tblW w:w="13040" w:type="dxa"/>
        <w:tblInd w:w="0" w:type="dxa"/>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301石家庄市人民政府办公室</w:t>
            </w:r>
          </w:p>
        </w:tc>
        <w:tc>
          <w:tcPr>
            <w:tcW w:w="567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截止时间：2025-12-31</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项 目</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数量</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价值（金额单位：万元）</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资产总额</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731.60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1、房屋（平方米）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其中：办公用房（平方米）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2、车辆（台、辆）</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3、单价在20万元以上的设备</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21.00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4、其他固定资产</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2496</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710.60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_GBK">
    <w:altName w:val="Arial Unicode MS"/>
    <w:panose1 w:val="02000000000000000000"/>
    <w:charset w:val="86"/>
    <w:family w:val="script"/>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00" w:usb3="00000000" w:csb0="00000000"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GulimChe">
    <w:panose1 w:val="020B0609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AngsanaUPC">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Blackadder ITC">
    <w:panose1 w:val="04020505051007020D02"/>
    <w:charset w:val="00"/>
    <w:family w:val="auto"/>
    <w:pitch w:val="default"/>
    <w:sig w:usb0="00000003" w:usb1="00000000" w:usb2="00000000" w:usb3="00000000" w:csb0="20000001" w:csb1="00000000"/>
  </w:font>
  <w:font w:name="Bodoni MT Black">
    <w:panose1 w:val="02070A03080606020203"/>
    <w:charset w:val="00"/>
    <w:family w:val="auto"/>
    <w:pitch w:val="default"/>
    <w:sig w:usb0="00000003" w:usb1="00000000" w:usb2="00000000" w:usb3="00000000" w:csb0="20000001" w:csb1="00000000"/>
  </w:font>
  <w:font w:name="Brush Script MT">
    <w:panose1 w:val="03060802040406070304"/>
    <w:charset w:val="00"/>
    <w:family w:val="auto"/>
    <w:pitch w:val="default"/>
    <w:sig w:usb0="00000003"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ndara">
    <w:panose1 w:val="020E0502030303020204"/>
    <w:charset w:val="00"/>
    <w:family w:val="auto"/>
    <w:pitch w:val="default"/>
    <w:sig w:usb0="A00002EF" w:usb1="4000A44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9134DA"/>
    <w:rsid w:val="239A2969"/>
    <w:rsid w:val="29FE1DB0"/>
    <w:rsid w:val="2B796763"/>
    <w:rsid w:val="31DA2F5A"/>
    <w:rsid w:val="3C827012"/>
    <w:rsid w:val="474E7A70"/>
    <w:rsid w:val="4A3E5ECA"/>
    <w:rsid w:val="532750C3"/>
    <w:rsid w:val="662E2BCA"/>
    <w:rsid w:val="69C456AD"/>
    <w:rsid w:val="70021FFD"/>
    <w:rsid w:val="71D42092"/>
    <w:rsid w:val="722D2062"/>
    <w:rsid w:val="79C15951"/>
    <w:rsid w:val="7C387091"/>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2026-02-09T11:51:00Z</dcterms:created>
  <dc:creator>lenovo</dc:creator>
  <cp:lastModifiedBy>lenovo</cp:lastModifiedBy>
  <dcterms:modified xsi:type="dcterms:W3CDTF">2026-06-05T03:28:30Z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