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eastAsia="宋体" w:cs="宋体"/>
          <w:b/>
          <w:bCs/>
          <w:sz w:val="44"/>
          <w:szCs w:val="44"/>
          <w:lang w:eastAsia="zh-CN"/>
        </w:rPr>
      </w:pPr>
      <w:r>
        <w:rPr>
          <w:rFonts w:hint="eastAsia" w:ascii="宋体" w:hAnsi="宋体" w:cs="宋体"/>
          <w:b/>
          <w:bCs/>
          <w:sz w:val="44"/>
          <w:szCs w:val="44"/>
          <w:lang w:eastAsia="zh-CN"/>
        </w:rPr>
        <w:t>石家庄市行政审批局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2025年度整体支出绩效</w:t>
      </w:r>
      <w:r>
        <w:rPr>
          <w:rFonts w:hint="eastAsia" w:ascii="宋体" w:hAnsi="宋体" w:cs="宋体"/>
          <w:b/>
          <w:bCs/>
          <w:sz w:val="44"/>
          <w:szCs w:val="44"/>
        </w:rPr>
        <w:t>自评报告</w:t>
      </w: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b/>
          <w:bCs/>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ascii="方正小标宋简体" w:hAnsi="Calibri" w:eastAsia="方正小标宋简体" w:cs="黑体"/>
          <w:b/>
          <w:bCs/>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eastAsia" w:ascii="仿宋_GB2312" w:hAnsi="Calibri" w:eastAsia="仿宋_GB2312"/>
          <w:bCs/>
          <w:sz w:val="32"/>
          <w:szCs w:val="20"/>
          <w:highlight w:val="none"/>
          <w:lang w:val="en-US" w:eastAsia="zh-CN"/>
        </w:rPr>
      </w:pPr>
      <w:r>
        <w:rPr>
          <w:rFonts w:hint="eastAsia" w:ascii="仿宋_GB2312" w:eastAsia="仿宋_GB2312"/>
          <w:bCs/>
          <w:sz w:val="32"/>
          <w:szCs w:val="20"/>
          <w:highlight w:val="none"/>
          <w:lang w:val="en-US" w:eastAsia="zh-CN"/>
        </w:rPr>
        <w:t>石家庄市行政审批局</w:t>
      </w: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eastAsia" w:ascii="仿宋_GB2312" w:hAnsi="Calibri" w:eastAsia="仿宋_GB2312"/>
          <w:bCs/>
          <w:sz w:val="32"/>
          <w:szCs w:val="20"/>
          <w:highlight w:val="none"/>
          <w:lang w:val="zh-CN"/>
        </w:rPr>
        <w:sectPr>
          <w:pgSz w:w="11906" w:h="16838"/>
          <w:pgMar w:top="2041" w:right="1304" w:bottom="1701" w:left="1531" w:header="851" w:footer="992" w:gutter="0"/>
          <w:pgNumType w:fmt="decimal"/>
          <w:cols w:space="720" w:num="1"/>
          <w:docGrid w:type="lines" w:linePitch="312" w:charSpace="0"/>
        </w:sectPr>
      </w:pPr>
      <w:bookmarkStart w:id="0" w:name="_Toc3470"/>
      <w:r>
        <w:rPr>
          <w:rFonts w:ascii="仿宋_GB2312" w:hAnsi="Calibri" w:eastAsia="仿宋_GB2312"/>
          <w:bCs/>
          <w:sz w:val="32"/>
          <w:szCs w:val="20"/>
          <w:highlight w:val="none"/>
          <w:lang w:val="zh-CN"/>
        </w:rPr>
        <w:t>202</w:t>
      </w:r>
      <w:r>
        <w:rPr>
          <w:rFonts w:hint="eastAsia" w:ascii="仿宋_GB2312" w:eastAsia="仿宋_GB2312"/>
          <w:bCs/>
          <w:sz w:val="32"/>
          <w:szCs w:val="20"/>
          <w:highlight w:val="none"/>
          <w:lang w:val="en-US" w:eastAsia="zh-CN"/>
        </w:rPr>
        <w:t>6</w:t>
      </w:r>
      <w:r>
        <w:rPr>
          <w:rFonts w:hint="eastAsia" w:ascii="仿宋_GB2312" w:hAnsi="Calibri" w:eastAsia="仿宋_GB2312"/>
          <w:bCs/>
          <w:sz w:val="32"/>
          <w:szCs w:val="20"/>
          <w:highlight w:val="none"/>
          <w:lang w:val="zh-CN"/>
        </w:rPr>
        <w:t>年</w:t>
      </w:r>
      <w:r>
        <w:rPr>
          <w:rFonts w:hint="eastAsia" w:ascii="仿宋_GB2312" w:eastAsia="仿宋_GB2312"/>
          <w:bCs/>
          <w:sz w:val="32"/>
          <w:szCs w:val="20"/>
          <w:highlight w:val="none"/>
          <w:lang w:val="en-US" w:eastAsia="zh-CN"/>
        </w:rPr>
        <w:t>4</w:t>
      </w:r>
      <w:r>
        <w:rPr>
          <w:rFonts w:hint="eastAsia" w:ascii="仿宋_GB2312" w:hAnsi="Calibri" w:eastAsia="仿宋_GB2312"/>
          <w:bCs/>
          <w:sz w:val="32"/>
          <w:szCs w:val="20"/>
          <w:highlight w:val="none"/>
          <w:lang w:val="zh-CN"/>
        </w:rPr>
        <w:t>月</w:t>
      </w:r>
      <w:bookmarkEnd w:id="0"/>
    </w:p>
    <w:p>
      <w:pPr>
        <w:spacing w:before="0" w:beforeLines="0" w:after="0" w:afterLines="0" w:line="240" w:lineRule="auto"/>
        <w:ind w:left="0" w:leftChars="0" w:right="0" w:rightChars="0" w:firstLine="0" w:firstLineChars="0"/>
        <w:jc w:val="center"/>
        <w:rPr>
          <w:b/>
          <w:bCs/>
          <w:sz w:val="48"/>
          <w:szCs w:val="48"/>
        </w:rPr>
      </w:pPr>
      <w:r>
        <w:rPr>
          <w:rFonts w:ascii="宋体" w:hAnsi="宋体" w:eastAsia="宋体"/>
          <w:b/>
          <w:bCs/>
          <w:sz w:val="48"/>
          <w:szCs w:val="48"/>
        </w:rPr>
        <w:t>目</w:t>
      </w:r>
      <w:r>
        <w:rPr>
          <w:rFonts w:hint="eastAsia" w:ascii="宋体" w:hAnsi="宋体"/>
          <w:b/>
          <w:bCs/>
          <w:sz w:val="48"/>
          <w:szCs w:val="48"/>
          <w:lang w:val="en-US" w:eastAsia="zh-CN"/>
        </w:rPr>
        <w:t xml:space="preserve"> </w:t>
      </w:r>
      <w:r>
        <w:rPr>
          <w:rFonts w:ascii="宋体" w:hAnsi="宋体" w:eastAsia="宋体"/>
          <w:b/>
          <w:bCs/>
          <w:sz w:val="48"/>
          <w:szCs w:val="48"/>
        </w:rPr>
        <w:t>录</w:t>
      </w:r>
    </w:p>
    <w:p>
      <w:pPr>
        <w:pStyle w:val="15"/>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
          <w:bCs/>
          <w:sz w:val="28"/>
          <w:szCs w:val="28"/>
        </w:rPr>
        <w:fldChar w:fldCharType="begin"/>
      </w:r>
      <w:r>
        <w:rPr>
          <w:rFonts w:hint="eastAsia" w:ascii="黑体" w:hAnsi="黑体" w:eastAsia="黑体" w:cs="黑体"/>
          <w:b/>
          <w:bCs/>
          <w:sz w:val="28"/>
          <w:szCs w:val="28"/>
        </w:rPr>
        <w:instrText xml:space="preserve">TOC \o "1-3" \h \u </w:instrText>
      </w:r>
      <w:r>
        <w:rPr>
          <w:rFonts w:hint="eastAsia" w:ascii="黑体" w:hAnsi="黑体" w:eastAsia="黑体" w:cs="黑体"/>
          <w:b/>
          <w:bCs/>
          <w:sz w:val="28"/>
          <w:szCs w:val="28"/>
        </w:rPr>
        <w:fldChar w:fldCharType="separate"/>
      </w: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_Toc23815 </w:instrText>
      </w:r>
      <w:r>
        <w:rPr>
          <w:rFonts w:hint="eastAsia" w:ascii="黑体" w:hAnsi="黑体" w:eastAsia="黑体" w:cs="黑体"/>
          <w:bCs/>
          <w:sz w:val="28"/>
          <w:szCs w:val="28"/>
        </w:rPr>
        <w:fldChar w:fldCharType="separate"/>
      </w:r>
      <w:r>
        <w:rPr>
          <w:rFonts w:hint="eastAsia" w:ascii="黑体" w:hAnsi="黑体" w:eastAsia="黑体" w:cs="黑体"/>
          <w:sz w:val="28"/>
          <w:szCs w:val="28"/>
        </w:rPr>
        <w:t>一、</w:t>
      </w:r>
      <w:r>
        <w:rPr>
          <w:rFonts w:hint="eastAsia" w:ascii="黑体" w:hAnsi="黑体" w:eastAsia="黑体" w:cs="黑体"/>
          <w:sz w:val="28"/>
          <w:szCs w:val="28"/>
          <w:lang w:eastAsia="zh-CN"/>
        </w:rPr>
        <w:t>部门</w:t>
      </w:r>
      <w:r>
        <w:rPr>
          <w:rFonts w:hint="eastAsia" w:ascii="黑体" w:hAnsi="黑体" w:eastAsia="黑体" w:cs="黑体"/>
          <w:sz w:val="28"/>
          <w:szCs w:val="28"/>
        </w:rPr>
        <w:t>基本情况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_Toc23815 \h </w:instrText>
      </w:r>
      <w:r>
        <w:rPr>
          <w:rFonts w:hint="eastAsia" w:ascii="黑体" w:hAnsi="黑体" w:eastAsia="黑体" w:cs="黑体"/>
          <w:sz w:val="28"/>
          <w:szCs w:val="28"/>
        </w:rPr>
        <w:fldChar w:fldCharType="separate"/>
      </w:r>
      <w:r>
        <w:rPr>
          <w:rFonts w:hint="eastAsia" w:ascii="黑体" w:hAnsi="黑体" w:eastAsia="黑体" w:cs="黑体"/>
          <w:sz w:val="28"/>
          <w:szCs w:val="28"/>
        </w:rPr>
        <w:t>- 1 -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_Toc23389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（一）部门概况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_Toc23389 \h </w:instrText>
      </w:r>
      <w:r>
        <w:rPr>
          <w:rFonts w:hint="eastAsia" w:ascii="黑体" w:hAnsi="黑体" w:eastAsia="黑体" w:cs="黑体"/>
          <w:sz w:val="28"/>
          <w:szCs w:val="28"/>
        </w:rPr>
        <w:fldChar w:fldCharType="separate"/>
      </w:r>
      <w:r>
        <w:rPr>
          <w:rFonts w:hint="eastAsia" w:ascii="黑体" w:hAnsi="黑体" w:eastAsia="黑体" w:cs="黑体"/>
          <w:sz w:val="28"/>
          <w:szCs w:val="28"/>
        </w:rPr>
        <w:t>- 1 -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_Toc2634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（二）部门收支预决算情况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_Toc2634 \h </w:instrText>
      </w:r>
      <w:r>
        <w:rPr>
          <w:rFonts w:hint="eastAsia" w:ascii="黑体" w:hAnsi="黑体" w:eastAsia="黑体" w:cs="黑体"/>
          <w:sz w:val="28"/>
          <w:szCs w:val="28"/>
        </w:rPr>
        <w:fldChar w:fldCharType="separate"/>
      </w:r>
      <w:r>
        <w:rPr>
          <w:rFonts w:hint="eastAsia" w:ascii="黑体" w:hAnsi="黑体" w:eastAsia="黑体" w:cs="黑体"/>
          <w:sz w:val="28"/>
          <w:szCs w:val="28"/>
        </w:rPr>
        <w:t>- 3 -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_Toc22310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（三）部门整体支出绩效目标、指标</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_Toc22310 \h </w:instrText>
      </w:r>
      <w:r>
        <w:rPr>
          <w:rFonts w:hint="eastAsia" w:ascii="黑体" w:hAnsi="黑体" w:eastAsia="黑体" w:cs="黑体"/>
          <w:sz w:val="28"/>
          <w:szCs w:val="28"/>
        </w:rPr>
        <w:fldChar w:fldCharType="separate"/>
      </w:r>
      <w:r>
        <w:rPr>
          <w:rFonts w:hint="eastAsia" w:ascii="黑体" w:hAnsi="黑体" w:eastAsia="黑体" w:cs="黑体"/>
          <w:sz w:val="28"/>
          <w:szCs w:val="28"/>
        </w:rPr>
        <w:t>- 4 -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5"/>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_Toc7513 </w:instrText>
      </w:r>
      <w:r>
        <w:rPr>
          <w:rFonts w:hint="eastAsia" w:ascii="黑体" w:hAnsi="黑体" w:eastAsia="黑体" w:cs="黑体"/>
          <w:bCs/>
          <w:sz w:val="28"/>
          <w:szCs w:val="28"/>
        </w:rPr>
        <w:fldChar w:fldCharType="separate"/>
      </w:r>
      <w:r>
        <w:rPr>
          <w:rFonts w:hint="eastAsia" w:ascii="黑体" w:hAnsi="黑体" w:eastAsia="黑体" w:cs="黑体"/>
          <w:sz w:val="28"/>
          <w:szCs w:val="28"/>
        </w:rPr>
        <w:t>二、自评工作</w:t>
      </w:r>
      <w:r>
        <w:rPr>
          <w:rFonts w:hint="eastAsia" w:ascii="黑体" w:hAnsi="黑体" w:eastAsia="黑体" w:cs="黑体"/>
          <w:sz w:val="28"/>
          <w:szCs w:val="28"/>
          <w:lang w:eastAsia="zh-CN"/>
        </w:rPr>
        <w:t>开展</w:t>
      </w:r>
      <w:r>
        <w:rPr>
          <w:rFonts w:hint="eastAsia" w:ascii="黑体" w:hAnsi="黑体" w:eastAsia="黑体" w:cs="黑体"/>
          <w:sz w:val="28"/>
          <w:szCs w:val="28"/>
        </w:rPr>
        <w:t>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_Toc7513 \h </w:instrText>
      </w:r>
      <w:r>
        <w:rPr>
          <w:rFonts w:hint="eastAsia" w:ascii="黑体" w:hAnsi="黑体" w:eastAsia="黑体" w:cs="黑体"/>
          <w:sz w:val="28"/>
          <w:szCs w:val="28"/>
        </w:rPr>
        <w:fldChar w:fldCharType="separate"/>
      </w:r>
      <w:r>
        <w:rPr>
          <w:rFonts w:hint="eastAsia" w:ascii="黑体" w:hAnsi="黑体" w:eastAsia="黑体" w:cs="黑体"/>
          <w:sz w:val="28"/>
          <w:szCs w:val="28"/>
        </w:rPr>
        <w:t>- 5 -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_Toc22360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（一）自评的组织工作</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_Toc22360 \h </w:instrText>
      </w:r>
      <w:r>
        <w:rPr>
          <w:rFonts w:hint="eastAsia" w:ascii="黑体" w:hAnsi="黑体" w:eastAsia="黑体" w:cs="黑体"/>
          <w:sz w:val="28"/>
          <w:szCs w:val="28"/>
        </w:rPr>
        <w:fldChar w:fldCharType="separate"/>
      </w:r>
      <w:r>
        <w:rPr>
          <w:rFonts w:hint="eastAsia" w:ascii="黑体" w:hAnsi="黑体" w:eastAsia="黑体" w:cs="黑体"/>
          <w:sz w:val="28"/>
          <w:szCs w:val="28"/>
        </w:rPr>
        <w:t>- 5 -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_Toc2757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（二）绩效自评目的</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_Toc2757 \h </w:instrText>
      </w:r>
      <w:r>
        <w:rPr>
          <w:rFonts w:hint="eastAsia" w:ascii="黑体" w:hAnsi="黑体" w:eastAsia="黑体" w:cs="黑体"/>
          <w:sz w:val="28"/>
          <w:szCs w:val="28"/>
        </w:rPr>
        <w:fldChar w:fldCharType="separate"/>
      </w:r>
      <w:r>
        <w:rPr>
          <w:rFonts w:hint="eastAsia" w:ascii="黑体" w:hAnsi="黑体" w:eastAsia="黑体" w:cs="黑体"/>
          <w:sz w:val="28"/>
          <w:szCs w:val="28"/>
        </w:rPr>
        <w:t>- 6 -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_Toc30389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（三）绩效自评内容</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_Toc30389 \h </w:instrText>
      </w:r>
      <w:r>
        <w:rPr>
          <w:rFonts w:hint="eastAsia" w:ascii="黑体" w:hAnsi="黑体" w:eastAsia="黑体" w:cs="黑体"/>
          <w:sz w:val="28"/>
          <w:szCs w:val="28"/>
        </w:rPr>
        <w:fldChar w:fldCharType="separate"/>
      </w:r>
      <w:r>
        <w:rPr>
          <w:rFonts w:hint="eastAsia" w:ascii="黑体" w:hAnsi="黑体" w:eastAsia="黑体" w:cs="黑体"/>
          <w:sz w:val="28"/>
          <w:szCs w:val="28"/>
        </w:rPr>
        <w:t>- 6 -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_Toc24812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（四）自评的原则</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_Toc24812 \h </w:instrText>
      </w:r>
      <w:r>
        <w:rPr>
          <w:rFonts w:hint="eastAsia" w:ascii="黑体" w:hAnsi="黑体" w:eastAsia="黑体" w:cs="黑体"/>
          <w:sz w:val="28"/>
          <w:szCs w:val="28"/>
        </w:rPr>
        <w:fldChar w:fldCharType="separate"/>
      </w:r>
      <w:r>
        <w:rPr>
          <w:rFonts w:hint="eastAsia" w:ascii="黑体" w:hAnsi="黑体" w:eastAsia="黑体" w:cs="黑体"/>
          <w:sz w:val="28"/>
          <w:szCs w:val="28"/>
        </w:rPr>
        <w:t>- 6 -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_Toc5667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（五）绩效自评过程</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_Toc5667 \h </w:instrText>
      </w:r>
      <w:r>
        <w:rPr>
          <w:rFonts w:hint="eastAsia" w:ascii="黑体" w:hAnsi="黑体" w:eastAsia="黑体" w:cs="黑体"/>
          <w:sz w:val="28"/>
          <w:szCs w:val="28"/>
        </w:rPr>
        <w:fldChar w:fldCharType="separate"/>
      </w:r>
      <w:r>
        <w:rPr>
          <w:rFonts w:hint="eastAsia" w:ascii="黑体" w:hAnsi="黑体" w:eastAsia="黑体" w:cs="黑体"/>
          <w:sz w:val="28"/>
          <w:szCs w:val="28"/>
        </w:rPr>
        <w:t>- 7 -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5"/>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_Toc24858 </w:instrText>
      </w:r>
      <w:r>
        <w:rPr>
          <w:rFonts w:hint="eastAsia" w:ascii="黑体" w:hAnsi="黑体" w:eastAsia="黑体" w:cs="黑体"/>
          <w:bCs/>
          <w:sz w:val="28"/>
          <w:szCs w:val="28"/>
        </w:rPr>
        <w:fldChar w:fldCharType="separate"/>
      </w:r>
      <w:r>
        <w:rPr>
          <w:rFonts w:hint="eastAsia" w:ascii="黑体" w:hAnsi="黑体" w:eastAsia="黑体" w:cs="黑体"/>
          <w:sz w:val="28"/>
          <w:szCs w:val="28"/>
        </w:rPr>
        <w:t>三、</w:t>
      </w:r>
      <w:r>
        <w:rPr>
          <w:rFonts w:hint="eastAsia" w:ascii="黑体" w:hAnsi="黑体" w:eastAsia="黑体" w:cs="黑体"/>
          <w:sz w:val="28"/>
          <w:szCs w:val="28"/>
          <w:lang w:eastAsia="zh-CN"/>
        </w:rPr>
        <w:t>部门整体支出</w:t>
      </w:r>
      <w:r>
        <w:rPr>
          <w:rFonts w:hint="eastAsia" w:ascii="黑体" w:hAnsi="黑体" w:eastAsia="黑体" w:cs="黑体"/>
          <w:sz w:val="28"/>
          <w:szCs w:val="28"/>
        </w:rPr>
        <w:t>绩效</w:t>
      </w:r>
      <w:r>
        <w:rPr>
          <w:rFonts w:hint="eastAsia" w:ascii="黑体" w:hAnsi="黑体" w:eastAsia="黑体" w:cs="黑体"/>
          <w:sz w:val="28"/>
          <w:szCs w:val="28"/>
          <w:lang w:eastAsia="zh-CN"/>
        </w:rPr>
        <w:t>目标实现情况及指标分析</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_Toc24858 \h </w:instrText>
      </w:r>
      <w:r>
        <w:rPr>
          <w:rFonts w:hint="eastAsia" w:ascii="黑体" w:hAnsi="黑体" w:eastAsia="黑体" w:cs="黑体"/>
          <w:sz w:val="28"/>
          <w:szCs w:val="28"/>
        </w:rPr>
        <w:fldChar w:fldCharType="separate"/>
      </w:r>
      <w:r>
        <w:rPr>
          <w:rFonts w:hint="eastAsia" w:ascii="黑体" w:hAnsi="黑体" w:eastAsia="黑体" w:cs="黑体"/>
          <w:sz w:val="28"/>
          <w:szCs w:val="28"/>
        </w:rPr>
        <w:t>- 7 -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_Toc11729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（一）总体绩效目标实现情况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_Toc11729 \h </w:instrText>
      </w:r>
      <w:r>
        <w:rPr>
          <w:rFonts w:hint="eastAsia" w:ascii="黑体" w:hAnsi="黑体" w:eastAsia="黑体" w:cs="黑体"/>
          <w:sz w:val="28"/>
          <w:szCs w:val="28"/>
        </w:rPr>
        <w:fldChar w:fldCharType="separate"/>
      </w:r>
      <w:r>
        <w:rPr>
          <w:rFonts w:hint="eastAsia" w:ascii="黑体" w:hAnsi="黑体" w:eastAsia="黑体" w:cs="黑体"/>
          <w:sz w:val="28"/>
          <w:szCs w:val="28"/>
        </w:rPr>
        <w:t>- 7 -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_Toc13965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（二）分项绩效目标实现情况及指标分析</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_Toc13965 \h </w:instrText>
      </w:r>
      <w:r>
        <w:rPr>
          <w:rFonts w:hint="eastAsia" w:ascii="黑体" w:hAnsi="黑体" w:eastAsia="黑体" w:cs="黑体"/>
          <w:sz w:val="28"/>
          <w:szCs w:val="28"/>
        </w:rPr>
        <w:fldChar w:fldCharType="separate"/>
      </w:r>
      <w:r>
        <w:rPr>
          <w:rFonts w:hint="eastAsia" w:ascii="黑体" w:hAnsi="黑体" w:eastAsia="黑体" w:cs="黑体"/>
          <w:sz w:val="28"/>
          <w:szCs w:val="28"/>
        </w:rPr>
        <w:t>- 7 -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5"/>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_Toc10403 </w:instrText>
      </w:r>
      <w:r>
        <w:rPr>
          <w:rFonts w:hint="eastAsia" w:ascii="黑体" w:hAnsi="黑体" w:eastAsia="黑体" w:cs="黑体"/>
          <w:bCs/>
          <w:sz w:val="28"/>
          <w:szCs w:val="28"/>
        </w:rPr>
        <w:fldChar w:fldCharType="separate"/>
      </w:r>
      <w:r>
        <w:rPr>
          <w:rFonts w:hint="eastAsia" w:ascii="黑体" w:hAnsi="黑体" w:eastAsia="黑体" w:cs="黑体"/>
          <w:sz w:val="28"/>
          <w:szCs w:val="28"/>
        </w:rPr>
        <w:t>四、评价结论和评价等级</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_Toc10403 \h </w:instrText>
      </w:r>
      <w:r>
        <w:rPr>
          <w:rFonts w:hint="eastAsia" w:ascii="黑体" w:hAnsi="黑体" w:eastAsia="黑体" w:cs="黑体"/>
          <w:sz w:val="28"/>
          <w:szCs w:val="28"/>
        </w:rPr>
        <w:fldChar w:fldCharType="separate"/>
      </w:r>
      <w:r>
        <w:rPr>
          <w:rFonts w:hint="eastAsia" w:ascii="黑体" w:hAnsi="黑体" w:eastAsia="黑体" w:cs="黑体"/>
          <w:sz w:val="28"/>
          <w:szCs w:val="28"/>
        </w:rPr>
        <w:t>- 8 -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5"/>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_Toc25263 </w:instrText>
      </w:r>
      <w:r>
        <w:rPr>
          <w:rFonts w:hint="eastAsia" w:ascii="黑体" w:hAnsi="黑体" w:eastAsia="黑体" w:cs="黑体"/>
          <w:bCs/>
          <w:sz w:val="28"/>
          <w:szCs w:val="28"/>
        </w:rPr>
        <w:fldChar w:fldCharType="separate"/>
      </w:r>
      <w:r>
        <w:rPr>
          <w:rFonts w:hint="eastAsia" w:ascii="黑体" w:hAnsi="黑体" w:eastAsia="黑体" w:cs="黑体"/>
          <w:sz w:val="28"/>
          <w:szCs w:val="28"/>
        </w:rPr>
        <w:t>五、存在的问题及改进措施</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_Toc25263 \h </w:instrText>
      </w:r>
      <w:r>
        <w:rPr>
          <w:rFonts w:hint="eastAsia" w:ascii="黑体" w:hAnsi="黑体" w:eastAsia="黑体" w:cs="黑体"/>
          <w:sz w:val="28"/>
          <w:szCs w:val="28"/>
        </w:rPr>
        <w:fldChar w:fldCharType="separate"/>
      </w:r>
      <w:r>
        <w:rPr>
          <w:rFonts w:hint="eastAsia" w:ascii="黑体" w:hAnsi="黑体" w:eastAsia="黑体" w:cs="黑体"/>
          <w:sz w:val="28"/>
          <w:szCs w:val="28"/>
        </w:rPr>
        <w:t>- 11 -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_Toc9234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（一）存在的主要问题</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_Toc9234 \h </w:instrText>
      </w:r>
      <w:r>
        <w:rPr>
          <w:rFonts w:hint="eastAsia" w:ascii="黑体" w:hAnsi="黑体" w:eastAsia="黑体" w:cs="黑体"/>
          <w:sz w:val="28"/>
          <w:szCs w:val="28"/>
        </w:rPr>
        <w:fldChar w:fldCharType="separate"/>
      </w:r>
      <w:r>
        <w:rPr>
          <w:rFonts w:hint="eastAsia" w:ascii="黑体" w:hAnsi="黑体" w:eastAsia="黑体" w:cs="黑体"/>
          <w:sz w:val="28"/>
          <w:szCs w:val="28"/>
        </w:rPr>
        <w:t>- 11 -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pStyle w:val="17"/>
        <w:keepNext w:val="0"/>
        <w:keepLines w:val="0"/>
        <w:pageBreakBefore w:val="0"/>
        <w:widowControl w:val="0"/>
        <w:tabs>
          <w:tab w:val="right" w:leader="dot" w:pos="8845"/>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bCs/>
          <w:sz w:val="28"/>
          <w:szCs w:val="28"/>
        </w:rPr>
        <w:fldChar w:fldCharType="begin"/>
      </w:r>
      <w:r>
        <w:rPr>
          <w:rFonts w:hint="eastAsia" w:ascii="黑体" w:hAnsi="黑体" w:eastAsia="黑体" w:cs="黑体"/>
          <w:bCs/>
          <w:sz w:val="28"/>
          <w:szCs w:val="28"/>
        </w:rPr>
        <w:instrText xml:space="preserve"> HYPERLINK \l _Toc28675 </w:instrText>
      </w:r>
      <w:r>
        <w:rPr>
          <w:rFonts w:hint="eastAsia" w:ascii="黑体" w:hAnsi="黑体" w:eastAsia="黑体" w:cs="黑体"/>
          <w:bCs/>
          <w:sz w:val="28"/>
          <w:szCs w:val="28"/>
        </w:rPr>
        <w:fldChar w:fldCharType="separate"/>
      </w:r>
      <w:r>
        <w:rPr>
          <w:rFonts w:hint="eastAsia" w:ascii="黑体" w:hAnsi="黑体" w:eastAsia="黑体" w:cs="黑体"/>
          <w:bCs w:val="0"/>
          <w:sz w:val="28"/>
          <w:szCs w:val="28"/>
          <w:lang w:val="en-US" w:eastAsia="zh-CN"/>
        </w:rPr>
        <w:t>（二）针对问题提出具体的改进措施或建议</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_Toc28675 \h </w:instrText>
      </w:r>
      <w:r>
        <w:rPr>
          <w:rFonts w:hint="eastAsia" w:ascii="黑体" w:hAnsi="黑体" w:eastAsia="黑体" w:cs="黑体"/>
          <w:sz w:val="28"/>
          <w:szCs w:val="28"/>
        </w:rPr>
        <w:fldChar w:fldCharType="separate"/>
      </w:r>
      <w:r>
        <w:rPr>
          <w:rFonts w:hint="eastAsia" w:ascii="黑体" w:hAnsi="黑体" w:eastAsia="黑体" w:cs="黑体"/>
          <w:sz w:val="28"/>
          <w:szCs w:val="28"/>
        </w:rPr>
        <w:t>- 11 -</w:t>
      </w:r>
      <w:r>
        <w:rPr>
          <w:rFonts w:hint="eastAsia" w:ascii="黑体" w:hAnsi="黑体" w:eastAsia="黑体" w:cs="黑体"/>
          <w:sz w:val="28"/>
          <w:szCs w:val="28"/>
        </w:rPr>
        <w:fldChar w:fldCharType="end"/>
      </w:r>
      <w:r>
        <w:rPr>
          <w:rFonts w:hint="eastAsia" w:ascii="黑体" w:hAnsi="黑体" w:eastAsia="黑体" w:cs="黑体"/>
          <w:bCs/>
          <w:sz w:val="28"/>
          <w:szCs w:val="28"/>
        </w:rPr>
        <w:fldChar w:fldCharType="end"/>
      </w:r>
    </w:p>
    <w:p>
      <w:pPr>
        <w:keepNext w:val="0"/>
        <w:keepLines w:val="0"/>
        <w:pageBreakBefore w:val="0"/>
        <w:widowControl w:val="0"/>
        <w:kinsoku/>
        <w:wordWrap/>
        <w:overflowPunct/>
        <w:topLinePunct w:val="0"/>
        <w:autoSpaceDE/>
        <w:autoSpaceDN/>
        <w:bidi w:val="0"/>
        <w:adjustRightInd/>
        <w:snapToGrid/>
        <w:spacing w:line="660" w:lineRule="exact"/>
        <w:ind w:left="0" w:leftChars="0" w:right="0"/>
        <w:jc w:val="center"/>
        <w:textAlignment w:val="auto"/>
        <w:outlineLvl w:val="9"/>
        <w:rPr>
          <w:rFonts w:hint="eastAsia" w:ascii="宋体" w:hAnsi="宋体" w:cs="宋体"/>
          <w:b/>
          <w:bCs/>
          <w:sz w:val="44"/>
          <w:szCs w:val="44"/>
        </w:rPr>
        <w:sectPr>
          <w:footerReference r:id="rId3" w:type="default"/>
          <w:pgSz w:w="11906" w:h="16838"/>
          <w:pgMar w:top="1440" w:right="1474" w:bottom="1440" w:left="1587" w:header="851" w:footer="992" w:gutter="0"/>
          <w:pgNumType w:fmt="numberInDash"/>
          <w:cols w:space="720" w:num="1"/>
          <w:rtlGutter w:val="0"/>
          <w:docGrid w:type="lines" w:linePitch="312" w:charSpace="0"/>
        </w:sectPr>
      </w:pPr>
      <w:r>
        <w:rPr>
          <w:rFonts w:hint="eastAsia" w:ascii="黑体" w:hAnsi="黑体" w:eastAsia="黑体" w:cs="黑体"/>
          <w:bCs/>
          <w:szCs w:val="28"/>
        </w:rPr>
        <w:fldChar w:fldCharType="end"/>
      </w:r>
    </w:p>
    <w:p>
      <w:pPr>
        <w:pStyle w:val="6"/>
        <w:outlineLvl w:val="9"/>
        <w:rPr>
          <w:rFonts w:hint="eastAsia"/>
        </w:rPr>
      </w:pPr>
    </w:p>
    <w:p>
      <w:pPr>
        <w:widowControl w:val="0"/>
        <w:wordWrap/>
        <w:spacing w:line="560" w:lineRule="exact"/>
        <w:ind w:left="0" w:leftChars="0" w:right="0"/>
        <w:jc w:val="center"/>
        <w:textAlignment w:val="auto"/>
        <w:outlineLvl w:val="9"/>
        <w:rPr>
          <w:rFonts w:hint="eastAsia" w:ascii="宋体" w:hAnsi="宋体" w:eastAsia="宋体" w:cs="宋体"/>
          <w:b/>
          <w:bCs/>
          <w:sz w:val="44"/>
          <w:szCs w:val="44"/>
          <w:lang w:eastAsia="zh-CN"/>
        </w:rPr>
      </w:pPr>
      <w:r>
        <w:rPr>
          <w:rFonts w:hint="eastAsia" w:ascii="宋体" w:hAnsi="宋体" w:cs="宋体"/>
          <w:b/>
          <w:bCs/>
          <w:sz w:val="44"/>
          <w:szCs w:val="44"/>
          <w:lang w:eastAsia="zh-CN"/>
        </w:rPr>
        <w:t>石家庄市行政审批局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2025年度整体支出绩效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市委市政府《关于全面落实预算绩效管理的实施意见》（石发﹝</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highlight w:val="none"/>
          <w:lang w:val="en-US" w:eastAsia="zh-CN"/>
        </w:rPr>
        <w:t>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文件精神</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《石家庄市财政局</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关于开展202</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rPr>
        <w:t>年绩效自评工作的通知》要求，遵循“科学性、规范性、客观性和公正性”的原则，</w:t>
      </w:r>
      <w:r>
        <w:rPr>
          <w:rFonts w:hint="eastAsia" w:ascii="仿宋_GB2312" w:hAnsi="仿宋_GB2312" w:eastAsia="仿宋_GB2312" w:cs="仿宋_GB2312"/>
          <w:sz w:val="32"/>
          <w:szCs w:val="32"/>
          <w:highlight w:val="none"/>
          <w:lang w:val="en-US" w:eastAsia="zh-CN"/>
        </w:rPr>
        <w:t>2025年3月10日至2025年3月27日，石家庄市行政审批局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以下简称“我局”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对2024年部门</w:t>
      </w:r>
      <w:r>
        <w:rPr>
          <w:rFonts w:hint="eastAsia" w:ascii="仿宋_GB2312" w:hAnsi="仿宋_GB2312" w:eastAsia="仿宋_GB2312" w:cs="仿宋_GB2312"/>
          <w:sz w:val="32"/>
          <w:szCs w:val="32"/>
          <w:highlight w:val="none"/>
          <w:lang w:eastAsia="zh-CN"/>
        </w:rPr>
        <w:t>整体支出情况</w:t>
      </w:r>
      <w:r>
        <w:rPr>
          <w:rFonts w:hint="eastAsia" w:ascii="仿宋_GB2312" w:hAnsi="仿宋_GB2312" w:eastAsia="仿宋_GB2312" w:cs="仿宋_GB2312"/>
          <w:sz w:val="32"/>
          <w:szCs w:val="32"/>
          <w:highlight w:val="none"/>
        </w:rPr>
        <w:t>实施了财政支出绩效自评价，</w:t>
      </w:r>
      <w:r>
        <w:rPr>
          <w:rFonts w:hint="eastAsia" w:ascii="仿宋_GB2312" w:hAnsi="仿宋_GB2312" w:eastAsia="仿宋_GB2312" w:cs="仿宋_GB2312"/>
          <w:sz w:val="32"/>
          <w:szCs w:val="32"/>
          <w:highlight w:val="none"/>
          <w:lang w:val="en-US" w:eastAsia="zh-CN"/>
        </w:rPr>
        <w:t>此次评价采取</w:t>
      </w:r>
      <w:r>
        <w:rPr>
          <w:rFonts w:hint="eastAsia" w:ascii="仿宋_GB2312" w:hAnsi="仿宋_GB2312" w:eastAsia="仿宋_GB2312" w:cs="仿宋_GB2312"/>
          <w:sz w:val="32"/>
          <w:szCs w:val="32"/>
          <w:highlight w:val="none"/>
        </w:rPr>
        <w:t>定性分析与定量分析相结合的方法，从</w:t>
      </w:r>
      <w:r>
        <w:rPr>
          <w:rFonts w:hint="eastAsia" w:ascii="仿宋_GB2312" w:hAnsi="仿宋_GB2312" w:eastAsia="仿宋_GB2312" w:cs="仿宋_GB2312"/>
          <w:sz w:val="32"/>
          <w:szCs w:val="32"/>
          <w:highlight w:val="none"/>
          <w:lang w:val="en-US" w:eastAsia="zh-CN"/>
        </w:rPr>
        <w:t>总体绩效</w:t>
      </w:r>
      <w:r>
        <w:rPr>
          <w:rFonts w:hint="eastAsia" w:ascii="仿宋_GB2312" w:hAnsi="仿宋_GB2312" w:eastAsia="仿宋_GB2312" w:cs="仿宋_GB2312"/>
          <w:sz w:val="32"/>
          <w:szCs w:val="32"/>
          <w:lang w:val="en-US" w:eastAsia="zh-CN"/>
        </w:rPr>
        <w:t>目标实现情况</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分项绩效指标完成情况</w:t>
      </w:r>
      <w:r>
        <w:rPr>
          <w:rFonts w:hint="eastAsia" w:ascii="仿宋_GB2312" w:hAnsi="仿宋_GB2312" w:eastAsia="仿宋_GB2312" w:cs="仿宋_GB2312"/>
          <w:sz w:val="32"/>
          <w:szCs w:val="32"/>
        </w:rPr>
        <w:t>、专项资金使用及项目效益等方面进行了综合</w:t>
      </w:r>
      <w:r>
        <w:rPr>
          <w:rFonts w:hint="eastAsia" w:ascii="仿宋_GB2312" w:hAnsi="仿宋_GB2312" w:eastAsia="仿宋_GB2312" w:cs="仿宋_GB2312"/>
          <w:sz w:val="32"/>
          <w:szCs w:val="32"/>
          <w:lang w:val="en-US" w:eastAsia="zh-CN"/>
        </w:rPr>
        <w:t>分析，最终</w:t>
      </w:r>
      <w:r>
        <w:rPr>
          <w:rFonts w:hint="eastAsia" w:ascii="仿宋_GB2312" w:hAnsi="仿宋_GB2312" w:eastAsia="仿宋_GB2312" w:cs="仿宋_GB2312"/>
          <w:sz w:val="32"/>
          <w:szCs w:val="32"/>
        </w:rPr>
        <w:t>形成</w:t>
      </w:r>
      <w:r>
        <w:rPr>
          <w:rFonts w:hint="eastAsia" w:ascii="仿宋_GB2312" w:hAnsi="仿宋_GB2312" w:eastAsia="仿宋_GB2312" w:cs="仿宋_GB2312"/>
          <w:sz w:val="32"/>
          <w:szCs w:val="32"/>
          <w:lang w:val="en-US" w:eastAsia="zh-CN"/>
        </w:rPr>
        <w:t>了</w:t>
      </w:r>
      <w:r>
        <w:rPr>
          <w:rFonts w:hint="eastAsia" w:ascii="仿宋_GB2312" w:hAnsi="仿宋_GB2312" w:eastAsia="仿宋_GB2312" w:cs="仿宋_GB2312"/>
          <w:sz w:val="32"/>
          <w:szCs w:val="32"/>
        </w:rPr>
        <w:t>本评价报告。</w:t>
      </w:r>
      <w:r>
        <w:rPr>
          <w:rFonts w:hint="eastAsia" w:ascii="仿宋_GB2312" w:hAnsi="仿宋_GB2312" w:eastAsia="仿宋_GB2312" w:cs="仿宋_GB2312"/>
          <w:sz w:val="32"/>
          <w:szCs w:val="32"/>
          <w:lang w:val="en-US" w:eastAsia="zh-CN"/>
        </w:rPr>
        <w:t>现将整体支出情况报告如下：</w:t>
      </w:r>
    </w:p>
    <w:p>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outlineLvl w:val="0"/>
        <w:rPr>
          <w:rFonts w:hint="eastAsia" w:ascii="黑体" w:hAnsi="黑体" w:eastAsia="黑体"/>
          <w:b/>
          <w:bCs/>
          <w:sz w:val="32"/>
          <w:szCs w:val="36"/>
          <w:lang w:val="en-US" w:eastAsia="zh-CN"/>
        </w:rPr>
      </w:pPr>
      <w:bookmarkStart w:id="1" w:name="_Toc23815"/>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bookmarkEnd w:id="1"/>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2" w:name="_Toc23389"/>
      <w:r>
        <w:rPr>
          <w:rFonts w:hint="eastAsia" w:ascii="楷体" w:hAnsi="楷体" w:eastAsia="楷体" w:cs="楷体"/>
          <w:b w:val="0"/>
          <w:bCs w:val="0"/>
          <w:sz w:val="32"/>
          <w:szCs w:val="32"/>
          <w:lang w:val="en-US" w:eastAsia="zh-CN"/>
        </w:rPr>
        <w:t>（一）部门概况</w:t>
      </w:r>
      <w:bookmarkEnd w:id="2"/>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bookmarkStart w:id="3" w:name="_Toc19244"/>
      <w:bookmarkStart w:id="4" w:name="_Toc27339"/>
      <w:r>
        <w:rPr>
          <w:rFonts w:hint="eastAsia" w:ascii="仿宋_GB2312" w:hAnsi="仿宋_GB2312" w:eastAsia="仿宋_GB2312" w:cs="仿宋_GB2312"/>
          <w:sz w:val="32"/>
          <w:szCs w:val="32"/>
          <w:lang w:val="en-US" w:eastAsia="zh-CN"/>
        </w:rPr>
        <w:t>1.部门职能</w:t>
      </w:r>
      <w:bookmarkEnd w:id="3"/>
      <w:bookmarkEnd w:id="4"/>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根据《石家庄市行政审批局职能配置、内设机构和人员编制规定》，我局的主要职责如下：</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（1）贯彻落实党中央、国务院和省委、省政府，市委、市政府关于推进政府职能转变和“放管服”改革、行政审批制度改革、政务服务管理、公共资源交易管理、社会信用体系建设有关方针政策和法律法规；</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（2）负责规范全市行政审批行为，创新和完善相关工作体制机制；</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（3）负责公共资源交易监督管理工作；</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（4）负责投资项目、商事登记、市场服务、文教体卫、社会事务、住建交通、生态环境、安全生产、农林畜水、经贸商务、城市管理等方面行政审批事项的办理及相关行政性收费，并承担相应的法律责任；</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（5）负责协调派驻部门行政审批事项的办理工作，规范、管理和监督派驻部门行政审批行为；</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（6）负责对行政审批、政务服务事项流程进行规范和优化，推进审批服务便民化、标准化建设；</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（7）会同有关部门，做好行政审批、政务服务、公共资源交易监督、政务服务平台建设，推行政务服务事项网上办理，形成管理机构、实体大厅、网上平台“三位一体”的政务服务管理模式；</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（8）负责全市社会信用体系建设；</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（9）负责对全市行政审批、政务服务行为进行监督检查，对窗口工作人员进行日常管理、教育培训和检查考核；</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（10）负责市直部门已划转行政许可事项涉及的现场勘验、审图、联合验收等工作；</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（11）负责行政审批信息化工作，市级行政审批信息资料的保管、整理、统计、编目和定期检查工作；</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（12）指导各县（市、区）和高新技术产业开发区、循环化工园区的行政审批工作；</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（13）完成市委、市政府交办的其他任务；</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（14）与市数据资源管理局的有关职责分工。</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bookmarkStart w:id="5" w:name="_Toc28440"/>
      <w:bookmarkStart w:id="6" w:name="_Toc24963"/>
      <w:r>
        <w:rPr>
          <w:rFonts w:hint="eastAsia" w:ascii="仿宋_GB2312" w:hAnsi="仿宋_GB2312" w:eastAsia="仿宋_GB2312" w:cs="仿宋_GB2312"/>
          <w:sz w:val="32"/>
          <w:szCs w:val="32"/>
          <w:lang w:val="en-US" w:eastAsia="zh-CN"/>
        </w:rPr>
        <w:t>2.机构设置</w:t>
      </w:r>
      <w:bookmarkEnd w:id="5"/>
      <w:bookmarkEnd w:id="6"/>
      <w:bookmarkStart w:id="7" w:name="_Toc32090"/>
      <w:bookmarkStart w:id="8" w:name="_Toc8281"/>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highlight w:val="none"/>
          <w:lang w:val="en-US" w:eastAsia="zh-CN"/>
        </w:rPr>
        <w:t>石家庄市行政审批局（简称我局）为市政府工作部门，机构规格正县级。内设机构办公室、机关党委（机关纪委）、人事科（老干部科）、政策法规科、综合调研科、行政审批制度改革科、推进政府职能转变改革协调科、社会信用体系建设管理科、数字信息科、效能监督科、审批一科、审批二科、审批三科、审批四科、审批五科、审批六科、审批七科、审批八科、审批九科、审批十科、公共资源交易监督管理科、勘验一科、勘验二科，另外还有下属单位2个分别是市行政审批综合服务中心、市公共资源交易中心。</w:t>
      </w:r>
      <w:r>
        <w:rPr>
          <w:rFonts w:hint="eastAsia" w:ascii="仿宋_GB2312" w:hAnsi="仿宋_GB2312" w:eastAsia="仿宋_GB2312" w:cs="仿宋_GB2312"/>
          <w:color w:val="auto"/>
          <w:sz w:val="32"/>
          <w:szCs w:val="32"/>
          <w:highlight w:val="none"/>
          <w:lang w:val="en-US" w:eastAsia="zh-CN"/>
        </w:rPr>
        <w:t>年末共有在职人员249人，其中行政人员125人、非参公事业人员124人。</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3.资产情况</w:t>
      </w:r>
      <w:bookmarkEnd w:id="7"/>
      <w:bookmarkEnd w:id="8"/>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截止2025年底，我部门共有资产1722.99万元，其中：货币资金14.62万元,固定资产原值（房屋、车辆等）2442.26万元，固定资产累计折旧1769.46万元，固定资产净值672.80万元。无形资产原值2270.30万元，无形资产累计摊销1234.73万元，无形资产净值1035.57万元。资产管理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9" w:name="_Toc2634"/>
      <w:r>
        <w:rPr>
          <w:rFonts w:hint="eastAsia" w:ascii="楷体" w:hAnsi="楷体" w:eastAsia="楷体" w:cs="楷体"/>
          <w:b w:val="0"/>
          <w:bCs w:val="0"/>
          <w:sz w:val="32"/>
          <w:szCs w:val="32"/>
          <w:lang w:val="en-US" w:eastAsia="zh-CN"/>
        </w:rPr>
        <w:t>（二）部门收支预决算情况</w:t>
      </w:r>
      <w:bookmarkEnd w:id="9"/>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1.预算安排情况</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我部门2025年一般公共预算7573.42万元；基本支出5019.26万元，项目支出2554.16万元。</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2.预算调整情况</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2025年预算调整具体为：一般公共预算7404.16万元,基本支出5150.17万元，项目支出2253.99万元。</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3.决算情况</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2025年决算收入7404.16万元,其中：一般公共预算7404.16万元，基本支出5150.17万元，项目支出2253.99万元。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10" w:name="_Toc22310"/>
      <w:r>
        <w:rPr>
          <w:rFonts w:hint="eastAsia" w:ascii="楷体" w:hAnsi="楷体" w:eastAsia="楷体" w:cs="楷体"/>
          <w:b w:val="0"/>
          <w:bCs w:val="0"/>
          <w:sz w:val="32"/>
          <w:szCs w:val="32"/>
          <w:lang w:val="en-US" w:eastAsia="zh-CN"/>
        </w:rPr>
        <w:t>（三）部门整体支出绩效目标、指标</w:t>
      </w:r>
      <w:bookmarkEnd w:id="10"/>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sz w:val="32"/>
          <w:szCs w:val="32"/>
          <w:highlight w:val="none"/>
          <w:lang w:val="en-US" w:eastAsia="zh-CN"/>
        </w:rPr>
      </w:pPr>
      <w:bookmarkStart w:id="11" w:name="_Toc_2_2_0000000001"/>
      <w:bookmarkStart w:id="12" w:name="_Toc15190"/>
      <w:bookmarkStart w:id="13" w:name="_Toc9648"/>
      <w:r>
        <w:rPr>
          <w:rFonts w:hint="eastAsia" w:ascii="仿宋_GB2312" w:hAnsi="仿宋_GB2312" w:eastAsia="仿宋_GB2312" w:cs="仿宋_GB2312"/>
          <w:b w:val="0"/>
          <w:bCs w:val="0"/>
          <w:color w:val="auto"/>
          <w:sz w:val="32"/>
          <w:szCs w:val="32"/>
          <w:highlight w:val="none"/>
          <w:lang w:val="en-US" w:eastAsia="zh-CN"/>
        </w:rPr>
        <w:t>1.总体绩效目标</w:t>
      </w:r>
      <w:bookmarkEnd w:id="11"/>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sz w:val="32"/>
          <w:szCs w:val="32"/>
          <w:highlight w:val="none"/>
          <w:lang w:val="en-US" w:eastAsia="zh"/>
        </w:rPr>
        <w:t>习近平新时代中国特色社会主义思想的理论</w:t>
      </w:r>
      <w:bookmarkStart w:id="46" w:name="_GoBack"/>
      <w:bookmarkEnd w:id="46"/>
      <w:r>
        <w:rPr>
          <w:rFonts w:hint="eastAsia" w:ascii="仿宋_GB2312" w:hAnsi="仿宋_GB2312" w:eastAsia="仿宋_GB2312" w:cs="仿宋_GB2312"/>
          <w:b w:val="0"/>
          <w:bCs w:val="0"/>
          <w:color w:val="auto"/>
          <w:sz w:val="32"/>
          <w:szCs w:val="32"/>
          <w:highlight w:val="none"/>
          <w:lang w:val="en-US" w:eastAsia="zh"/>
        </w:rPr>
        <w:t>，全面贯彻落实党的二十届三中全会精神和省委十届六次全会、市委十一届七次全会精神，围绕</w:t>
      </w:r>
      <w:r>
        <w:rPr>
          <w:rFonts w:hint="default" w:ascii="仿宋_GB2312" w:hAnsi="仿宋_GB2312" w:eastAsia="仿宋_GB2312" w:cs="仿宋_GB2312"/>
          <w:b w:val="0"/>
          <w:bCs w:val="0"/>
          <w:color w:val="auto"/>
          <w:sz w:val="32"/>
          <w:szCs w:val="32"/>
          <w:highlight w:val="none"/>
          <w:lang w:val="en-US" w:eastAsia="zh-CN"/>
        </w:rPr>
        <w:t>加快营造走在全国最前列的营商环境</w:t>
      </w:r>
      <w:r>
        <w:rPr>
          <w:rFonts w:hint="eastAsia" w:ascii="仿宋_GB2312" w:hAnsi="仿宋_GB2312" w:eastAsia="仿宋_GB2312" w:cs="仿宋_GB2312"/>
          <w:b w:val="0"/>
          <w:bCs w:val="0"/>
          <w:color w:val="auto"/>
          <w:sz w:val="32"/>
          <w:szCs w:val="32"/>
          <w:highlight w:val="none"/>
          <w:lang w:val="en-US" w:eastAsia="zh"/>
        </w:rPr>
        <w:t>目标</w:t>
      </w:r>
      <w:r>
        <w:rPr>
          <w:rFonts w:hint="default"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
        </w:rPr>
        <w:t>以</w:t>
      </w:r>
      <w:r>
        <w:rPr>
          <w:rFonts w:hint="default" w:ascii="仿宋_GB2312" w:hAnsi="仿宋_GB2312" w:eastAsia="仿宋_GB2312" w:cs="仿宋_GB2312"/>
          <w:b w:val="0"/>
          <w:bCs w:val="0"/>
          <w:color w:val="auto"/>
          <w:sz w:val="32"/>
          <w:szCs w:val="32"/>
          <w:highlight w:val="none"/>
          <w:lang w:val="en-US" w:eastAsia="zh-CN"/>
        </w:rPr>
        <w:t>“高效办成一件事”</w:t>
      </w:r>
      <w:r>
        <w:rPr>
          <w:rFonts w:hint="eastAsia" w:ascii="仿宋_GB2312" w:hAnsi="仿宋_GB2312" w:eastAsia="仿宋_GB2312" w:cs="仿宋_GB2312"/>
          <w:b w:val="0"/>
          <w:bCs w:val="0"/>
          <w:color w:val="auto"/>
          <w:sz w:val="32"/>
          <w:szCs w:val="32"/>
          <w:highlight w:val="none"/>
          <w:lang w:val="en-US" w:eastAsia="zh"/>
        </w:rPr>
        <w:t>为牵引，聚焦小切口改革，奋力营造一流</w:t>
      </w:r>
      <w:r>
        <w:rPr>
          <w:rFonts w:hint="default" w:ascii="仿宋_GB2312" w:hAnsi="仿宋_GB2312" w:eastAsia="仿宋_GB2312" w:cs="仿宋_GB2312"/>
          <w:b w:val="0"/>
          <w:bCs w:val="0"/>
          <w:color w:val="auto"/>
          <w:sz w:val="32"/>
          <w:szCs w:val="32"/>
          <w:highlight w:val="none"/>
          <w:lang w:val="en-US" w:eastAsia="zh-CN"/>
        </w:rPr>
        <w:t>政务环境、交易环境、信用环境，助力省会经济</w:t>
      </w:r>
      <w:r>
        <w:rPr>
          <w:rFonts w:hint="eastAsia" w:ascii="仿宋_GB2312" w:hAnsi="仿宋_GB2312" w:eastAsia="仿宋_GB2312" w:cs="仿宋_GB2312"/>
          <w:b w:val="0"/>
          <w:bCs w:val="0"/>
          <w:color w:val="auto"/>
          <w:sz w:val="32"/>
          <w:szCs w:val="32"/>
          <w:highlight w:val="none"/>
          <w:lang w:val="en-US" w:eastAsia="zh"/>
        </w:rPr>
        <w:t>社会</w:t>
      </w:r>
      <w:r>
        <w:rPr>
          <w:rFonts w:hint="default" w:ascii="仿宋_GB2312" w:hAnsi="仿宋_GB2312" w:eastAsia="仿宋_GB2312" w:cs="仿宋_GB2312"/>
          <w:b w:val="0"/>
          <w:bCs w:val="0"/>
          <w:color w:val="auto"/>
          <w:sz w:val="32"/>
          <w:szCs w:val="32"/>
          <w:highlight w:val="none"/>
          <w:lang w:val="en-US" w:eastAsia="zh-CN"/>
        </w:rPr>
        <w:t>高质量发展。</w:t>
      </w:r>
      <w:bookmarkStart w:id="14" w:name="_Toc_2_2_0000000002"/>
      <w:r>
        <w:rPr>
          <w:rFonts w:hint="eastAsia" w:ascii="仿宋_GB2312" w:hAnsi="仿宋_GB2312" w:eastAsia="仿宋_GB2312" w:cs="仿宋_GB2312"/>
          <w:b w:val="0"/>
          <w:bCs w:val="0"/>
          <w:color w:val="auto"/>
          <w:kern w:val="2"/>
          <w:sz w:val="32"/>
          <w:szCs w:val="32"/>
          <w:highlight w:val="none"/>
          <w:lang w:val="en-US" w:eastAsia="zh-CN" w:bidi="ar-SA"/>
        </w:rPr>
        <w:t>持续升级“免证办”便民功能，推广电子证照应用场景。在各领域落地电子证照应用场景，在全市政务服务范围内实现电子证照做到互认互通，互相调用，申请人能提供电子证照的不再要求提供纸质材料，全市免证办应用场景达到1000个以上。提升网上好办水平，优化智能审批系统、远程导办系统，促进业务流程优化，推进各类需求落地应用推进政务服务事项网上办理，“应上尽上”。智能审批事项达到20个以上，全局200个以上的事项支持远程导办。持续推进工程建设项目审批便利度，工程审批系统应用电子证照事项的种类使用数量要≥15类。</w:t>
      </w:r>
    </w:p>
    <w:bookmarkEnd w:id="14"/>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2.分项绩效目标、指标</w:t>
      </w:r>
      <w:bookmarkEnd w:id="12"/>
      <w:bookmarkEnd w:id="13"/>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lang w:val="en-US" w:eastAsia="zh-CN" w:bidi="ar-SA"/>
        </w:rPr>
        <w:t>（1）</w:t>
      </w:r>
      <w:r>
        <w:rPr>
          <w:rFonts w:hint="eastAsia" w:ascii="仿宋_GB2312" w:hAnsi="仿宋_GB2312" w:eastAsia="仿宋_GB2312" w:cs="仿宋_GB2312"/>
          <w:b w:val="0"/>
          <w:bCs w:val="0"/>
          <w:color w:val="auto"/>
          <w:kern w:val="2"/>
          <w:sz w:val="32"/>
          <w:szCs w:val="32"/>
          <w:highlight w:val="none"/>
          <w:lang w:val="en-US" w:eastAsia="zh-CN" w:bidi="ar-SA"/>
        </w:rPr>
        <w:t>持续升级“免证办”便民功能，推广电子证照应用场景</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绩效目标：在各领域落地电子证照应用场景，在全市政务服务范围内实现电子证照做到互认互通，互相调用，申请人能提供电子证照的不再要求提供纸质材料。</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绩效指标：全市免证办应用场景达到1000个以上。</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lang w:val="en-US" w:eastAsia="zh-CN" w:bidi="ar-SA"/>
        </w:rPr>
        <w:t>（2）</w:t>
      </w:r>
      <w:r>
        <w:rPr>
          <w:rFonts w:hint="eastAsia" w:ascii="仿宋_GB2312" w:hAnsi="仿宋_GB2312" w:eastAsia="仿宋_GB2312" w:cs="仿宋_GB2312"/>
          <w:b w:val="0"/>
          <w:bCs w:val="0"/>
          <w:color w:val="auto"/>
          <w:kern w:val="2"/>
          <w:sz w:val="32"/>
          <w:szCs w:val="32"/>
          <w:highlight w:val="none"/>
          <w:lang w:val="en-US" w:eastAsia="zh-CN" w:bidi="ar-SA"/>
        </w:rPr>
        <w:t>提升网上好办水平</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绩效目标：优化智能审批系统、远程导办系统，促进业务流程优化，推进各类需求落地应用推进政务服务事项网上办理，“应上尽上”。</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绩效指标：智能审批事项达到20个以上，全局200个以上的事项支持远程导办。</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lang w:val="en-US" w:eastAsia="zh-CN" w:bidi="ar-SA"/>
        </w:rPr>
        <w:t>（3）</w:t>
      </w:r>
      <w:r>
        <w:rPr>
          <w:rFonts w:hint="eastAsia" w:ascii="仿宋_GB2312" w:hAnsi="仿宋_GB2312" w:eastAsia="仿宋_GB2312" w:cs="仿宋_GB2312"/>
          <w:b w:val="0"/>
          <w:bCs w:val="0"/>
          <w:color w:val="auto"/>
          <w:kern w:val="2"/>
          <w:sz w:val="32"/>
          <w:szCs w:val="32"/>
          <w:highlight w:val="none"/>
          <w:lang w:val="en-US" w:eastAsia="zh-CN" w:bidi="ar-SA"/>
        </w:rPr>
        <w:t>持续推进工程建设项目审批便利度</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绩效目标：工程审批系统应用电子证照事项的种类。</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绩效指标：电子证照使用数量≥15类。</w:t>
      </w:r>
    </w:p>
    <w:p>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outlineLvl w:val="0"/>
        <w:rPr>
          <w:rFonts w:hint="eastAsia" w:ascii="黑体" w:hAnsi="黑体" w:eastAsia="黑体"/>
          <w:sz w:val="32"/>
          <w:szCs w:val="32"/>
        </w:rPr>
      </w:pPr>
      <w:bookmarkStart w:id="15" w:name="_Toc7513"/>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bookmarkEnd w:id="15"/>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16" w:name="_Toc22360"/>
      <w:r>
        <w:rPr>
          <w:rFonts w:hint="eastAsia" w:ascii="楷体" w:hAnsi="楷体" w:eastAsia="楷体" w:cs="楷体"/>
          <w:b w:val="0"/>
          <w:bCs w:val="0"/>
          <w:sz w:val="32"/>
          <w:szCs w:val="32"/>
          <w:lang w:val="en-US" w:eastAsia="zh-CN"/>
        </w:rPr>
        <w:t>（一）自评的组织工作</w:t>
      </w:r>
      <w:bookmarkEnd w:id="16"/>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我局为推进本年度预算绩效评价工作，成立绩效评价工作领导小组，由主管局领导李卫东担任组长，罗星、董宜新、蒋燕、刘素卿、耿荣杰、闫立宇、李剑利、孙灿、尹冀、王星籴、汪大军、巩丙辉、李鹏、张萌、董彪等项目主管部门、财务主管部门和实施单位相关人员为工作组成员。</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highlight w:val="none"/>
          <w:lang w:val="en-US" w:eastAsia="zh-CN"/>
        </w:rPr>
        <w:t>按照通知要求，评</w:t>
      </w:r>
      <w:bookmarkStart w:id="17" w:name="_Hlk43651802"/>
      <w:r>
        <w:rPr>
          <w:rFonts w:hint="eastAsia" w:ascii="仿宋_GB2312" w:hAnsi="仿宋_GB2312" w:eastAsia="仿宋_GB2312" w:cs="仿宋_GB2312"/>
          <w:sz w:val="32"/>
          <w:szCs w:val="32"/>
          <w:highlight w:val="none"/>
          <w:lang w:val="en-US" w:eastAsia="zh-CN"/>
        </w:rPr>
        <w:t>价工作组制定自评工作方案，明确评价内容、评价程序及时间安排，传达自评价工作要求，安</w:t>
      </w:r>
      <w:r>
        <w:rPr>
          <w:rFonts w:hint="eastAsia" w:ascii="仿宋_GB2312" w:hAnsi="仿宋_GB2312" w:eastAsia="仿宋_GB2312" w:cs="仿宋_GB2312"/>
          <w:sz w:val="32"/>
          <w:szCs w:val="32"/>
          <w:lang w:val="en-US" w:eastAsia="zh-CN"/>
        </w:rPr>
        <w:t>排部署各项工作。全面收集评价所需基础信息资料并对资料进行分类整理、审查和分析</w:t>
      </w:r>
      <w:bookmarkEnd w:id="17"/>
      <w:r>
        <w:rPr>
          <w:rFonts w:hint="eastAsia" w:ascii="仿宋_GB2312" w:hAnsi="仿宋_GB2312" w:eastAsia="仿宋_GB2312" w:cs="仿宋_GB2312"/>
          <w:sz w:val="32"/>
          <w:szCs w:val="32"/>
          <w:lang w:val="en-US" w:eastAsia="zh-CN"/>
        </w:rPr>
        <w:t>。</w:t>
      </w:r>
      <w:bookmarkStart w:id="18" w:name="_Toc1205"/>
      <w:bookmarkStart w:id="19" w:name="_Toc11327"/>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20" w:name="_Toc2757"/>
      <w:r>
        <w:rPr>
          <w:rFonts w:hint="eastAsia" w:ascii="楷体" w:hAnsi="楷体" w:eastAsia="楷体" w:cs="楷体"/>
          <w:b w:val="0"/>
          <w:bCs w:val="0"/>
          <w:sz w:val="32"/>
          <w:szCs w:val="32"/>
          <w:lang w:val="en-US" w:eastAsia="zh-CN"/>
        </w:rPr>
        <w:t>（二）绩效自评目的</w:t>
      </w:r>
      <w:bookmarkEnd w:id="18"/>
      <w:bookmarkEnd w:id="19"/>
      <w:bookmarkEnd w:id="20"/>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bookmarkStart w:id="21" w:name="_Toc22462"/>
      <w:bookmarkStart w:id="22" w:name="_Toc19442"/>
      <w:bookmarkStart w:id="23" w:name="_Toc7758"/>
      <w:r>
        <w:rPr>
          <w:rFonts w:hint="eastAsia" w:ascii="仿宋_GB2312" w:hAnsi="仿宋_GB2312" w:eastAsia="仿宋_GB2312" w:cs="仿宋_GB2312"/>
          <w:sz w:val="32"/>
          <w:szCs w:val="32"/>
          <w:lang w:val="en-US" w:eastAsia="zh-CN"/>
        </w:rPr>
        <w:t>本次绩效自评结合我局2025年度部门整体支出实际情况，运用科学、规范、合理的评价方法，全面、真实、客观地对我局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我局履行部门职责作出更好的预算管理和资金安排。</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24" w:name="_Toc30389"/>
      <w:r>
        <w:rPr>
          <w:rFonts w:hint="eastAsia" w:ascii="楷体" w:hAnsi="楷体" w:eastAsia="楷体" w:cs="楷体"/>
          <w:b w:val="0"/>
          <w:bCs w:val="0"/>
          <w:sz w:val="32"/>
          <w:szCs w:val="32"/>
          <w:lang w:val="en-US" w:eastAsia="zh-CN"/>
        </w:rPr>
        <w:t>（三）绩效自评内容</w:t>
      </w:r>
      <w:bookmarkEnd w:id="21"/>
      <w:bookmarkEnd w:id="22"/>
      <w:bookmarkEnd w:id="24"/>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_GB2312" w:hAnsi="仿宋_GB2312" w:eastAsia="仿宋_GB2312" w:cs="仿宋_GB2312"/>
          <w:sz w:val="32"/>
          <w:szCs w:val="32"/>
          <w:lang w:val="en-US" w:eastAsia="zh-CN"/>
        </w:rPr>
        <w:t>本次我局部门整体支出绩效自评主要自评内容包括：</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绩效目标和预算编制情况；</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部门预决算收支情况；</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部门年度总体绩效目标完成情况；</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sz w:val="32"/>
          <w:szCs w:val="32"/>
          <w:lang w:val="en-US" w:eastAsia="zh-CN"/>
        </w:rPr>
        <w:t>部门年度绩效指标完成情况，包括部门履职投入、履职过程、履职产出及履职效果等。</w:t>
      </w:r>
    </w:p>
    <w:bookmarkEnd w:id="23"/>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25" w:name="_Toc24812"/>
      <w:r>
        <w:rPr>
          <w:rFonts w:hint="eastAsia" w:ascii="楷体" w:hAnsi="楷体" w:eastAsia="楷体" w:cs="楷体"/>
          <w:b w:val="0"/>
          <w:bCs w:val="0"/>
          <w:sz w:val="32"/>
          <w:szCs w:val="32"/>
          <w:lang w:val="en-US" w:eastAsia="zh-CN"/>
        </w:rPr>
        <w:t>（四）自评的</w:t>
      </w:r>
      <w:bookmarkStart w:id="26" w:name="_Toc25386"/>
      <w:r>
        <w:rPr>
          <w:rFonts w:hint="eastAsia" w:ascii="楷体" w:hAnsi="楷体" w:eastAsia="楷体" w:cs="楷体"/>
          <w:b w:val="0"/>
          <w:bCs w:val="0"/>
          <w:sz w:val="32"/>
          <w:szCs w:val="32"/>
          <w:lang w:val="en-US" w:eastAsia="zh-CN"/>
        </w:rPr>
        <w:t>原则</w:t>
      </w:r>
      <w:bookmarkEnd w:id="25"/>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1.科学公正原则。此次绩效自评运用科学合理的方法，按照规范的程序，对我局部门整体预算资金使用绩效进行客观、公正的反映。</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2.统筹兼顾原则。单位自评、部门自评和财政自评应职责明确，各有侧重，相互衔接，绩效自评结果将上报财政部门作为财政自评参考依据。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3.激励约束原则。此次绩效自评结果与预算安排、政策调整、改进管理挂钩，体现奖优罚劣和激励相容导向，有效安排、低效压减、无效问责。</w:t>
      </w:r>
    </w:p>
    <w:bookmarkEnd w:id="26"/>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27" w:name="_Toc8765"/>
      <w:bookmarkStart w:id="28" w:name="_Toc14749"/>
      <w:bookmarkStart w:id="29" w:name="_Toc5667"/>
      <w:r>
        <w:rPr>
          <w:rFonts w:hint="eastAsia" w:ascii="楷体" w:hAnsi="楷体" w:eastAsia="楷体" w:cs="楷体"/>
          <w:b w:val="0"/>
          <w:bCs w:val="0"/>
          <w:sz w:val="32"/>
          <w:szCs w:val="32"/>
          <w:lang w:val="en-US" w:eastAsia="zh-CN"/>
        </w:rPr>
        <w:t>（五）绩效自评</w:t>
      </w:r>
      <w:bookmarkEnd w:id="27"/>
      <w:bookmarkEnd w:id="28"/>
      <w:r>
        <w:rPr>
          <w:rFonts w:hint="eastAsia" w:ascii="楷体" w:hAnsi="楷体" w:eastAsia="楷体" w:cs="楷体"/>
          <w:b w:val="0"/>
          <w:bCs w:val="0"/>
          <w:sz w:val="32"/>
          <w:szCs w:val="32"/>
          <w:lang w:val="en-US" w:eastAsia="zh-CN"/>
        </w:rPr>
        <w:t>过程</w:t>
      </w:r>
      <w:bookmarkEnd w:id="29"/>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次绩效自评将资金使用产出及效果与年初指标值相比较，评价是否完成相应的指标值；对完成值与既定指标值差异较大的，分析其形成原因；针对评价过程中发现的问题进一步提出相关意见建议，为以后年度我局履行部门职责作出更好的预算管理和资金安排。</w:t>
      </w:r>
      <w:bookmarkStart w:id="30" w:name="_Toc31521"/>
      <w:bookmarkStart w:id="31" w:name="_Toc18737"/>
    </w:p>
    <w:p>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outlineLvl w:val="0"/>
        <w:rPr>
          <w:rFonts w:hint="default" w:ascii="黑体" w:hAnsi="黑体" w:eastAsia="黑体"/>
          <w:sz w:val="32"/>
          <w:szCs w:val="32"/>
          <w:lang w:val="en-US" w:eastAsia="zh-CN"/>
        </w:rPr>
      </w:pPr>
      <w:bookmarkStart w:id="32" w:name="_Toc24858"/>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bookmarkEnd w:id="30"/>
      <w:bookmarkEnd w:id="31"/>
      <w:bookmarkEnd w:id="32"/>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lang w:val="en-US" w:eastAsia="zh-CN"/>
        </w:rPr>
      </w:pPr>
      <w:bookmarkStart w:id="33" w:name="_Toc11729"/>
      <w:r>
        <w:rPr>
          <w:rFonts w:hint="eastAsia" w:ascii="楷体" w:hAnsi="楷体" w:eastAsia="楷体" w:cs="楷体"/>
          <w:b w:val="0"/>
          <w:bCs w:val="0"/>
          <w:sz w:val="32"/>
          <w:szCs w:val="32"/>
          <w:highlight w:val="none"/>
          <w:lang w:val="en-US" w:eastAsia="zh-CN"/>
        </w:rPr>
        <w:t>（一）总体绩效目标实现情况</w:t>
      </w:r>
      <w:bookmarkEnd w:id="33"/>
    </w:p>
    <w:p>
      <w:pPr>
        <w:ind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sz w:val="32"/>
          <w:szCs w:val="32"/>
          <w:lang w:val="en-US" w:eastAsia="zh-CN"/>
        </w:rPr>
        <w:t>2025年市财政局批复我局32个项目，涉及预算资金2554.16万元，预算资金支出2253.99万元，预算执行率88.25%。根据我局2025年度部门工作职责及工作计划，全年各项工作实现情况程度如下：一年</w:t>
      </w:r>
      <w:r>
        <w:rPr>
          <w:rFonts w:hint="eastAsia" w:ascii="仿宋_GB2312" w:hAnsi="仿宋_GB2312" w:eastAsia="仿宋_GB2312" w:cs="仿宋_GB2312"/>
          <w:b w:val="0"/>
          <w:bCs w:val="0"/>
          <w:color w:val="auto"/>
          <w:sz w:val="32"/>
          <w:szCs w:val="32"/>
          <w:lang w:val="en-US" w:eastAsia="zh-CN"/>
        </w:rPr>
        <w:t>以来，市行政审批局在市委、市政府的坚强领导下，坚持以习近平新时代中国特色社会主义思想为指引，深入贯彻党的二十大和二十届历次全会精神，全面落实国家和省、市决策部署，坚持以政治建设为统领，以深化改革为动力，持续打造一流营商环境，全力服务省会经济社会高质量发展，圆满完成年度各项目标任务。截至2025年12月底，全市各类内资经营主体超过147万户，万人拥有经营主体1392户，市场主体数量再创新高。7月，我局被省政府授予“河北省优化营商环境推动高质量发展先进集体”称号。</w:t>
      </w:r>
    </w:p>
    <w:p>
      <w:pPr>
        <w:keepNext w:val="0"/>
        <w:keepLines w:val="0"/>
        <w:pageBreakBefore w:val="0"/>
        <w:widowControl w:val="0"/>
        <w:kinsoku/>
        <w:wordWrap/>
        <w:overflowPunct/>
        <w:topLinePunct w:val="0"/>
        <w:autoSpaceDE/>
        <w:autoSpaceDN/>
        <w:bidi w:val="0"/>
        <w:adjustRightInd w:val="0"/>
        <w:snapToGrid w:val="0"/>
        <w:spacing w:line="560" w:lineRule="exact"/>
        <w:ind w:right="0"/>
        <w:textAlignment w:val="auto"/>
        <w:outlineLvl w:val="1"/>
        <w:rPr>
          <w:rFonts w:hint="eastAsia" w:ascii="楷体" w:hAnsi="楷体" w:eastAsia="楷体" w:cs="楷体"/>
          <w:b w:val="0"/>
          <w:bCs w:val="0"/>
          <w:sz w:val="32"/>
          <w:szCs w:val="32"/>
          <w:lang w:val="en-US" w:eastAsia="zh-CN"/>
        </w:rPr>
      </w:pPr>
      <w:bookmarkStart w:id="34" w:name="_Toc13965"/>
      <w:r>
        <w:rPr>
          <w:rFonts w:hint="eastAsia" w:ascii="楷体" w:hAnsi="楷体" w:eastAsia="楷体" w:cs="楷体"/>
          <w:b w:val="0"/>
          <w:bCs w:val="0"/>
          <w:sz w:val="32"/>
          <w:szCs w:val="32"/>
          <w:lang w:val="en-US" w:eastAsia="zh-CN"/>
        </w:rPr>
        <w:t>（二）分项绩效目标实现情况及指标分析</w:t>
      </w:r>
      <w:bookmarkEnd w:id="34"/>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bookmarkStart w:id="35" w:name="_Toc10403"/>
      <w:r>
        <w:rPr>
          <w:rFonts w:hint="eastAsia" w:ascii="仿宋_GB2312" w:hAnsi="仿宋_GB2312" w:eastAsia="仿宋_GB2312" w:cs="仿宋_GB2312"/>
          <w:b w:val="0"/>
          <w:bCs w:val="0"/>
          <w:color w:val="auto"/>
          <w:kern w:val="2"/>
          <w:sz w:val="32"/>
          <w:szCs w:val="32"/>
          <w:highlight w:val="none"/>
          <w:lang w:val="en-US" w:eastAsia="zh-CN" w:bidi="ar-SA"/>
        </w:rPr>
        <w:t>1.持续升级“免证办”便民功能，推广电子证照应用场景方面，积极丰富证照共享应用，推进“免证办”改革。研究电子证照应用场景，深化电子证照在政务服务等领域的应用，促进更多材料实现“免证办”。截至目前，我市已公示电子证照应用场景4147个。</w:t>
      </w:r>
    </w:p>
    <w:p>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2.提升网上好办水平方面，督促市县各政务服务部门对已认领发布的事项及时开通网上办理，通过视频培训、电话答疑等方式，指导整改存在问题，有效提升了全市“一网通办”水平。截至目前，除因涉密等原因不宜网办事项外，全市政务服务事项，已100%实现一网通办。全市一人有限公司、多人有限公司、个人独资企业和个体工商户四种企业类型的设立登记、公共场所卫生许可延期、注销、补正、教师资格认定等21个事项实现智能审批，服务人次超过50万次。开通视频导办，全局220个事项已实现远程导办，办事群众可通过政务服务网，与审批人员视频通话、线上共享屏幕、线上传输示例样本，实现远程面对面交流、手把手指导填报。</w:t>
      </w:r>
    </w:p>
    <w:p>
      <w:pPr>
        <w:widowControl w:val="0"/>
        <w:wordWrap/>
        <w:spacing w:line="560" w:lineRule="exact"/>
        <w:ind w:right="0" w:firstLine="640" w:firstLineChars="200"/>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3.持续推进工程建设项目审批便利度方面，深化数字化转型，推动服务提质升级。持续完善工程审批系统功能，深化BIM技术和人工智能应用，完善建筑单体赋码、图纸数字化管理机制，推动审批服务从“可办”向“好办、易办、智办”升级。加大系统整合协调力度，进一步拓展数据共享范围，提升数字化管理精细化水平。强化业务衔接和数据互通。持续优化“一件事”改革场景，拓展联审联验范围，完善区域评估成果更新共享机制，推动改革成果持续落地见效。目前已实现18类电子证照制作。</w:t>
      </w:r>
    </w:p>
    <w:p>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outlineLvl w:val="0"/>
        <w:rPr>
          <w:rFonts w:hint="eastAsia" w:ascii="黑体" w:hAnsi="黑体" w:eastAsia="黑体"/>
          <w:sz w:val="32"/>
          <w:szCs w:val="32"/>
        </w:rPr>
      </w:pPr>
      <w:r>
        <w:rPr>
          <w:rFonts w:hint="eastAsia" w:ascii="黑体" w:hAnsi="黑体" w:eastAsia="黑体"/>
          <w:sz w:val="32"/>
          <w:szCs w:val="32"/>
        </w:rPr>
        <w:t>四、评价结论和评价等级</w:t>
      </w:r>
      <w:bookmarkEnd w:id="35"/>
    </w:p>
    <w:p>
      <w:pPr>
        <w:ind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sz w:val="32"/>
          <w:szCs w:val="32"/>
          <w:lang w:val="en-US" w:eastAsia="zh-CN"/>
        </w:rPr>
        <w:t>2025年我局深入学习贯彻习近平新时代中国特色社会主义思想和党的二十大精神，认真落实省委、省政府和市委、市政府重大决策部署，以打造全国一流政务环境为目标，有几项亮点工作：</w:t>
      </w:r>
      <w:r>
        <w:rPr>
          <w:rFonts w:hint="eastAsia" w:ascii="仿宋_GB2312" w:hAnsi="仿宋_GB2312" w:eastAsia="仿宋_GB2312" w:cs="仿宋_GB2312"/>
          <w:b w:val="0"/>
          <w:bCs w:val="0"/>
          <w:color w:val="auto"/>
          <w:sz w:val="32"/>
          <w:szCs w:val="32"/>
          <w:lang w:val="en-US" w:eastAsia="zh-CN"/>
        </w:rPr>
        <w:t>一</w:t>
      </w:r>
      <w:r>
        <w:rPr>
          <w:rFonts w:hint="eastAsia" w:ascii="仿宋_GB2312" w:hAnsi="仿宋_GB2312" w:eastAsia="仿宋_GB2312" w:cs="仿宋_GB2312"/>
          <w:b w:val="0"/>
          <w:bCs w:val="0"/>
          <w:color w:val="auto"/>
          <w:sz w:val="32"/>
          <w:szCs w:val="32"/>
          <w:lang w:val="en-US" w:eastAsia="zh"/>
        </w:rPr>
        <w:t>是</w:t>
      </w:r>
      <w:r>
        <w:rPr>
          <w:rFonts w:hint="default" w:ascii="仿宋_GB2312" w:hAnsi="仿宋_GB2312" w:eastAsia="仿宋_GB2312" w:cs="仿宋_GB2312"/>
          <w:b w:val="0"/>
          <w:bCs w:val="0"/>
          <w:color w:val="auto"/>
          <w:sz w:val="32"/>
          <w:szCs w:val="32"/>
          <w:lang w:val="en-US" w:eastAsia="zh-CN"/>
        </w:rPr>
        <w:t>区域评估成果持续释放。</w:t>
      </w:r>
      <w:r>
        <w:rPr>
          <w:rFonts w:hint="eastAsia" w:ascii="仿宋_GB2312" w:hAnsi="仿宋_GB2312" w:eastAsia="仿宋_GB2312" w:cs="仿宋_GB2312"/>
          <w:b w:val="0"/>
          <w:bCs w:val="0"/>
          <w:color w:val="auto"/>
          <w:sz w:val="32"/>
          <w:szCs w:val="32"/>
          <w:lang w:val="en-US" w:eastAsia="zh-CN"/>
        </w:rPr>
        <w:t>建立</w:t>
      </w:r>
      <w:r>
        <w:rPr>
          <w:rFonts w:hint="default" w:ascii="仿宋_GB2312" w:hAnsi="仿宋_GB2312" w:eastAsia="仿宋_GB2312" w:cs="仿宋_GB2312"/>
          <w:b w:val="0"/>
          <w:bCs w:val="0"/>
          <w:color w:val="auto"/>
          <w:sz w:val="32"/>
          <w:szCs w:val="32"/>
          <w:lang w:val="en-US" w:eastAsia="zh-CN"/>
        </w:rPr>
        <w:t>全链条、全流程</w:t>
      </w:r>
      <w:r>
        <w:rPr>
          <w:rFonts w:hint="eastAsia" w:ascii="仿宋_GB2312" w:hAnsi="仿宋_GB2312" w:eastAsia="仿宋_GB2312" w:cs="仿宋_GB2312"/>
          <w:b w:val="0"/>
          <w:bCs w:val="0"/>
          <w:color w:val="auto"/>
          <w:sz w:val="32"/>
          <w:szCs w:val="32"/>
          <w:lang w:val="en-US" w:eastAsia="zh-CN"/>
        </w:rPr>
        <w:t>服务机制，主动推送成果清单、编发成果应用指南，持续深化区域评估改革，拓展区域评估成果应用，为打造具有坚强配套服务能力的低成本化园区提供有力保障。目前，全市</w:t>
      </w:r>
      <w:r>
        <w:rPr>
          <w:rFonts w:hint="default" w:ascii="仿宋_GB2312" w:hAnsi="仿宋_GB2312" w:eastAsia="仿宋_GB2312" w:cs="仿宋_GB2312"/>
          <w:b w:val="0"/>
          <w:bCs w:val="0"/>
          <w:color w:val="auto"/>
          <w:sz w:val="32"/>
          <w:szCs w:val="32"/>
          <w:lang w:val="en-US" w:eastAsia="zh-CN"/>
        </w:rPr>
        <w:t>19个产业园区</w:t>
      </w:r>
      <w:r>
        <w:rPr>
          <w:rFonts w:hint="eastAsia" w:ascii="仿宋_GB2312" w:hAnsi="仿宋_GB2312" w:eastAsia="仿宋_GB2312" w:cs="仿宋_GB2312"/>
          <w:b w:val="0"/>
          <w:bCs w:val="0"/>
          <w:color w:val="auto"/>
          <w:sz w:val="32"/>
          <w:szCs w:val="32"/>
          <w:lang w:val="en-US" w:eastAsia="zh-CN"/>
        </w:rPr>
        <w:t>已完成</w:t>
      </w:r>
      <w:r>
        <w:rPr>
          <w:rFonts w:hint="default" w:ascii="仿宋_GB2312" w:hAnsi="仿宋_GB2312" w:eastAsia="仿宋_GB2312" w:cs="仿宋_GB2312"/>
          <w:b w:val="0"/>
          <w:bCs w:val="0"/>
          <w:color w:val="auto"/>
          <w:sz w:val="32"/>
          <w:szCs w:val="32"/>
          <w:lang w:val="en-US" w:eastAsia="zh-CN"/>
        </w:rPr>
        <w:t>182项区域</w:t>
      </w:r>
      <w:r>
        <w:rPr>
          <w:rFonts w:hint="eastAsia" w:ascii="仿宋_GB2312" w:hAnsi="仿宋_GB2312" w:eastAsia="仿宋_GB2312" w:cs="仿宋_GB2312"/>
          <w:b w:val="0"/>
          <w:bCs w:val="0"/>
          <w:color w:val="auto"/>
          <w:sz w:val="32"/>
          <w:szCs w:val="32"/>
          <w:lang w:val="en-US" w:eastAsia="zh-CN"/>
        </w:rPr>
        <w:t>评估事项</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并</w:t>
      </w:r>
      <w:r>
        <w:rPr>
          <w:rFonts w:hint="default" w:ascii="仿宋_GB2312" w:hAnsi="仿宋_GB2312" w:eastAsia="仿宋_GB2312" w:cs="仿宋_GB2312"/>
          <w:b w:val="0"/>
          <w:bCs w:val="0"/>
          <w:color w:val="auto"/>
          <w:sz w:val="32"/>
          <w:szCs w:val="32"/>
          <w:lang w:val="en-US" w:eastAsia="zh-CN"/>
        </w:rPr>
        <w:t>全部在市工建项目审批平台公开</w:t>
      </w:r>
      <w:r>
        <w:rPr>
          <w:rFonts w:hint="eastAsia" w:ascii="仿宋_GB2312" w:hAnsi="仿宋_GB2312" w:eastAsia="仿宋_GB2312" w:cs="仿宋_GB2312"/>
          <w:b w:val="0"/>
          <w:bCs w:val="0"/>
          <w:color w:val="auto"/>
          <w:sz w:val="32"/>
          <w:szCs w:val="32"/>
          <w:lang w:val="en-US" w:eastAsia="zh-CN"/>
        </w:rPr>
        <w:t>，累计免费共享应用超4200次，为企业直接节约评估成本3.8亿元以上，平均每个项目的手续办理时间压缩两个月以上，有效减轻企业负担，加快项目落地</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石家庄市区域评估改革被省工改办列为“可复制可推广制度创新成果”，被住建部工改办列为“企业感受度较高的改革举措”，在国家工程建设项目审批制度改革评估中，连续两年共跃升12名，位列全国第15名。二是</w:t>
      </w:r>
      <w:r>
        <w:rPr>
          <w:rFonts w:hint="default" w:ascii="仿宋_GB2312" w:hAnsi="仿宋_GB2312" w:eastAsia="仿宋_GB2312" w:cs="仿宋_GB2312"/>
          <w:b w:val="0"/>
          <w:bCs w:val="0"/>
          <w:color w:val="auto"/>
          <w:sz w:val="32"/>
          <w:szCs w:val="32"/>
          <w:lang w:val="en-US" w:eastAsia="zh-CN"/>
        </w:rPr>
        <w:t>推进“高效办成一件事”</w:t>
      </w:r>
      <w:r>
        <w:rPr>
          <w:rFonts w:hint="eastAsia" w:ascii="仿宋_GB2312" w:hAnsi="仿宋_GB2312" w:eastAsia="仿宋_GB2312" w:cs="仿宋_GB2312"/>
          <w:b w:val="0"/>
          <w:bCs w:val="0"/>
          <w:color w:val="auto"/>
          <w:sz w:val="32"/>
          <w:szCs w:val="32"/>
          <w:lang w:val="en-US" w:eastAsia="zh-CN"/>
        </w:rPr>
        <w:t>落地见效。</w:t>
      </w:r>
      <w:r>
        <w:rPr>
          <w:rFonts w:hint="default" w:ascii="仿宋_GB2312" w:hAnsi="仿宋_GB2312" w:eastAsia="仿宋_GB2312" w:cs="仿宋_GB2312"/>
          <w:b w:val="0"/>
          <w:bCs w:val="0"/>
          <w:color w:val="auto"/>
          <w:sz w:val="32"/>
          <w:szCs w:val="32"/>
          <w:lang w:val="en-US" w:eastAsia="zh-CN"/>
        </w:rPr>
        <w:t>按照国务院和省、市工作部署，</w:t>
      </w:r>
      <w:r>
        <w:rPr>
          <w:rFonts w:hint="eastAsia" w:ascii="仿宋_GB2312" w:hAnsi="仿宋_GB2312" w:eastAsia="仿宋_GB2312" w:cs="仿宋_GB2312"/>
          <w:b w:val="0"/>
          <w:bCs w:val="0"/>
          <w:color w:val="auto"/>
          <w:sz w:val="32"/>
          <w:szCs w:val="32"/>
          <w:lang w:val="en-US" w:eastAsia="zh-CN"/>
        </w:rPr>
        <w:t>建立“行政审批局牵头统筹、责任部门协同落实”的联动机制，将“高效办成一件事”作为优化政务服务重要抓手，全面实行“一次告知、一表申请、一套材料、一窗受理”，开展收件、咨询、帮办代办等服务。结合我市产业结构和市场需求，在鹿泉区试点推出特色开办民宿“一件事”。截至目前，前3批33个重点事项已全部上线运行，总计减少跑动132次、压减环节141个、精简材料290个、压缩时间364个工作日，较改革前分别压减87%、84%、73%、68%，位居全国前列，累计服务企业群众143.68万次。三</w:t>
      </w:r>
      <w:r>
        <w:rPr>
          <w:rFonts w:hint="eastAsia" w:ascii="仿宋_GB2312" w:hAnsi="仿宋_GB2312" w:eastAsia="仿宋_GB2312" w:cs="仿宋_GB2312"/>
          <w:b w:val="0"/>
          <w:bCs w:val="0"/>
          <w:color w:val="auto"/>
          <w:sz w:val="32"/>
          <w:szCs w:val="32"/>
          <w:lang w:val="en-US" w:eastAsia="zh"/>
        </w:rPr>
        <w:t>是</w:t>
      </w:r>
      <w:r>
        <w:rPr>
          <w:rFonts w:hint="eastAsia" w:ascii="仿宋_GB2312" w:hAnsi="仿宋_GB2312" w:eastAsia="仿宋_GB2312" w:cs="仿宋_GB2312"/>
          <w:b w:val="0"/>
          <w:bCs w:val="0"/>
          <w:color w:val="auto"/>
          <w:sz w:val="32"/>
          <w:szCs w:val="32"/>
          <w:lang w:val="en-US" w:eastAsia="zh-CN"/>
        </w:rPr>
        <w:t>持续</w:t>
      </w:r>
      <w:r>
        <w:rPr>
          <w:rFonts w:hint="default" w:ascii="仿宋_GB2312" w:hAnsi="仿宋_GB2312" w:eastAsia="仿宋_GB2312" w:cs="仿宋_GB2312"/>
          <w:b w:val="0"/>
          <w:bCs w:val="0"/>
          <w:color w:val="auto"/>
          <w:sz w:val="32"/>
          <w:szCs w:val="32"/>
          <w:lang w:val="en-US" w:eastAsia="zh-CN"/>
        </w:rPr>
        <w:t>提升</w:t>
      </w:r>
      <w:r>
        <w:rPr>
          <w:rFonts w:hint="eastAsia" w:ascii="仿宋_GB2312" w:hAnsi="仿宋_GB2312" w:eastAsia="仿宋_GB2312" w:cs="仿宋_GB2312"/>
          <w:b w:val="0"/>
          <w:bCs w:val="0"/>
          <w:color w:val="auto"/>
          <w:sz w:val="32"/>
          <w:szCs w:val="32"/>
          <w:lang w:val="en-US" w:eastAsia="zh-CN"/>
        </w:rPr>
        <w:t>行政审批效率</w:t>
      </w:r>
      <w:r>
        <w:rPr>
          <w:rFonts w:hint="eastAsia" w:ascii="仿宋_GB2312" w:hAnsi="仿宋_GB2312" w:eastAsia="仿宋_GB2312" w:cs="仿宋_GB2312"/>
          <w:b w:val="0"/>
          <w:bCs w:val="0"/>
          <w:color w:val="auto"/>
          <w:sz w:val="32"/>
          <w:szCs w:val="32"/>
          <w:lang w:val="en-US" w:eastAsia="zh"/>
        </w:rPr>
        <w:t>。</w:t>
      </w:r>
      <w:r>
        <w:rPr>
          <w:rFonts w:hint="eastAsia" w:ascii="仿宋_GB2312" w:hAnsi="仿宋_GB2312" w:eastAsia="仿宋_GB2312" w:cs="仿宋_GB2312"/>
          <w:b w:val="0"/>
          <w:bCs w:val="0"/>
          <w:color w:val="auto"/>
          <w:sz w:val="32"/>
          <w:szCs w:val="32"/>
          <w:lang w:val="en-US" w:eastAsia="zh-CN"/>
        </w:rPr>
        <w:t>对标国内先进地市，依据法律、法规、规章，逐事项梳理政务服务事项的办理条件和环节，持续减时限、减环节、减材料，全局共639个办理项，法定办理总时限19906日，压减至3171日，压减比例达到84%，审批效率进一步提升。</w:t>
      </w:r>
    </w:p>
    <w:p>
      <w:pPr>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三是拓展远程异地评标范围。全面推行远程异地评标常态化。升级完善公共资源交易平台基础设施，远程异地评标范围由“限额以上”扩展到“全部依法必须招标项目”，依托省远程异地评标协调系统，实现在全省范围内随机抽取评标专家，随机分配评标场所的“双随机”评标机制。</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color w:val="auto"/>
          <w:sz w:val="32"/>
          <w:szCs w:val="32"/>
          <w:lang w:val="en-US" w:eastAsia="zh-CN"/>
        </w:rPr>
        <w:t xml:space="preserve">多项改革走在全省、全国前列：3月14日，我局“双盲”评审改革经验在《人民日报》整版刊发，向全国推广可复制、可借鉴的创新做法；5月12日，京津冀党政主要领导莅临我局现场调研，对石家庄“双盲”评审改革的前瞻性设计与务实成效给予高度评价；国务院部署的2025年第一批12个“高效办成一件事”重点事项全部落地实施；“开发区区域评估”审批制度改革经验在住建部国家年度工程建设项目审批制度改革评估中得到肯定，并入选“2025中国营商环境50人论坛”优秀案例；“石家庄政务服务大模型项目”入选2025政务智能体发展研究报告“政务智能体典型案例”；2025年新争取“国家注册资本认缴制改革试点”国家级改革试点；新争取“经营主体登记档案规范化、标准化、电子化建设全省试点”省级改革试点。  </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仿宋_GB2312" w:hAnsi="仿宋_GB2312" w:eastAsia="仿宋_GB2312" w:cs="仿宋_GB2312"/>
          <w:sz w:val="32"/>
          <w:szCs w:val="32"/>
          <w:highlight w:val="none"/>
          <w:lang w:val="en-US" w:eastAsia="zh-CN"/>
        </w:rPr>
        <w:t>我局2025年度部门整体绩效自评得分94.1分，评价等级为“优秀”。</w:t>
      </w:r>
    </w:p>
    <w:p>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outlineLvl w:val="0"/>
        <w:rPr>
          <w:rFonts w:hint="eastAsia" w:ascii="黑体" w:hAnsi="黑体" w:eastAsia="黑体"/>
          <w:sz w:val="32"/>
          <w:szCs w:val="32"/>
        </w:rPr>
      </w:pPr>
      <w:bookmarkStart w:id="36" w:name="_Toc25263"/>
      <w:r>
        <w:rPr>
          <w:rFonts w:hint="eastAsia" w:ascii="黑体" w:hAnsi="黑体" w:eastAsia="黑体"/>
          <w:sz w:val="32"/>
          <w:szCs w:val="32"/>
        </w:rPr>
        <w:t>五、存在的问题及改进措施</w:t>
      </w:r>
      <w:bookmarkEnd w:id="36"/>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37" w:name="_Toc9234"/>
      <w:r>
        <w:rPr>
          <w:rFonts w:hint="eastAsia" w:ascii="楷体" w:hAnsi="楷体" w:eastAsia="楷体" w:cs="楷体"/>
          <w:b w:val="0"/>
          <w:bCs w:val="0"/>
          <w:sz w:val="32"/>
          <w:szCs w:val="32"/>
          <w:lang w:val="en-US" w:eastAsia="zh-CN"/>
        </w:rPr>
        <w:t>（一）存在的主要问题</w:t>
      </w:r>
      <w:bookmarkEnd w:id="37"/>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bookmarkStart w:id="38" w:name="_Toc12853"/>
      <w:bookmarkStart w:id="39" w:name="_Toc21496"/>
      <w:bookmarkStart w:id="40" w:name="_Toc70582278"/>
      <w:r>
        <w:rPr>
          <w:rFonts w:hint="eastAsia" w:ascii="仿宋_GB2312" w:hAnsi="仿宋_GB2312" w:eastAsia="仿宋_GB2312" w:cs="仿宋_GB2312"/>
          <w:sz w:val="32"/>
          <w:szCs w:val="32"/>
          <w:lang w:val="en-US" w:eastAsia="zh-CN"/>
        </w:rPr>
        <w:t>1.</w:t>
      </w:r>
      <w:bookmarkEnd w:id="38"/>
      <w:r>
        <w:rPr>
          <w:rFonts w:hint="eastAsia" w:ascii="仿宋_GB2312" w:hAnsi="仿宋_GB2312" w:eastAsia="仿宋_GB2312" w:cs="仿宋_GB2312"/>
          <w:sz w:val="32"/>
          <w:szCs w:val="32"/>
          <w:lang w:val="en-US" w:eastAsia="zh-CN"/>
        </w:rPr>
        <w:t>预算编制不够精准</w:t>
      </w:r>
    </w:p>
    <w:bookmarkEnd w:id="39"/>
    <w:bookmarkEnd w:id="40"/>
    <w:p>
      <w:pPr>
        <w:keepNext w:val="0"/>
        <w:keepLines w:val="0"/>
        <w:pageBreakBefore w:val="0"/>
        <w:widowControl w:val="0"/>
        <w:kinsoku/>
        <w:wordWrap/>
        <w:overflowPunct/>
        <w:topLinePunct w:val="0"/>
        <w:autoSpaceDE/>
        <w:autoSpaceDN/>
        <w:bidi w:val="0"/>
        <w:adjustRightInd/>
        <w:snapToGrid w:val="0"/>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个别项目在年初编制预算时，由于搬迁新址等因素，数量指标年初设定绩效指标时不够精准，未能将人为因素、环境因素等各种因素考虑周全，导致指标完成值和年初指标值不同。</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年初设定绩效指标时有些简单，导致绩效指标不够清晰、可衡量。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41" w:name="_Toc28675"/>
      <w:r>
        <w:rPr>
          <w:rFonts w:hint="eastAsia" w:ascii="楷体" w:hAnsi="楷体" w:eastAsia="楷体" w:cs="楷体"/>
          <w:b w:val="0"/>
          <w:bCs w:val="0"/>
          <w:sz w:val="32"/>
          <w:szCs w:val="32"/>
          <w:lang w:val="en-US" w:eastAsia="zh-CN"/>
        </w:rPr>
        <w:t>（二）针对问题提出具体的改进措施或建议</w:t>
      </w:r>
      <w:bookmarkEnd w:id="41"/>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仿宋" w:hAnsi="仿宋" w:eastAsia="仿宋"/>
          <w:sz w:val="32"/>
          <w:szCs w:val="32"/>
          <w:lang w:val="en-US" w:eastAsia="zh-CN"/>
        </w:rPr>
      </w:pPr>
      <w:bookmarkStart w:id="42" w:name="_Toc21059"/>
      <w:bookmarkStart w:id="43" w:name="_Toc70582283"/>
      <w:bookmarkStart w:id="44" w:name="_Toc70582285"/>
      <w:bookmarkStart w:id="45" w:name="_Toc28511"/>
      <w:r>
        <w:rPr>
          <w:rFonts w:hint="eastAsia" w:ascii="仿宋" w:hAnsi="仿宋" w:eastAsia="仿宋"/>
          <w:sz w:val="32"/>
          <w:szCs w:val="32"/>
          <w:lang w:val="en-US" w:eastAsia="zh-CN"/>
        </w:rPr>
        <w:t>1.</w:t>
      </w:r>
      <w:bookmarkEnd w:id="42"/>
      <w:bookmarkEnd w:id="43"/>
      <w:r>
        <w:rPr>
          <w:rFonts w:hint="eastAsia" w:ascii="仿宋" w:hAnsi="仿宋" w:eastAsia="仿宋"/>
          <w:sz w:val="32"/>
          <w:szCs w:val="32"/>
          <w:lang w:val="en-US" w:eastAsia="zh-CN"/>
        </w:rPr>
        <w:t>精准编辑预算绩效目标</w:t>
      </w:r>
    </w:p>
    <w:bookmarkEnd w:id="44"/>
    <w:bookmarkEnd w:id="45"/>
    <w:p>
      <w:pPr>
        <w:keepNext w:val="0"/>
        <w:keepLines w:val="0"/>
        <w:pageBreakBefore w:val="0"/>
        <w:widowControl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sz w:val="32"/>
          <w:szCs w:val="32"/>
          <w:lang w:val="en-US" w:eastAsia="zh-CN"/>
        </w:rPr>
      </w:pP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在设置绩效目标时应明确绩效目标，分解细化绩效指标，科学设定指标值，加强指标衔接性，绩效目标的设置既要与实际情况一致，不能偏离实际，又要通过相关的绩效指标进行全面体现，绩效指标值的设置要在考虑可实现性的基础上，尽量从严、从高设定，以充分发挥绩效目标对预算编制执行的引导约束和控制作用，避免选用难以确定具体指标值、标准不明确或缺乏约束力的指标；</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建议在今后编制预算时，要科学设置绩效目标指标，要细化、量化到具体项目。</w:t>
      </w:r>
    </w:p>
    <w:p>
      <w:pPr>
        <w:outlineLvl w:val="9"/>
        <w:rPr>
          <w:rFonts w:hint="eastAsia" w:ascii="仿宋_GB2312" w:hAnsi="仿宋_GB2312" w:eastAsia="仿宋_GB2312" w:cs="仿宋_GB2312"/>
          <w:b w:val="0"/>
          <w:bCs w:val="0"/>
          <w:sz w:val="32"/>
          <w:szCs w:val="32"/>
          <w:highlight w:val="none"/>
        </w:rPr>
      </w:pPr>
    </w:p>
    <w:p>
      <w:pPr>
        <w:snapToGrid w:val="0"/>
        <w:spacing w:line="360" w:lineRule="auto"/>
        <w:ind w:firstLine="4480" w:firstLineChars="1400"/>
        <w:outlineLvl w:val="9"/>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石家庄市行政审批局</w:t>
      </w:r>
    </w:p>
    <w:p>
      <w:pPr>
        <w:snapToGrid w:val="0"/>
        <w:spacing w:line="360" w:lineRule="auto"/>
        <w:outlineLvl w:val="9"/>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 xml:space="preserve">                             2026年4月29日</w:t>
      </w:r>
    </w:p>
    <w:p>
      <w:pPr>
        <w:rPr>
          <w:rFonts w:hint="eastAsia"/>
        </w:rPr>
      </w:pPr>
    </w:p>
    <w:sectPr>
      <w:footerReference r:id="rId4" w:type="default"/>
      <w:pgSz w:w="11906" w:h="16838"/>
      <w:pgMar w:top="1440" w:right="1474" w:bottom="1440" w:left="1587" w:header="851" w:footer="992" w:gutter="0"/>
      <w:pgNumType w:fmt="numberInDash" w:start="1"/>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949BEF3-A71A-4DF9-9267-9D2D684FC47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FD31165D-71C1-4085-A6FE-108D895AAF85}"/>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embedRegular r:id="rId3" w:fontKey="{8613E8CF-AAA8-46C1-9310-3BB31D2EC8B3}"/>
  </w:font>
  <w:font w:name="方正仿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embedRegular r:id="rId4" w:fontKey="{76E6AF2A-4020-4695-B41C-FAA6020D31B4}"/>
  </w:font>
  <w:font w:name="仿宋_GB2312">
    <w:panose1 w:val="02010609030101010101"/>
    <w:charset w:val="86"/>
    <w:family w:val="auto"/>
    <w:pitch w:val="default"/>
    <w:sig w:usb0="00000001" w:usb1="080E0000" w:usb2="00000000" w:usb3="00000000" w:csb0="00040000" w:csb1="00000000"/>
    <w:embedRegular r:id="rId5" w:fontKey="{1CB1C48E-4A29-4E11-9D81-092F0F3B30CE}"/>
  </w:font>
  <w:font w:name="华文楷体">
    <w:panose1 w:val="02010600040101010101"/>
    <w:charset w:val="86"/>
    <w:family w:val="auto"/>
    <w:pitch w:val="default"/>
    <w:sig w:usb0="00000287" w:usb1="080F0000" w:usb2="00000000" w:usb3="00000000" w:csb0="0004009F" w:csb1="DFD70000"/>
    <w:embedRegular r:id="rId6" w:fontKey="{55716E27-2DF8-4BFC-BBC3-689DBECDD740}"/>
  </w:font>
  <w:font w:name="楷体">
    <w:panose1 w:val="02010609060101010101"/>
    <w:charset w:val="86"/>
    <w:family w:val="auto"/>
    <w:pitch w:val="default"/>
    <w:sig w:usb0="800002BF" w:usb1="38CF7CFA" w:usb2="00000016" w:usb3="00000000" w:csb0="00040001" w:csb1="00000000"/>
    <w:embedRegular r:id="rId7" w:fontKey="{7B7C9AE2-C790-4E0B-90B1-084C3810AA9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xZWQwYjA0YzUyMWM0OTQyNDNmODk5MTBiMWQ4MzAifQ=="/>
  </w:docVars>
  <w:rsids>
    <w:rsidRoot w:val="0EBD2122"/>
    <w:rsid w:val="005F0CFC"/>
    <w:rsid w:val="007E6C1F"/>
    <w:rsid w:val="00977B14"/>
    <w:rsid w:val="00AF566A"/>
    <w:rsid w:val="00B6553A"/>
    <w:rsid w:val="01B104CA"/>
    <w:rsid w:val="01B76ED4"/>
    <w:rsid w:val="02106AB0"/>
    <w:rsid w:val="02B43A28"/>
    <w:rsid w:val="032B243A"/>
    <w:rsid w:val="03F74056"/>
    <w:rsid w:val="046F331E"/>
    <w:rsid w:val="04776088"/>
    <w:rsid w:val="04C11B5D"/>
    <w:rsid w:val="04C93122"/>
    <w:rsid w:val="063A78C0"/>
    <w:rsid w:val="07956271"/>
    <w:rsid w:val="07C75183"/>
    <w:rsid w:val="08722376"/>
    <w:rsid w:val="08E24991"/>
    <w:rsid w:val="092304DD"/>
    <w:rsid w:val="09721397"/>
    <w:rsid w:val="09D22FA2"/>
    <w:rsid w:val="0A4F3880"/>
    <w:rsid w:val="0ABB4D47"/>
    <w:rsid w:val="0B443D51"/>
    <w:rsid w:val="0B941820"/>
    <w:rsid w:val="0BB63BED"/>
    <w:rsid w:val="0C0544CC"/>
    <w:rsid w:val="0C600BAA"/>
    <w:rsid w:val="0D307327"/>
    <w:rsid w:val="0D374B59"/>
    <w:rsid w:val="0DF11314"/>
    <w:rsid w:val="0E574D87"/>
    <w:rsid w:val="0EB30ADD"/>
    <w:rsid w:val="0EB97A43"/>
    <w:rsid w:val="0EBD2122"/>
    <w:rsid w:val="0F214EAE"/>
    <w:rsid w:val="10C54626"/>
    <w:rsid w:val="113778C5"/>
    <w:rsid w:val="11AF20D9"/>
    <w:rsid w:val="11B71E6A"/>
    <w:rsid w:val="12B57E7A"/>
    <w:rsid w:val="13F78CA1"/>
    <w:rsid w:val="15FF3D3A"/>
    <w:rsid w:val="1666200B"/>
    <w:rsid w:val="168F2E45"/>
    <w:rsid w:val="16E1406A"/>
    <w:rsid w:val="17A0154D"/>
    <w:rsid w:val="18075128"/>
    <w:rsid w:val="18DD1A34"/>
    <w:rsid w:val="197A654C"/>
    <w:rsid w:val="1A3A7111"/>
    <w:rsid w:val="1AAF0063"/>
    <w:rsid w:val="1BE140DE"/>
    <w:rsid w:val="1C1F0436"/>
    <w:rsid w:val="1C5A616E"/>
    <w:rsid w:val="1C9079D2"/>
    <w:rsid w:val="1CFA525B"/>
    <w:rsid w:val="1DFFBAA6"/>
    <w:rsid w:val="1E8C45D9"/>
    <w:rsid w:val="1E917E41"/>
    <w:rsid w:val="1EF309B7"/>
    <w:rsid w:val="1F984B8A"/>
    <w:rsid w:val="21224D81"/>
    <w:rsid w:val="219655DC"/>
    <w:rsid w:val="228D3B19"/>
    <w:rsid w:val="23D5432C"/>
    <w:rsid w:val="23EF1892"/>
    <w:rsid w:val="243B4AD7"/>
    <w:rsid w:val="248C197D"/>
    <w:rsid w:val="25013CEC"/>
    <w:rsid w:val="252959AF"/>
    <w:rsid w:val="25E87A4B"/>
    <w:rsid w:val="274E4B21"/>
    <w:rsid w:val="277A6671"/>
    <w:rsid w:val="27B32811"/>
    <w:rsid w:val="27EC2573"/>
    <w:rsid w:val="28354D2A"/>
    <w:rsid w:val="28FA4E36"/>
    <w:rsid w:val="292D35B7"/>
    <w:rsid w:val="29A70519"/>
    <w:rsid w:val="2AB03CC7"/>
    <w:rsid w:val="2AF4347D"/>
    <w:rsid w:val="2B8859C9"/>
    <w:rsid w:val="2CA0054F"/>
    <w:rsid w:val="2F3445FD"/>
    <w:rsid w:val="2F764A12"/>
    <w:rsid w:val="2F9C71FB"/>
    <w:rsid w:val="30803872"/>
    <w:rsid w:val="313B6153"/>
    <w:rsid w:val="31D9592F"/>
    <w:rsid w:val="33EB6CFF"/>
    <w:rsid w:val="340A1E2E"/>
    <w:rsid w:val="35276294"/>
    <w:rsid w:val="35A12947"/>
    <w:rsid w:val="35BD094B"/>
    <w:rsid w:val="363870C8"/>
    <w:rsid w:val="36A53C9B"/>
    <w:rsid w:val="36C0616A"/>
    <w:rsid w:val="37387040"/>
    <w:rsid w:val="377A54BF"/>
    <w:rsid w:val="37FD362F"/>
    <w:rsid w:val="380F15A5"/>
    <w:rsid w:val="386A3B8A"/>
    <w:rsid w:val="39AE31FE"/>
    <w:rsid w:val="3AAD1707"/>
    <w:rsid w:val="3AE72E6B"/>
    <w:rsid w:val="3B625C0A"/>
    <w:rsid w:val="3B93486C"/>
    <w:rsid w:val="3BA54B98"/>
    <w:rsid w:val="3BF707E0"/>
    <w:rsid w:val="3CEE1963"/>
    <w:rsid w:val="3CF655E7"/>
    <w:rsid w:val="3D5F5C44"/>
    <w:rsid w:val="3D77437B"/>
    <w:rsid w:val="3D7BFF14"/>
    <w:rsid w:val="3DB15B2D"/>
    <w:rsid w:val="3DB42DAD"/>
    <w:rsid w:val="3EB2553E"/>
    <w:rsid w:val="3EFFFB0D"/>
    <w:rsid w:val="3FD6670D"/>
    <w:rsid w:val="3FDF7DB8"/>
    <w:rsid w:val="3FFF8533"/>
    <w:rsid w:val="400129AF"/>
    <w:rsid w:val="40F72B9F"/>
    <w:rsid w:val="432F3601"/>
    <w:rsid w:val="4360770A"/>
    <w:rsid w:val="43FE4D82"/>
    <w:rsid w:val="4484797D"/>
    <w:rsid w:val="454F017B"/>
    <w:rsid w:val="45C473DF"/>
    <w:rsid w:val="46BC3736"/>
    <w:rsid w:val="476E221E"/>
    <w:rsid w:val="48331CE1"/>
    <w:rsid w:val="4990688D"/>
    <w:rsid w:val="49951CE4"/>
    <w:rsid w:val="49A77259"/>
    <w:rsid w:val="49C41438"/>
    <w:rsid w:val="4ADC0C62"/>
    <w:rsid w:val="4C5916EF"/>
    <w:rsid w:val="4C9C27FE"/>
    <w:rsid w:val="4DA22055"/>
    <w:rsid w:val="4E8F31A6"/>
    <w:rsid w:val="4F936CC6"/>
    <w:rsid w:val="4FF21831"/>
    <w:rsid w:val="505A7F81"/>
    <w:rsid w:val="512260B4"/>
    <w:rsid w:val="51D719A2"/>
    <w:rsid w:val="52BD6ACB"/>
    <w:rsid w:val="53285FEE"/>
    <w:rsid w:val="53E50857"/>
    <w:rsid w:val="546C47B6"/>
    <w:rsid w:val="55537534"/>
    <w:rsid w:val="561A74F1"/>
    <w:rsid w:val="56C22B81"/>
    <w:rsid w:val="577906D2"/>
    <w:rsid w:val="588D4BFA"/>
    <w:rsid w:val="594233EC"/>
    <w:rsid w:val="597244E8"/>
    <w:rsid w:val="59F3752A"/>
    <w:rsid w:val="5ADF7D12"/>
    <w:rsid w:val="5B1037B2"/>
    <w:rsid w:val="5BA71BF6"/>
    <w:rsid w:val="5C644063"/>
    <w:rsid w:val="5D846B64"/>
    <w:rsid w:val="5DE132F2"/>
    <w:rsid w:val="5EB71C30"/>
    <w:rsid w:val="5F0674B4"/>
    <w:rsid w:val="5F273111"/>
    <w:rsid w:val="5F4374DC"/>
    <w:rsid w:val="5F7BA5E0"/>
    <w:rsid w:val="5F9FB97C"/>
    <w:rsid w:val="5FDE0AC1"/>
    <w:rsid w:val="5FE67C04"/>
    <w:rsid w:val="5FFC00B9"/>
    <w:rsid w:val="5FFEAA45"/>
    <w:rsid w:val="6011560A"/>
    <w:rsid w:val="602A69F2"/>
    <w:rsid w:val="60340051"/>
    <w:rsid w:val="60913FEE"/>
    <w:rsid w:val="60C23F40"/>
    <w:rsid w:val="60C83277"/>
    <w:rsid w:val="61831368"/>
    <w:rsid w:val="63754C08"/>
    <w:rsid w:val="63AF52DB"/>
    <w:rsid w:val="6477661D"/>
    <w:rsid w:val="64845E83"/>
    <w:rsid w:val="64D4770D"/>
    <w:rsid w:val="65E06FC3"/>
    <w:rsid w:val="65E33726"/>
    <w:rsid w:val="6659016A"/>
    <w:rsid w:val="66AF0CE5"/>
    <w:rsid w:val="67987117"/>
    <w:rsid w:val="679D79CC"/>
    <w:rsid w:val="67F9651C"/>
    <w:rsid w:val="68B37FCF"/>
    <w:rsid w:val="69564B94"/>
    <w:rsid w:val="6AC537CF"/>
    <w:rsid w:val="6BB9BBD2"/>
    <w:rsid w:val="6BBE2C2B"/>
    <w:rsid w:val="6C3D028D"/>
    <w:rsid w:val="6C58196B"/>
    <w:rsid w:val="6CD183B3"/>
    <w:rsid w:val="6D2737DF"/>
    <w:rsid w:val="6D374CDD"/>
    <w:rsid w:val="6E162B44"/>
    <w:rsid w:val="6E5B14A6"/>
    <w:rsid w:val="6FC576B3"/>
    <w:rsid w:val="70FF1FB5"/>
    <w:rsid w:val="711B255E"/>
    <w:rsid w:val="716B764B"/>
    <w:rsid w:val="71B2492A"/>
    <w:rsid w:val="721C56AF"/>
    <w:rsid w:val="76746FA2"/>
    <w:rsid w:val="77585F7B"/>
    <w:rsid w:val="775B021A"/>
    <w:rsid w:val="77AF03E0"/>
    <w:rsid w:val="77B74B69"/>
    <w:rsid w:val="77FF8299"/>
    <w:rsid w:val="793F5645"/>
    <w:rsid w:val="79BD123B"/>
    <w:rsid w:val="7A1A1C0E"/>
    <w:rsid w:val="7AA75AF9"/>
    <w:rsid w:val="7AAE82B8"/>
    <w:rsid w:val="7AE446F6"/>
    <w:rsid w:val="7AF96C95"/>
    <w:rsid w:val="7AFD96BB"/>
    <w:rsid w:val="7B6D4A82"/>
    <w:rsid w:val="7BB51E06"/>
    <w:rsid w:val="7BC7DC4D"/>
    <w:rsid w:val="7C1C1C6D"/>
    <w:rsid w:val="7C387F7C"/>
    <w:rsid w:val="7C39281F"/>
    <w:rsid w:val="7CD662C0"/>
    <w:rsid w:val="7DBA5C60"/>
    <w:rsid w:val="7DBF2E18"/>
    <w:rsid w:val="7DFCCE7F"/>
    <w:rsid w:val="7E873F7A"/>
    <w:rsid w:val="7EAA17B2"/>
    <w:rsid w:val="7EF76EA7"/>
    <w:rsid w:val="7EF78425"/>
    <w:rsid w:val="7FBF6DC2"/>
    <w:rsid w:val="7FDB56EF"/>
    <w:rsid w:val="7FE83423"/>
    <w:rsid w:val="7FF98C21"/>
    <w:rsid w:val="95FF07FF"/>
    <w:rsid w:val="B7FFA32C"/>
    <w:rsid w:val="BE6FD3F5"/>
    <w:rsid w:val="BF66D175"/>
    <w:rsid w:val="BFAB011E"/>
    <w:rsid w:val="BFDB9D7E"/>
    <w:rsid w:val="BFFE8DB4"/>
    <w:rsid w:val="CBE729E0"/>
    <w:rsid w:val="CEF2EF0B"/>
    <w:rsid w:val="D3F7781F"/>
    <w:rsid w:val="D4F797B6"/>
    <w:rsid w:val="D5E609DC"/>
    <w:rsid w:val="D7FEE563"/>
    <w:rsid w:val="D8BE4416"/>
    <w:rsid w:val="DBCF2124"/>
    <w:rsid w:val="DD4F65A1"/>
    <w:rsid w:val="DD9D0D5C"/>
    <w:rsid w:val="DDEC37B3"/>
    <w:rsid w:val="DF7FE97C"/>
    <w:rsid w:val="E7FE3D6A"/>
    <w:rsid w:val="EAFE0388"/>
    <w:rsid w:val="EFADA4E3"/>
    <w:rsid w:val="EFB5A8C4"/>
    <w:rsid w:val="F34790DE"/>
    <w:rsid w:val="F3BDEA60"/>
    <w:rsid w:val="F776BB7F"/>
    <w:rsid w:val="F7FC9E95"/>
    <w:rsid w:val="FAC53B47"/>
    <w:rsid w:val="FB6F0AF1"/>
    <w:rsid w:val="FBF75157"/>
    <w:rsid w:val="FCFF0079"/>
    <w:rsid w:val="FDEEA6A9"/>
    <w:rsid w:val="FEDF00EA"/>
    <w:rsid w:val="FF7F0EB3"/>
    <w:rsid w:val="FFBF86BC"/>
    <w:rsid w:val="FFD7D57F"/>
    <w:rsid w:val="FFF6DC27"/>
    <w:rsid w:val="FFF7D1B7"/>
    <w:rsid w:val="FFFBE1F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nhideWhenUsed="0" w:uiPriority="0" w:semiHidden="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qFormat="1" w:unhideWhenUsed="0" w:uiPriority="99"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2"/>
    <w:basedOn w:val="1"/>
    <w:next w:val="1"/>
    <w:unhideWhenUsed/>
    <w:qFormat/>
    <w:uiPriority w:val="0"/>
    <w:pPr>
      <w:spacing w:beforeAutospacing="1" w:afterAutospacing="1"/>
      <w:jc w:val="left"/>
      <w:outlineLvl w:val="1"/>
    </w:pPr>
    <w:rPr>
      <w:rFonts w:ascii="宋体" w:hAnsi="宋体"/>
      <w:b/>
      <w:kern w:val="0"/>
      <w:sz w:val="36"/>
      <w:szCs w:val="36"/>
    </w:rPr>
  </w:style>
  <w:style w:type="paragraph" w:styleId="5">
    <w:name w:val="heading 4"/>
    <w:basedOn w:val="1"/>
    <w:next w:val="1"/>
    <w:qFormat/>
    <w:uiPriority w:val="0"/>
    <w:pPr>
      <w:keepNext/>
      <w:keepLines/>
      <w:widowControl w:val="0"/>
      <w:spacing w:before="0" w:beforeAutospacing="0" w:after="0" w:afterAutospacing="0" w:line="600" w:lineRule="exact"/>
      <w:ind w:firstLine="200" w:firstLineChars="200"/>
      <w:outlineLvl w:val="3"/>
    </w:pPr>
    <w:rPr>
      <w:rFonts w:ascii="Arial" w:hAnsi="Arial" w:eastAsia="黑体"/>
      <w:sz w:val="36"/>
    </w:rPr>
  </w:style>
  <w:style w:type="paragraph" w:styleId="6">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21">
    <w:name w:val="Default Paragraph Font"/>
    <w:unhideWhenUsed/>
    <w:qFormat/>
    <w:uiPriority w:val="1"/>
  </w:style>
  <w:style w:type="table" w:default="1" w:styleId="20">
    <w:name w:val="Normal Table"/>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Times New Roman" w:hAnsi="Times New Roman" w:eastAsia="宋体" w:cs="Times New Roman"/>
    </w:rPr>
  </w:style>
  <w:style w:type="paragraph" w:styleId="3">
    <w:name w:val="Body Text"/>
    <w:basedOn w:val="1"/>
    <w:next w:val="2"/>
    <w:qFormat/>
    <w:uiPriority w:val="0"/>
    <w:pPr>
      <w:spacing w:after="120" w:afterAutospacing="0"/>
    </w:pPr>
    <w:rPr>
      <w:rFonts w:ascii="Calibri" w:hAnsi="Calibri" w:eastAsia="宋体" w:cs="Times New Roman"/>
    </w:rPr>
  </w:style>
  <w:style w:type="paragraph" w:styleId="7">
    <w:name w:val="Normal Indent"/>
    <w:basedOn w:val="1"/>
    <w:next w:val="8"/>
    <w:unhideWhenUsed/>
    <w:qFormat/>
    <w:uiPriority w:val="99"/>
    <w:pPr>
      <w:ind w:firstLine="420" w:firstLineChars="200"/>
    </w:pPr>
  </w:style>
  <w:style w:type="paragraph" w:styleId="8">
    <w:name w:val="List"/>
    <w:basedOn w:val="1"/>
    <w:unhideWhenUsed/>
    <w:qFormat/>
    <w:uiPriority w:val="99"/>
    <w:pPr>
      <w:autoSpaceDE w:val="0"/>
      <w:autoSpaceDN w:val="0"/>
      <w:spacing w:line="240" w:lineRule="atLeast"/>
      <w:jc w:val="center"/>
    </w:pPr>
    <w:rPr>
      <w:rFonts w:ascii="仿宋" w:hAnsi="仿宋" w:eastAsia="仿宋" w:cs="仿宋"/>
      <w:kern w:val="0"/>
      <w:sz w:val="24"/>
      <w:lang w:val="zh-CN" w:bidi="zh-CN"/>
    </w:rPr>
  </w:style>
  <w:style w:type="paragraph" w:styleId="9">
    <w:name w:val="annotation text"/>
    <w:basedOn w:val="1"/>
    <w:qFormat/>
    <w:uiPriority w:val="0"/>
    <w:pPr>
      <w:jc w:val="left"/>
    </w:pPr>
  </w:style>
  <w:style w:type="paragraph" w:styleId="10">
    <w:name w:val="index 6"/>
    <w:basedOn w:val="1"/>
    <w:next w:val="1"/>
    <w:qFormat/>
    <w:uiPriority w:val="0"/>
    <w:pPr>
      <w:ind w:left="1000" w:leftChars="1000"/>
    </w:pPr>
  </w:style>
  <w:style w:type="paragraph" w:styleId="11">
    <w:name w:val="Body Text Indent"/>
    <w:basedOn w:val="1"/>
    <w:next w:val="1"/>
    <w:unhideWhenUsed/>
    <w:qFormat/>
    <w:uiPriority w:val="99"/>
    <w:pPr>
      <w:spacing w:after="120" w:afterLines="0" w:afterAutospacing="0"/>
      <w:ind w:left="420" w:leftChars="200"/>
    </w:pPr>
  </w:style>
  <w:style w:type="paragraph" w:styleId="12">
    <w:name w:val="toc 3"/>
    <w:basedOn w:val="1"/>
    <w:next w:val="1"/>
    <w:qFormat/>
    <w:uiPriority w:val="0"/>
    <w:pPr>
      <w:ind w:left="840" w:leftChars="400"/>
    </w:p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5">
    <w:name w:val="toc 1"/>
    <w:basedOn w:val="1"/>
    <w:next w:val="1"/>
    <w:qFormat/>
    <w:uiPriority w:val="0"/>
  </w:style>
  <w:style w:type="paragraph" w:styleId="16">
    <w:name w:val="index 9"/>
    <w:basedOn w:val="1"/>
    <w:next w:val="1"/>
    <w:qFormat/>
    <w:uiPriority w:val="99"/>
    <w:pPr>
      <w:ind w:left="3360"/>
      <w:jc w:val="left"/>
    </w:pPr>
  </w:style>
  <w:style w:type="paragraph" w:styleId="17">
    <w:name w:val="toc 2"/>
    <w:basedOn w:val="1"/>
    <w:next w:val="1"/>
    <w:qFormat/>
    <w:uiPriority w:val="0"/>
    <w:pPr>
      <w:ind w:left="420" w:leftChars="200"/>
    </w:pPr>
  </w:style>
  <w:style w:type="paragraph" w:styleId="18">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9">
    <w:name w:val="Body Text First Indent 2"/>
    <w:basedOn w:val="11"/>
    <w:next w:val="1"/>
    <w:unhideWhenUsed/>
    <w:qFormat/>
    <w:uiPriority w:val="99"/>
    <w:pPr>
      <w:ind w:firstLine="420" w:firstLineChars="200"/>
    </w:pPr>
  </w:style>
  <w:style w:type="paragraph" w:customStyle="1" w:styleId="22">
    <w:name w:val="Char"/>
    <w:basedOn w:val="1"/>
    <w:qFormat/>
    <w:uiPriority w:val="0"/>
    <w:pPr>
      <w:spacing w:line="360" w:lineRule="auto"/>
      <w:ind w:firstLine="200" w:firstLineChars="200"/>
    </w:pPr>
    <w:rPr>
      <w:rFonts w:ascii="宋体" w:hAnsi="宋体" w:eastAsia="宋体" w:cs="宋体"/>
      <w:sz w:val="24"/>
    </w:rPr>
  </w:style>
  <w:style w:type="paragraph" w:customStyle="1" w:styleId="23">
    <w:name w:val="Default"/>
    <w:unhideWhenUsed/>
    <w:qFormat/>
    <w:uiPriority w:val="99"/>
    <w:pPr>
      <w:widowControl w:val="0"/>
      <w:autoSpaceDE w:val="0"/>
      <w:autoSpaceDN w:val="0"/>
      <w:adjustRightInd w:val="0"/>
    </w:pPr>
    <w:rPr>
      <w:rFonts w:hint="eastAsia" w:ascii="方正仿宋_GBK" w:hAnsi="方正仿宋_GBK" w:eastAsia="方正仿宋_GBK" w:cs="Times New Roman"/>
      <w:color w:val="000000"/>
      <w:sz w:val="24"/>
      <w:szCs w:val="22"/>
      <w:lang w:val="en-US" w:eastAsia="zh-CN" w:bidi="ar-SA"/>
    </w:rPr>
  </w:style>
  <w:style w:type="paragraph" w:customStyle="1" w:styleId="24">
    <w:name w:val="WPSOffice手动目录 1"/>
    <w:qFormat/>
    <w:uiPriority w:val="0"/>
    <w:pPr>
      <w:ind w:leftChars="0"/>
    </w:pPr>
    <w:rPr>
      <w:rFonts w:ascii="Times New Roman" w:hAnsi="Times New Roman" w:eastAsia="宋体" w:cs="Times New Roman"/>
      <w:sz w:val="20"/>
      <w:szCs w:val="20"/>
    </w:rPr>
  </w:style>
  <w:style w:type="paragraph" w:customStyle="1" w:styleId="25">
    <w:name w:val="WPSOffice手动目录 2"/>
    <w:qFormat/>
    <w:uiPriority w:val="0"/>
    <w:pPr>
      <w:ind w:leftChars="200"/>
    </w:pPr>
    <w:rPr>
      <w:rFonts w:ascii="Times New Roman" w:hAnsi="Times New Roman" w:eastAsia="宋体" w:cs="Times New Roman"/>
      <w:sz w:val="20"/>
      <w:szCs w:val="20"/>
    </w:rPr>
  </w:style>
  <w:style w:type="paragraph" w:customStyle="1" w:styleId="26">
    <w:name w:val="WPSOffice手动目录 3"/>
    <w:qFormat/>
    <w:uiPriority w:val="0"/>
    <w:pPr>
      <w:ind w:leftChars="400"/>
    </w:pPr>
    <w:rPr>
      <w:rFonts w:ascii="Times New Roman" w:hAnsi="Times New Roman" w:eastAsia="宋体" w:cs="Times New Roman"/>
      <w:sz w:val="20"/>
      <w:szCs w:val="20"/>
    </w:rPr>
  </w:style>
  <w:style w:type="paragraph" w:customStyle="1" w:styleId="27">
    <w:name w:val="NormalIndent"/>
    <w:basedOn w:val="1"/>
    <w:qFormat/>
    <w:uiPriority w:val="0"/>
    <w:pPr>
      <w:keepNext w:val="0"/>
      <w:keepLines w:val="0"/>
      <w:widowControl/>
      <w:suppressLineNumbers w:val="0"/>
      <w:spacing w:before="0" w:beforeAutospacing="0" w:after="200" w:afterAutospacing="0" w:line="276" w:lineRule="auto"/>
      <w:ind w:left="0" w:right="0" w:firstLine="420" w:firstLineChars="200"/>
      <w:jc w:val="both"/>
    </w:pPr>
    <w:rPr>
      <w:rFonts w:hint="default" w:ascii="Calibri" w:hAnsi="Calibri" w:eastAsia="宋体" w:cs="宋体"/>
      <w:kern w:val="2"/>
      <w:sz w:val="21"/>
      <w:szCs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571</Words>
  <Characters>602</Characters>
  <Lines>7</Lines>
  <Paragraphs>2</Paragraphs>
  <TotalTime>1479</TotalTime>
  <ScaleCrop>false</ScaleCrop>
  <LinksUpToDate>false</LinksUpToDate>
  <CharactersWithSpaces>658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2020-02-10T11:46:00Z</dcterms:created>
  <dc:creator>欣欣大人</dc:creator>
  <cp:lastModifiedBy>lenovo</cp:lastModifiedBy>
  <cp:lastPrinted>2026-05-01T10:22:00Z</cp:lastPrinted>
  <dcterms:modified xsi:type="dcterms:W3CDTF">2026-05-28T03:50:49Z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A2C01FFA90C0342777B7176AD5A20D05_43</vt:lpwstr>
  </property>
  <property fmtid="{D5CDD505-2E9C-101B-9397-08002B2CF9AE}" pid="4" name="KSOTemplateDocerSaveRecord">
    <vt:lpwstr>eyJoZGlkIjoiYzQ2ZGY5ZWRlZTY5M2FmMTQ0MmY3Y2MzMzk4ZTMwN2UiLCJ1c2VySWQiOiIyNjQwNTc4MSJ9</vt:lpwstr>
  </property>
</Properties>
</file>