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adjustRightInd w:val="0"/>
        <w:snapToGrid w:val="0"/>
        <w:spacing w:line="560" w:lineRule="exact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附件4</w:t>
      </w:r>
    </w:p>
    <w:p>
      <w:pPr>
        <w:spacing w:line="560" w:lineRule="exact"/>
        <w:jc w:val="center"/>
        <w:rPr>
          <w:rFonts w:ascii="宋体" w:hAnsi="宋体" w:cs="宋体"/>
          <w:b/>
          <w:bCs/>
          <w:sz w:val="44"/>
          <w:szCs w:val="44"/>
        </w:rPr>
      </w:pPr>
    </w:p>
    <w:p>
      <w:pPr>
        <w:spacing w:line="560" w:lineRule="exact"/>
        <w:jc w:val="center"/>
        <w:rPr>
          <w:rFonts w:hint="eastAsia" w:ascii="宋体" w:hAnsi="宋体" w:cs="宋体"/>
          <w:b/>
          <w:bCs/>
          <w:sz w:val="44"/>
          <w:szCs w:val="44"/>
        </w:rPr>
      </w:pPr>
      <w:r>
        <w:rPr>
          <w:rFonts w:hint="eastAsia" w:ascii="宋体" w:hAnsi="宋体" w:cs="宋体"/>
          <w:b/>
          <w:bCs/>
          <w:sz w:val="44"/>
          <w:szCs w:val="44"/>
        </w:rPr>
        <w:t>石家庄市长安区人民检察院部门</w:t>
      </w:r>
    </w:p>
    <w:p>
      <w:pPr>
        <w:spacing w:line="560" w:lineRule="exact"/>
        <w:jc w:val="center"/>
        <w:rPr>
          <w:rFonts w:ascii="宋体" w:hAnsi="宋体" w:cs="宋体"/>
          <w:b/>
          <w:bCs/>
          <w:sz w:val="44"/>
          <w:szCs w:val="44"/>
        </w:rPr>
      </w:pPr>
      <w:r>
        <w:rPr>
          <w:rFonts w:hint="eastAsia" w:ascii="宋体" w:hAnsi="宋体" w:cs="宋体"/>
          <w:b/>
          <w:bCs/>
          <w:sz w:val="44"/>
          <w:szCs w:val="44"/>
        </w:rPr>
        <w:t>202</w:t>
      </w:r>
      <w:r>
        <w:rPr>
          <w:rFonts w:hint="eastAsia" w:ascii="宋体" w:hAnsi="宋体" w:cs="宋体"/>
          <w:b/>
          <w:bCs/>
          <w:sz w:val="44"/>
          <w:szCs w:val="44"/>
          <w:lang w:val="en-US" w:eastAsia="zh-CN"/>
        </w:rPr>
        <w:t>3</w:t>
      </w:r>
      <w:r>
        <w:rPr>
          <w:rFonts w:hint="eastAsia" w:ascii="宋体" w:hAnsi="宋体" w:cs="宋体"/>
          <w:b/>
          <w:bCs/>
          <w:sz w:val="44"/>
          <w:szCs w:val="44"/>
        </w:rPr>
        <w:t>年度整体支出绩效自评报告</w:t>
      </w:r>
      <w:bookmarkStart w:id="0" w:name="_GoBack"/>
      <w:bookmarkEnd w:id="0"/>
    </w:p>
    <w:p>
      <w:pPr>
        <w:spacing w:line="560" w:lineRule="exact"/>
        <w:jc w:val="center"/>
        <w:rPr>
          <w:rFonts w:ascii="华文楷体" w:eastAsia="华文楷体"/>
          <w:sz w:val="32"/>
          <w:szCs w:val="32"/>
        </w:rPr>
      </w:pPr>
    </w:p>
    <w:p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贯彻落实市委市政府《关于全面落实预算绩效管理的实施意见》（石发﹝2019﹞8号）文件精神，遵循“科学性、规范性、客观性和公正性”的原则，对石家庄市长安区人民检察院部门202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3</w:t>
      </w:r>
      <w:r>
        <w:rPr>
          <w:rFonts w:hint="eastAsia" w:ascii="仿宋" w:hAnsi="仿宋" w:eastAsia="仿宋"/>
          <w:sz w:val="32"/>
          <w:szCs w:val="32"/>
        </w:rPr>
        <w:t>年整体支出情况实施了财政支出绩效自评价，形成本评价报告。</w:t>
      </w:r>
    </w:p>
    <w:p>
      <w:pPr>
        <w:adjustRightInd w:val="0"/>
        <w:snapToGrid w:val="0"/>
        <w:spacing w:line="560" w:lineRule="exact"/>
        <w:rPr>
          <w:rFonts w:ascii="黑体" w:hAnsi="黑体" w:eastAsia="黑体"/>
          <w:b/>
          <w:bCs/>
          <w:sz w:val="32"/>
          <w:szCs w:val="36"/>
        </w:rPr>
      </w:pPr>
      <w:r>
        <w:rPr>
          <w:rFonts w:hint="eastAsia" w:ascii="黑体" w:hAnsi="黑体" w:eastAsia="黑体"/>
          <w:sz w:val="32"/>
          <w:szCs w:val="32"/>
        </w:rPr>
        <w:t xml:space="preserve">     一、部门</w:t>
      </w:r>
      <w:r>
        <w:rPr>
          <w:rFonts w:hint="eastAsia" w:ascii="黑体" w:hAnsi="黑体" w:eastAsia="黑体"/>
          <w:sz w:val="32"/>
          <w:szCs w:val="36"/>
        </w:rPr>
        <w:t>基本情况</w:t>
      </w:r>
    </w:p>
    <w:p>
      <w:pPr>
        <w:adjustRightInd w:val="0"/>
        <w:snapToGrid w:val="0"/>
        <w:spacing w:line="560" w:lineRule="exact"/>
        <w:ind w:firstLine="640" w:firstLineChars="200"/>
        <w:rPr>
          <w:rFonts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（一）部门概况</w:t>
      </w:r>
    </w:p>
    <w:p>
      <w:pPr>
        <w:widowControl w:val="0"/>
        <w:wordWrap/>
        <w:adjustRightInd w:val="0"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部门职责：</w:t>
      </w:r>
    </w:p>
    <w:p>
      <w:pPr>
        <w:widowControl w:val="0"/>
        <w:wordWrap/>
        <w:adjustRightInd w:val="0"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（一）深入贯彻习近平新时代中国特色社会主义思想，深入贯彻党的路线方针和决策部署，坚持党对检察工作的绝对领导，坚决维护习近平总书记的核心地位，坚决维护党中央权威和集中统一领导。</w:t>
      </w:r>
    </w:p>
    <w:p>
      <w:pPr>
        <w:widowControl w:val="0"/>
        <w:wordWrap/>
        <w:adjustRightInd w:val="0"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（二）依法向区人民代表大会及其常务委员会提出议案。</w:t>
      </w:r>
    </w:p>
    <w:p>
      <w:pPr>
        <w:widowControl w:val="0"/>
        <w:wordWrap/>
        <w:adjustRightInd w:val="0"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（三）贯彻落实检察工作方针、总体规划，研究制定检察工作计划并组织实施。</w:t>
      </w:r>
    </w:p>
    <w:p>
      <w:pPr>
        <w:widowControl w:val="0"/>
        <w:wordWrap/>
        <w:adjustRightInd w:val="0"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（四）依照法律规定对直接受理的刑事案件行使侦查权。</w:t>
      </w:r>
    </w:p>
    <w:p>
      <w:pPr>
        <w:widowControl w:val="0"/>
        <w:wordWrap/>
        <w:adjustRightInd w:val="0"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（五）负责对管辖的各类刑事案件依法审查批准逮捕、决定逮捕、提起公诉。</w:t>
      </w:r>
    </w:p>
    <w:p>
      <w:pPr>
        <w:widowControl w:val="0"/>
        <w:wordWrap/>
        <w:adjustRightInd w:val="0"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（六) 负责应由本院承办的刑事、民事、行政诉讼活动及刑事、民事、行政判决和裁定等生效法律文书执行的法律监督工作。</w:t>
      </w:r>
    </w:p>
    <w:p>
      <w:pPr>
        <w:widowControl w:val="0"/>
        <w:wordWrap/>
        <w:adjustRightInd w:val="0"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（七）负责应由本院承办的提起公益诉讼工作。</w:t>
      </w:r>
    </w:p>
    <w:p>
      <w:pPr>
        <w:widowControl w:val="0"/>
        <w:wordWrap/>
        <w:adjustRightInd w:val="0"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（八）依法受理核准追诉案件，审查是否上报。</w:t>
      </w:r>
    </w:p>
    <w:p>
      <w:pPr>
        <w:widowControl w:val="0"/>
        <w:wordWrap/>
        <w:adjustRightInd w:val="0"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（九）负责应由本院承办的对社区矫正等执法活动的法律监督工作。</w:t>
      </w:r>
    </w:p>
    <w:p>
      <w:pPr>
        <w:widowControl w:val="0"/>
        <w:wordWrap/>
        <w:adjustRightInd w:val="0"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（十）受理向本院的控告申诉。</w:t>
      </w:r>
    </w:p>
    <w:p>
      <w:pPr>
        <w:widowControl w:val="0"/>
        <w:wordWrap/>
        <w:adjustRightInd w:val="0"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（十一）组织检察工作中法律政策具体应用问题的研究；组织开展检察理论研究工作。</w:t>
      </w:r>
    </w:p>
    <w:p>
      <w:pPr>
        <w:widowControl w:val="0"/>
        <w:wordWrap/>
        <w:adjustRightInd w:val="0"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（十二）负责检察人员思想政治教育和业务培训工作；按照权限管理检察官和其他工作人员。</w:t>
      </w:r>
    </w:p>
    <w:p>
      <w:pPr>
        <w:widowControl w:val="0"/>
        <w:wordWrap/>
        <w:adjustRightInd w:val="0"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（十三）负责本院检务督查工作。</w:t>
      </w:r>
    </w:p>
    <w:p>
      <w:pPr>
        <w:widowControl w:val="0"/>
        <w:wordWrap/>
        <w:adjustRightInd w:val="0"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（十四）负责本院检务保障以及检察技术、信息化建设工作。</w:t>
      </w:r>
    </w:p>
    <w:p>
      <w:pPr>
        <w:widowControl w:val="0"/>
        <w:wordWrap/>
        <w:adjustRightInd w:val="0"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（十五）完成其他应当由本院负责的工作。</w:t>
      </w:r>
    </w:p>
    <w:p>
      <w:pPr>
        <w:ind w:firstLine="640" w:firstLineChars="200"/>
        <w:jc w:val="left"/>
        <w:rPr>
          <w:rFonts w:ascii="Times New Roman" w:eastAsia="方正仿宋_GBK"/>
          <w:sz w:val="28"/>
        </w:rPr>
      </w:pPr>
      <w:r>
        <w:rPr>
          <w:rFonts w:hint="eastAsia" w:ascii="仿宋" w:hAnsi="仿宋" w:eastAsia="仿宋"/>
          <w:sz w:val="32"/>
          <w:szCs w:val="32"/>
        </w:rPr>
        <w:t>机构设置：</w:t>
      </w:r>
    </w:p>
    <w:tbl>
      <w:tblPr>
        <w:tblStyle w:val="4"/>
        <w:tblpPr w:leftFromText="180" w:rightFromText="180" w:vertAnchor="text" w:horzAnchor="page" w:tblpX="1472" w:tblpY="22"/>
        <w:tblOverlap w:val="never"/>
        <w:tblW w:w="9658" w:type="dxa"/>
        <w:tblInd w:w="0" w:type="dxa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337"/>
        <w:gridCol w:w="1673"/>
        <w:gridCol w:w="1903"/>
        <w:gridCol w:w="2745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84" w:hRule="atLeast"/>
          <w:tblHeader/>
        </w:trPr>
        <w:tc>
          <w:tcPr>
            <w:tcW w:w="3337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ascii="方正书宋_GBK" w:eastAsia="方正书宋_GBK"/>
                <w:b/>
              </w:rPr>
              <w:t>单位名称</w:t>
            </w:r>
          </w:p>
        </w:tc>
        <w:tc>
          <w:tcPr>
            <w:tcW w:w="167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ascii="方正书宋_GBK" w:eastAsia="方正书宋_GBK"/>
                <w:b/>
              </w:rPr>
              <w:t>单位性质</w:t>
            </w:r>
          </w:p>
        </w:tc>
        <w:tc>
          <w:tcPr>
            <w:tcW w:w="190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ascii="方正书宋_GBK" w:eastAsia="方正书宋_GBK"/>
                <w:b/>
              </w:rPr>
              <w:t>单位规格</w:t>
            </w:r>
          </w:p>
        </w:tc>
        <w:tc>
          <w:tcPr>
            <w:tcW w:w="2745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ascii="方正书宋_GBK" w:eastAsia="方正书宋_GBK"/>
                <w:b/>
              </w:rPr>
              <w:t>经费保障形式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29" w:hRule="atLeast"/>
        </w:trPr>
        <w:tc>
          <w:tcPr>
            <w:tcW w:w="3337" w:type="dxa"/>
            <w:noWrap w:val="0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石家庄市长安区人民检察院本级</w:t>
            </w:r>
          </w:p>
        </w:tc>
        <w:tc>
          <w:tcPr>
            <w:tcW w:w="167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行政</w:t>
            </w:r>
          </w:p>
        </w:tc>
        <w:tc>
          <w:tcPr>
            <w:tcW w:w="190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副处（县）级</w:t>
            </w:r>
          </w:p>
        </w:tc>
        <w:tc>
          <w:tcPr>
            <w:tcW w:w="2745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财政拨款</w:t>
            </w:r>
          </w:p>
        </w:tc>
      </w:tr>
    </w:tbl>
    <w:p>
      <w:pPr>
        <w:adjustRightInd w:val="0"/>
        <w:snapToGrid w:val="0"/>
        <w:spacing w:line="560" w:lineRule="exact"/>
        <w:ind w:firstLine="640" w:firstLineChars="200"/>
        <w:rPr>
          <w:rFonts w:hint="default" w:ascii="仿宋" w:hAnsi="仿宋" w:eastAsia="仿宋" w:cs="仿宋"/>
          <w:bCs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Cs/>
          <w:sz w:val="32"/>
          <w:szCs w:val="32"/>
          <w:lang w:eastAsia="zh-CN"/>
        </w:rPr>
        <w:t>人员情况：我院人员编制</w:t>
      </w:r>
      <w:r>
        <w:rPr>
          <w:rFonts w:hint="eastAsia" w:ascii="仿宋" w:hAnsi="仿宋" w:eastAsia="仿宋" w:cs="仿宋"/>
          <w:bCs/>
          <w:sz w:val="32"/>
          <w:szCs w:val="32"/>
          <w:lang w:val="en-US" w:eastAsia="zh-CN"/>
        </w:rPr>
        <w:t>87人，实有在职人数80人。</w:t>
      </w:r>
    </w:p>
    <w:p>
      <w:pPr>
        <w:numPr>
          <w:ilvl w:val="0"/>
          <w:numId w:val="1"/>
        </w:numPr>
        <w:adjustRightInd w:val="0"/>
        <w:snapToGrid w:val="0"/>
        <w:spacing w:line="560" w:lineRule="exact"/>
        <w:ind w:firstLine="640" w:firstLineChars="200"/>
        <w:rPr>
          <w:rFonts w:hint="eastAsia"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部门收支预决算情况</w:t>
      </w:r>
    </w:p>
    <w:p>
      <w:pPr>
        <w:widowControl w:val="0"/>
        <w:wordWrap/>
        <w:adjustRightInd w:val="0"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仿宋"/>
          <w:color w:val="000000"/>
          <w:sz w:val="32"/>
          <w:szCs w:val="32"/>
          <w:lang w:eastAsia="zh-CN"/>
        </w:rPr>
      </w:pPr>
      <w:r>
        <w:rPr>
          <w:rFonts w:hint="eastAsia" w:ascii="楷体" w:hAnsi="楷体" w:eastAsia="楷体" w:cs="楷体_GB2312"/>
          <w:bCs/>
          <w:sz w:val="32"/>
          <w:szCs w:val="32"/>
          <w:lang w:val="en-US" w:eastAsia="zh-CN"/>
        </w:rPr>
        <w:t xml:space="preserve"> </w:t>
      </w:r>
      <w:r>
        <w:rPr>
          <w:rFonts w:hint="eastAsia" w:ascii="仿宋" w:hAnsi="仿宋" w:eastAsia="仿宋" w:cs="仿宋"/>
          <w:color w:val="000000"/>
          <w:sz w:val="32"/>
          <w:szCs w:val="32"/>
        </w:rPr>
        <w:t>202</w:t>
      </w:r>
      <w:r>
        <w:rPr>
          <w:rFonts w:hint="eastAsia" w:ascii="仿宋" w:hAnsi="仿宋" w:eastAsia="仿宋" w:cs="仿宋"/>
          <w:color w:val="000000"/>
          <w:sz w:val="32"/>
          <w:szCs w:val="32"/>
          <w:lang w:val="en-US" w:eastAsia="zh-CN"/>
        </w:rPr>
        <w:t>3</w:t>
      </w:r>
      <w:r>
        <w:rPr>
          <w:rFonts w:hint="eastAsia" w:ascii="仿宋" w:hAnsi="仿宋" w:eastAsia="仿宋" w:cs="仿宋"/>
          <w:color w:val="000000"/>
          <w:sz w:val="32"/>
          <w:szCs w:val="32"/>
        </w:rPr>
        <w:t>年预算收支安排</w:t>
      </w:r>
      <w:r>
        <w:rPr>
          <w:rFonts w:hint="eastAsia" w:ascii="仿宋" w:hAnsi="仿宋" w:eastAsia="仿宋" w:cs="仿宋"/>
          <w:color w:val="000000"/>
          <w:sz w:val="32"/>
          <w:szCs w:val="32"/>
          <w:lang w:val="en-US" w:eastAsia="zh-CN"/>
        </w:rPr>
        <w:t>3223.94</w:t>
      </w:r>
      <w:r>
        <w:rPr>
          <w:rFonts w:hint="eastAsia" w:ascii="仿宋" w:hAnsi="仿宋" w:eastAsia="仿宋" w:cs="仿宋"/>
          <w:color w:val="000000"/>
          <w:sz w:val="32"/>
          <w:szCs w:val="32"/>
        </w:rPr>
        <w:t>万元</w:t>
      </w:r>
      <w:r>
        <w:rPr>
          <w:rFonts w:hint="eastAsia" w:ascii="仿宋" w:hAnsi="仿宋" w:eastAsia="仿宋" w:cs="仿宋"/>
          <w:color w:val="000000"/>
          <w:sz w:val="32"/>
          <w:szCs w:val="32"/>
          <w:lang w:eastAsia="zh-CN"/>
        </w:rPr>
        <w:t>。</w:t>
      </w:r>
      <w:r>
        <w:rPr>
          <w:rFonts w:hint="eastAsia" w:ascii="仿宋" w:hAnsi="仿宋" w:eastAsia="仿宋" w:cs="仿宋"/>
          <w:color w:val="000000"/>
          <w:sz w:val="32"/>
          <w:szCs w:val="32"/>
          <w:lang w:val="en-US" w:eastAsia="zh-CN"/>
        </w:rPr>
        <w:t>2023年</w:t>
      </w:r>
      <w:r>
        <w:rPr>
          <w:rFonts w:hint="eastAsia" w:ascii="仿宋" w:hAnsi="仿宋" w:eastAsia="仿宋" w:cs="仿宋"/>
          <w:color w:val="000000"/>
          <w:sz w:val="32"/>
          <w:szCs w:val="32"/>
          <w:lang w:eastAsia="zh-CN"/>
        </w:rPr>
        <w:t>决算本年收入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2904.38</w:t>
      </w:r>
      <w:r>
        <w:rPr>
          <w:rFonts w:hint="eastAsia" w:ascii="仿宋" w:hAnsi="仿宋" w:eastAsia="仿宋" w:cs="仿宋"/>
          <w:color w:val="000000"/>
          <w:sz w:val="32"/>
          <w:szCs w:val="32"/>
          <w:lang w:val="en-US" w:eastAsia="zh-CN"/>
        </w:rPr>
        <w:t>万元，</w:t>
      </w:r>
      <w:r>
        <w:rPr>
          <w:rFonts w:hint="eastAsia" w:ascii="仿宋" w:hAnsi="仿宋" w:eastAsia="仿宋" w:cs="仿宋"/>
          <w:color w:val="000000"/>
          <w:sz w:val="32"/>
          <w:szCs w:val="32"/>
          <w:lang w:eastAsia="zh-CN"/>
        </w:rPr>
        <w:t>本年</w:t>
      </w:r>
      <w:r>
        <w:rPr>
          <w:rFonts w:hint="eastAsia" w:ascii="仿宋" w:hAnsi="仿宋" w:eastAsia="仿宋" w:cs="仿宋"/>
          <w:color w:val="000000"/>
          <w:sz w:val="32"/>
          <w:szCs w:val="32"/>
          <w:lang w:val="en-US" w:eastAsia="zh-CN"/>
        </w:rPr>
        <w:t>支出2910.23</w:t>
      </w:r>
      <w:r>
        <w:rPr>
          <w:rFonts w:hint="eastAsia" w:ascii="仿宋" w:hAnsi="仿宋" w:eastAsia="仿宋" w:cs="仿宋"/>
          <w:color w:val="000000"/>
          <w:sz w:val="32"/>
          <w:szCs w:val="32"/>
        </w:rPr>
        <w:t>万元</w:t>
      </w:r>
      <w:r>
        <w:rPr>
          <w:rFonts w:hint="eastAsia" w:ascii="仿宋" w:hAnsi="仿宋" w:eastAsia="仿宋" w:cs="仿宋"/>
          <w:color w:val="000000"/>
          <w:sz w:val="32"/>
          <w:szCs w:val="32"/>
          <w:lang w:eastAsia="zh-CN"/>
        </w:rPr>
        <w:t>。</w:t>
      </w:r>
    </w:p>
    <w:p>
      <w:pPr>
        <w:adjustRightInd w:val="0"/>
        <w:snapToGrid w:val="0"/>
        <w:spacing w:line="560" w:lineRule="exact"/>
        <w:ind w:firstLine="640" w:firstLineChars="200"/>
        <w:rPr>
          <w:rFonts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（三）部门整体支出绩效目标、指标</w:t>
      </w:r>
    </w:p>
    <w:p>
      <w:pPr>
        <w:widowControl w:val="0"/>
        <w:wordWrap/>
        <w:adjustRightInd w:val="0"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仿宋"/>
          <w:color w:val="00000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color w:val="000000"/>
          <w:sz w:val="32"/>
          <w:szCs w:val="32"/>
          <w:lang w:val="en-US" w:eastAsia="zh-CN"/>
        </w:rPr>
        <w:t>长安区检察院坚持以习近平新时代中国特色社会主义思想为指导，全面贯彻党的二十大精神和中央经济工作会议精神，认真落实省委十届三次全会、市委十一届四次全会和省委、市委、区委和最高检、省检察院、市检察院各项决策部署，坚持讲政治、顾大局、谋发展、重自强，更加注重系统观念、法治思维、强基导向，全面履行检察职责，综合运用监督手段，主动作为，能动司法，在“跃升之年、展示之年”，为建设经济强区、美丽长安新征程提供有力司法保障。</w:t>
      </w:r>
    </w:p>
    <w:p>
      <w:pPr>
        <w:adjustRightInd w:val="0"/>
        <w:snapToGrid w:val="0"/>
        <w:spacing w:line="560" w:lineRule="exact"/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二、自评工作开展情况</w:t>
      </w:r>
    </w:p>
    <w:p>
      <w:pPr>
        <w:spacing w:line="560" w:lineRule="exact"/>
        <w:rPr>
          <w:rFonts w:ascii="楷体" w:hAnsi="楷体" w:eastAsia="楷体" w:cs="楷体_GB2312"/>
          <w:sz w:val="32"/>
          <w:szCs w:val="32"/>
        </w:rPr>
      </w:pPr>
      <w:r>
        <w:rPr>
          <w:rFonts w:hint="eastAsia" w:ascii="仿宋" w:hAnsi="仿宋" w:eastAsia="仿宋" w:cs="楷体_GB2312"/>
          <w:b/>
          <w:bCs/>
          <w:sz w:val="32"/>
          <w:szCs w:val="32"/>
        </w:rPr>
        <w:t xml:space="preserve">    </w:t>
      </w:r>
      <w:r>
        <w:rPr>
          <w:rFonts w:hint="eastAsia" w:ascii="楷体" w:hAnsi="楷体" w:eastAsia="楷体" w:cs="楷体_GB2312"/>
          <w:bCs/>
          <w:sz w:val="32"/>
          <w:szCs w:val="32"/>
        </w:rPr>
        <w:t>（一）自评的组织工作</w:t>
      </w:r>
    </w:p>
    <w:p>
      <w:pPr>
        <w:spacing w:line="560" w:lineRule="exact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 xml:space="preserve">     根据《石家庄市市级部门项目绩效自评管理办法》（石财绩〔2020〕5号）</w:t>
      </w:r>
      <w:r>
        <w:rPr>
          <w:rFonts w:hint="eastAsia" w:ascii="仿宋" w:hAnsi="仿宋" w:eastAsia="仿宋"/>
          <w:sz w:val="32"/>
          <w:szCs w:val="32"/>
          <w:lang w:eastAsia="zh-CN"/>
        </w:rPr>
        <w:t>文件</w:t>
      </w:r>
      <w:r>
        <w:rPr>
          <w:rFonts w:hint="eastAsia" w:ascii="仿宋" w:hAnsi="仿宋" w:eastAsia="仿宋"/>
          <w:sz w:val="32"/>
          <w:szCs w:val="32"/>
        </w:rPr>
        <w:t>，我院组织召开了专题会议，制定了工作计划，成立绩效评价工作小组，初步收集相关资料，学习有关制度文件，并对全年项目资金的使用情况进行了解，研究商定评价工作内容，制定绩效评价工作方案。</w:t>
      </w:r>
    </w:p>
    <w:p>
      <w:pPr>
        <w:numPr>
          <w:ilvl w:val="0"/>
          <w:numId w:val="2"/>
        </w:numPr>
        <w:spacing w:line="560" w:lineRule="exact"/>
        <w:rPr>
          <w:rFonts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自评的方法和过程</w:t>
      </w:r>
    </w:p>
    <w:p>
      <w:pPr>
        <w:ind w:firstLine="320" w:firstLineChars="100"/>
        <w:rPr>
          <w:rFonts w:hint="eastAsia" w:ascii="仿宋_GB2312" w:eastAsia="仿宋_GB2312"/>
          <w:sz w:val="32"/>
          <w:szCs w:val="32"/>
          <w:lang w:eastAsia="zh-CN"/>
        </w:rPr>
      </w:pPr>
      <w:r>
        <w:rPr>
          <w:rFonts w:hint="eastAsia" w:ascii="楷体" w:hAnsi="楷体" w:eastAsia="楷体" w:cs="楷体_GB2312"/>
          <w:bCs/>
          <w:sz w:val="32"/>
          <w:szCs w:val="32"/>
          <w:lang w:val="en-US" w:eastAsia="zh-CN"/>
        </w:rPr>
        <w:t xml:space="preserve"> </w:t>
      </w:r>
      <w:r>
        <w:rPr>
          <w:rFonts w:hint="eastAsia" w:ascii="仿宋_GB2312" w:eastAsia="仿宋_GB2312"/>
          <w:sz w:val="32"/>
          <w:szCs w:val="32"/>
        </w:rPr>
        <w:t>1、评价方法</w:t>
      </w:r>
    </w:p>
    <w:p>
      <w:pPr>
        <w:widowControl w:val="0"/>
        <w:wordWrap/>
        <w:spacing w:line="560" w:lineRule="exact"/>
        <w:ind w:right="0" w:firstLine="640" w:firstLineChars="200"/>
        <w:textAlignment w:val="auto"/>
        <w:outlineLvl w:val="9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  <w:lang w:eastAsia="zh-CN"/>
        </w:rPr>
        <w:t>办公室</w:t>
      </w:r>
      <w:r>
        <w:rPr>
          <w:rFonts w:hint="eastAsia" w:ascii="仿宋" w:hAnsi="仿宋" w:eastAsia="仿宋"/>
          <w:sz w:val="32"/>
          <w:szCs w:val="32"/>
        </w:rPr>
        <w:t>作为经费管理部门负责项目考评全面工作，业务部门作为项目执行部门，全</w:t>
      </w:r>
      <w:r>
        <w:rPr>
          <w:rFonts w:hint="eastAsia" w:ascii="仿宋" w:hAnsi="仿宋" w:eastAsia="仿宋"/>
          <w:sz w:val="32"/>
          <w:szCs w:val="32"/>
          <w:lang w:eastAsia="zh-CN"/>
        </w:rPr>
        <w:t>力</w:t>
      </w:r>
      <w:r>
        <w:rPr>
          <w:rFonts w:hint="eastAsia" w:ascii="仿宋" w:hAnsi="仿宋" w:eastAsia="仿宋"/>
          <w:sz w:val="32"/>
          <w:szCs w:val="32"/>
        </w:rPr>
        <w:t>配合检务保障部绩效考评工作的开展，相关部门均确定专人负责该项工作，领导的重视、明确的职责</w:t>
      </w:r>
      <w:r>
        <w:rPr>
          <w:rFonts w:hint="eastAsia" w:ascii="仿宋" w:hAnsi="仿宋" w:eastAsia="仿宋"/>
          <w:sz w:val="32"/>
          <w:szCs w:val="32"/>
          <w:lang w:eastAsia="zh-CN"/>
        </w:rPr>
        <w:t>，</w:t>
      </w:r>
      <w:r>
        <w:rPr>
          <w:rFonts w:hint="eastAsia" w:ascii="仿宋" w:hAnsi="仿宋" w:eastAsia="仿宋"/>
          <w:sz w:val="32"/>
          <w:szCs w:val="32"/>
        </w:rPr>
        <w:t>有力的推动绩效管理项目自评工作的顺利完成。</w:t>
      </w:r>
    </w:p>
    <w:p>
      <w:pPr>
        <w:ind w:firstLine="320" w:firstLineChars="100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2、评价工作过程</w:t>
      </w:r>
    </w:p>
    <w:p>
      <w:pPr>
        <w:ind w:firstLine="640" w:firstLineChars="200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本次绩效评价工作过程包括前期准备和组织实施两个阶段。</w:t>
      </w:r>
    </w:p>
    <w:p>
      <w:pPr>
        <w:ind w:firstLine="640" w:firstLineChars="200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（1）前期准备</w:t>
      </w:r>
    </w:p>
    <w:p>
      <w:pPr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 xml:space="preserve">    组织召开专题办公会议，明确了由办公室牵头、相关业务科室具体负责绩效评价，并及时按照绩效评价相关要求，指定绩效管理办法和绩效评价工作方案等。</w:t>
      </w:r>
    </w:p>
    <w:p>
      <w:pPr>
        <w:ind w:firstLine="640" w:firstLineChars="200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（2）组织实施</w:t>
      </w:r>
    </w:p>
    <w:p>
      <w:pPr>
        <w:ind w:firstLine="640" w:firstLineChars="200"/>
        <w:rPr>
          <w:rFonts w:hint="eastAsia" w:ascii="仿宋" w:hAnsi="仿宋" w:eastAsia="仿宋" w:cs="楷体_GB2312"/>
          <w:b/>
          <w:bCs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相关业务科室对各科室涉及的项目进行自评，</w:t>
      </w:r>
      <w:r>
        <w:rPr>
          <w:rFonts w:hint="eastAsia" w:ascii="仿宋_GB2312" w:eastAsia="仿宋_GB2312"/>
          <w:sz w:val="32"/>
          <w:szCs w:val="32"/>
          <w:lang w:eastAsia="zh-CN"/>
        </w:rPr>
        <w:t>办公室</w:t>
      </w:r>
      <w:r>
        <w:rPr>
          <w:rFonts w:hint="eastAsia" w:ascii="仿宋_GB2312" w:eastAsia="仿宋_GB2312"/>
          <w:sz w:val="32"/>
          <w:szCs w:val="32"/>
        </w:rPr>
        <w:t>结合业务科室提交的自评情况，采集相关数据、查阅财务资料、核查资金适用情况和相关资料，在整个评价工作过程中相关业务科室进行反复沟通，根据业务科室提交的自评质量进行汇总分析，形成评价结论。</w:t>
      </w:r>
    </w:p>
    <w:p>
      <w:pPr>
        <w:spacing w:line="560" w:lineRule="exact"/>
        <w:rPr>
          <w:rFonts w:ascii="黑体" w:hAnsi="黑体" w:eastAsia="黑体"/>
          <w:b/>
          <w:bCs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 xml:space="preserve">    三、部门整体支出绩效目标实现情况及指标分析</w:t>
      </w:r>
    </w:p>
    <w:p>
      <w:pPr>
        <w:numPr>
          <w:ilvl w:val="0"/>
          <w:numId w:val="3"/>
        </w:numPr>
        <w:spacing w:line="560" w:lineRule="exact"/>
        <w:ind w:firstLine="640" w:firstLineChars="200"/>
        <w:rPr>
          <w:rFonts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总体绩效目标实现情况</w:t>
      </w:r>
    </w:p>
    <w:p>
      <w:pPr>
        <w:spacing w:line="560" w:lineRule="exact"/>
        <w:ind w:firstLine="800" w:firstLineChars="25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  <w:lang w:eastAsia="zh-CN"/>
        </w:rPr>
        <w:t>我院</w:t>
      </w:r>
      <w:r>
        <w:rPr>
          <w:rFonts w:hint="eastAsia" w:ascii="仿宋" w:hAnsi="仿宋" w:eastAsia="仿宋"/>
          <w:sz w:val="32"/>
          <w:szCs w:val="32"/>
        </w:rPr>
        <w:t>认真履行法律监督职能，努力为维护辖区安全稳定和构建和谐长安服务。深刻理解和准确把握构建社会主义和谐社会的内涵和基本特征，按照构建和谐社会的要求，不断加强和改进检察工作。贯彻宽严相济的刑事司法政策，最大限度地增加和谐因素。自觉接受党的领导，接受人大、政协和社会各界的监督。自觉地把贯彻落实党的方针政策与严格执法有机结合起来，坚持重大事项、重大案件的报告制度。认真贯彻落实监督法，进一步健全检察机关接受人大及其常委会监督的工作机制，严格执行向人大常委会进行专项工作报告、接受人大常委会执法检查等制度。自觉接受政协民主监督、人民群众监督和新闻舆论监督。</w:t>
      </w:r>
    </w:p>
    <w:p>
      <w:pPr>
        <w:numPr>
          <w:ilvl w:val="0"/>
          <w:numId w:val="3"/>
        </w:numPr>
        <w:spacing w:line="560" w:lineRule="exact"/>
        <w:ind w:left="0" w:leftChars="0" w:firstLine="640" w:firstLineChars="200"/>
        <w:rPr>
          <w:rFonts w:hint="eastAsia"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分项绩效目标实现情况及指标分析</w:t>
      </w:r>
    </w:p>
    <w:p>
      <w:pPr>
        <w:pStyle w:val="8"/>
        <w:rPr>
          <w:rFonts w:hint="eastAsia" w:ascii="仿宋" w:hAnsi="仿宋" w:eastAsia="仿宋" w:cs="Times New Roman"/>
          <w:sz w:val="32"/>
          <w:szCs w:val="32"/>
        </w:rPr>
      </w:pPr>
      <w:r>
        <w:rPr>
          <w:rFonts w:hint="eastAsia" w:ascii="仿宋" w:hAnsi="仿宋" w:eastAsia="仿宋" w:cs="Times New Roman"/>
          <w:sz w:val="32"/>
          <w:szCs w:val="32"/>
        </w:rPr>
        <w:t>1、紧紧围绕全区中心工作，依法充分履行检察职能，努力实现检察工作与经济社会高质量发展“同频共振”</w:t>
      </w:r>
    </w:p>
    <w:p>
      <w:pPr>
        <w:pStyle w:val="8"/>
        <w:rPr>
          <w:rFonts w:hint="eastAsia" w:ascii="仿宋" w:hAnsi="仿宋" w:eastAsia="仿宋" w:cs="Times New Roman"/>
          <w:sz w:val="32"/>
          <w:szCs w:val="32"/>
        </w:rPr>
      </w:pPr>
      <w:r>
        <w:rPr>
          <w:rFonts w:hint="eastAsia" w:ascii="仿宋" w:hAnsi="仿宋" w:eastAsia="仿宋" w:cs="Times New Roman"/>
          <w:sz w:val="32"/>
          <w:szCs w:val="32"/>
        </w:rPr>
        <w:t>绩效目标：坚持总体国家安全观，进一步强化刑事立案、侦查活动、审判活动和刑事执行监督，精准开展民事检察工作，全面深化行政检察工作，积极稳妥推进公益诉讼检察，始终将扫黑除恶专项斗争作为重大政治任务，依法从严从快办理涉黑涉恶犯罪。</w:t>
      </w:r>
    </w:p>
    <w:p>
      <w:pPr>
        <w:pStyle w:val="8"/>
        <w:rPr>
          <w:rFonts w:hint="eastAsia" w:ascii="仿宋" w:hAnsi="仿宋" w:eastAsia="仿宋" w:cs="Times New Roman"/>
          <w:sz w:val="32"/>
          <w:szCs w:val="32"/>
        </w:rPr>
      </w:pPr>
      <w:r>
        <w:rPr>
          <w:rFonts w:hint="eastAsia" w:ascii="仿宋" w:hAnsi="仿宋" w:eastAsia="仿宋" w:cs="Times New Roman"/>
          <w:sz w:val="32"/>
          <w:szCs w:val="32"/>
        </w:rPr>
        <w:t>绩效指标：努力提升办案质效和检察公信力，深化检务公开，年度内查办案件及实施检察监督案件的数量超过500件，审结的案件占受理案件的比例达到90%以上，通过办理案件，稳定社会环境，收到良好的社会效果，通过项目</w:t>
      </w:r>
      <w:r>
        <w:rPr>
          <w:rFonts w:hint="eastAsia" w:ascii="仿宋" w:hAnsi="仿宋" w:eastAsia="仿宋" w:cs="Times New Roman"/>
          <w:sz w:val="32"/>
          <w:szCs w:val="32"/>
          <w:lang w:eastAsia="zh-CN"/>
        </w:rPr>
        <w:t>实施</w:t>
      </w:r>
      <w:r>
        <w:rPr>
          <w:rFonts w:hint="eastAsia" w:ascii="仿宋" w:hAnsi="仿宋" w:eastAsia="仿宋" w:cs="Times New Roman"/>
          <w:sz w:val="32"/>
          <w:szCs w:val="32"/>
        </w:rPr>
        <w:t>促进社会稳定水平明显提高。</w:t>
      </w:r>
    </w:p>
    <w:p>
      <w:pPr>
        <w:pStyle w:val="8"/>
        <w:rPr>
          <w:rFonts w:hint="eastAsia" w:ascii="仿宋" w:hAnsi="仿宋" w:eastAsia="仿宋" w:cs="Times New Roman"/>
          <w:sz w:val="32"/>
          <w:szCs w:val="32"/>
        </w:rPr>
      </w:pPr>
      <w:r>
        <w:rPr>
          <w:rFonts w:hint="eastAsia" w:ascii="仿宋" w:hAnsi="仿宋" w:eastAsia="仿宋" w:cs="Times New Roman"/>
          <w:sz w:val="32"/>
          <w:szCs w:val="32"/>
        </w:rPr>
        <w:t xml:space="preserve">2、加强检察队伍正规化职业化专业化建设 </w:t>
      </w:r>
    </w:p>
    <w:p>
      <w:pPr>
        <w:pStyle w:val="8"/>
        <w:rPr>
          <w:rFonts w:hint="eastAsia" w:ascii="仿宋" w:hAnsi="仿宋" w:eastAsia="仿宋" w:cs="Times New Roman"/>
          <w:sz w:val="32"/>
          <w:szCs w:val="32"/>
        </w:rPr>
      </w:pPr>
      <w:r>
        <w:rPr>
          <w:rFonts w:hint="eastAsia" w:ascii="仿宋" w:hAnsi="仿宋" w:eastAsia="仿宋" w:cs="Times New Roman"/>
          <w:sz w:val="32"/>
          <w:szCs w:val="32"/>
        </w:rPr>
        <w:t xml:space="preserve">绩效目标：提高检察机关执法办案的良好形象，按时配发检察服、法警服装。高标准完成检察机关日常办文办公办会保障。加强干警的党性修养和政治理论素养，提高干警综合素质，加强基层党组织和党员队伍建设，保障各类学习教育活动，不断提高全市检察干警的政治素质、业务素质、职业道德素质。 </w:t>
      </w:r>
    </w:p>
    <w:p>
      <w:pPr>
        <w:pStyle w:val="8"/>
        <w:rPr>
          <w:rFonts w:hint="eastAsia" w:ascii="仿宋" w:hAnsi="仿宋" w:eastAsia="仿宋" w:cs="Times New Roman"/>
          <w:sz w:val="32"/>
          <w:szCs w:val="32"/>
        </w:rPr>
      </w:pPr>
      <w:r>
        <w:rPr>
          <w:rFonts w:hint="eastAsia" w:ascii="仿宋" w:hAnsi="仿宋" w:eastAsia="仿宋" w:cs="Times New Roman"/>
          <w:sz w:val="32"/>
          <w:szCs w:val="32"/>
        </w:rPr>
        <w:t>绩效指标：购置服装合格率达到95%，配发服装与实际需求量的比率达到98%，显著提升了公众对检察机关认可度。购置设备质量合格的数量占购置的总数的比例不小于98%，办公设备购置能够对办公环境改善的提升情况达到98%，对于缺少的办公家具及时补充。</w:t>
      </w:r>
    </w:p>
    <w:p>
      <w:pPr>
        <w:pStyle w:val="8"/>
        <w:rPr>
          <w:rFonts w:hint="eastAsia" w:ascii="仿宋" w:hAnsi="仿宋" w:eastAsia="仿宋" w:cs="Times New Roman"/>
          <w:sz w:val="32"/>
          <w:szCs w:val="32"/>
        </w:rPr>
      </w:pPr>
      <w:r>
        <w:rPr>
          <w:rFonts w:hint="eastAsia" w:ascii="仿宋" w:hAnsi="仿宋" w:eastAsia="仿宋" w:cs="Times New Roman"/>
          <w:sz w:val="32"/>
          <w:szCs w:val="32"/>
        </w:rPr>
        <w:t xml:space="preserve">3、着力推进现代新型人民检察院建设 </w:t>
      </w:r>
    </w:p>
    <w:p>
      <w:pPr>
        <w:pStyle w:val="8"/>
        <w:rPr>
          <w:rFonts w:hint="eastAsia" w:ascii="仿宋" w:hAnsi="仿宋" w:eastAsia="仿宋" w:cs="Times New Roman"/>
          <w:sz w:val="32"/>
          <w:szCs w:val="32"/>
        </w:rPr>
      </w:pPr>
      <w:r>
        <w:rPr>
          <w:rFonts w:hint="eastAsia" w:ascii="仿宋" w:hAnsi="仿宋" w:eastAsia="仿宋" w:cs="Times New Roman"/>
          <w:sz w:val="32"/>
          <w:szCs w:val="32"/>
        </w:rPr>
        <w:t>绩效目标：保证办公楼及青少年普法教育基地的各项设施设备正常运转，及时解决各种故障，避免安全隐患。保障车辆停放安全有序。保障长期聘用人员和长期临时人员工资及时发放到位，提高人员工作积极性。加强机关安保工作，确保机关院落安全及办案场所人员财产安全，保证办公办案安全。</w:t>
      </w:r>
    </w:p>
    <w:p>
      <w:pPr>
        <w:pStyle w:val="8"/>
        <w:rPr>
          <w:rFonts w:hint="eastAsia" w:ascii="仿宋" w:hAnsi="仿宋" w:eastAsia="仿宋" w:cs="Times New Roman"/>
          <w:sz w:val="32"/>
          <w:szCs w:val="32"/>
        </w:rPr>
      </w:pPr>
      <w:r>
        <w:rPr>
          <w:rFonts w:hint="eastAsia" w:ascii="仿宋" w:hAnsi="仿宋" w:eastAsia="仿宋" w:cs="Times New Roman"/>
          <w:sz w:val="32"/>
          <w:szCs w:val="32"/>
        </w:rPr>
        <w:t>绩效指标：设施设备故障报修后处理完成时间小于2小时，实际完成处理故障数与故障报修总数比率不小于99%，当年排查安全隐患保证办公秩序的数量不小于30次，当年用水、用电、消防等安全检查合格的占比不小于99%。实际政府采购数量占应实施政府采购总数的比例达到100%，各项费用足额缴纳98%左右。同期节约水、电的数量不小于10%。绿化设施、设备、资源完好率达到95%。按时落实聘用人员和临时人员工资发放情况比率为100%，足额保障资金的拨付率大于98%。</w:t>
      </w:r>
    </w:p>
    <w:p>
      <w:pPr>
        <w:pStyle w:val="8"/>
        <w:rPr>
          <w:rFonts w:hint="eastAsia" w:ascii="仿宋" w:hAnsi="仿宋" w:eastAsia="仿宋" w:cs="Times New Roman"/>
          <w:sz w:val="32"/>
          <w:szCs w:val="32"/>
        </w:rPr>
      </w:pPr>
      <w:r>
        <w:rPr>
          <w:rFonts w:hint="eastAsia" w:ascii="仿宋" w:hAnsi="仿宋" w:eastAsia="仿宋" w:cs="Times New Roman"/>
          <w:sz w:val="32"/>
          <w:szCs w:val="32"/>
        </w:rPr>
        <w:t>4、适应信息化发展新趋势 ，保证办公办案安全</w:t>
      </w:r>
    </w:p>
    <w:p>
      <w:pPr>
        <w:pStyle w:val="8"/>
        <w:rPr>
          <w:rFonts w:hint="eastAsia" w:ascii="仿宋" w:hAnsi="仿宋" w:eastAsia="仿宋" w:cs="Times New Roman"/>
          <w:sz w:val="32"/>
          <w:szCs w:val="32"/>
        </w:rPr>
      </w:pPr>
      <w:r>
        <w:rPr>
          <w:rFonts w:hint="eastAsia" w:ascii="仿宋" w:hAnsi="仿宋" w:eastAsia="仿宋" w:cs="Times New Roman"/>
          <w:sz w:val="32"/>
          <w:szCs w:val="32"/>
        </w:rPr>
        <w:t xml:space="preserve">绩效目标：完成6A档案升级改造建设，加强档案室硬软件巡检维护，保证档案保管设备的运行，保证查档准确、完整。完成数字化档案备份设备，保证档案数字化安全，进一步提高档案保管可靠性。 </w:t>
      </w:r>
    </w:p>
    <w:p>
      <w:pPr>
        <w:pStyle w:val="8"/>
        <w:rPr>
          <w:rFonts w:hint="eastAsia" w:ascii="仿宋" w:hAnsi="仿宋" w:eastAsia="仿宋" w:cs="Times New Roman"/>
          <w:sz w:val="32"/>
          <w:szCs w:val="32"/>
        </w:rPr>
      </w:pPr>
      <w:r>
        <w:rPr>
          <w:rFonts w:hint="eastAsia" w:ascii="仿宋" w:hAnsi="仿宋" w:eastAsia="仿宋" w:cs="Times New Roman"/>
          <w:sz w:val="32"/>
          <w:szCs w:val="32"/>
        </w:rPr>
        <w:t xml:space="preserve">系统运转情况良好，全年档案系统运行故障次数不超过2次，当年维护软件的次数大于 20次，档案资料保存完好程度达到99%，查档人员使用设备满意度达到95%以上。数字化档案备份设备质量合格的数量占总数的98%，档案数据完好量占有率不小于99%，项目实施后档案检索平均时间节省20%左右，纸质档案扫描完成数字化的比率达到95%，档案保管人员的满意度达到98%。 </w:t>
      </w:r>
    </w:p>
    <w:p>
      <w:pPr>
        <w:spacing w:line="560" w:lineRule="exact"/>
        <w:ind w:firstLine="800" w:firstLineChars="25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参与本次评价的项目共计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15</w:t>
      </w:r>
      <w:r>
        <w:rPr>
          <w:rFonts w:hint="eastAsia" w:ascii="仿宋" w:hAnsi="仿宋" w:eastAsia="仿宋"/>
          <w:sz w:val="32"/>
          <w:szCs w:val="32"/>
        </w:rPr>
        <w:t>个，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14</w:t>
      </w:r>
      <w:r>
        <w:rPr>
          <w:rFonts w:hint="eastAsia" w:ascii="仿宋" w:hAnsi="仿宋" w:eastAsia="仿宋"/>
          <w:sz w:val="32"/>
          <w:szCs w:val="32"/>
        </w:rPr>
        <w:t>个项目评价等级均为“优</w:t>
      </w:r>
      <w:r>
        <w:rPr>
          <w:rFonts w:hint="eastAsia" w:ascii="仿宋" w:hAnsi="仿宋" w:eastAsia="仿宋"/>
          <w:sz w:val="32"/>
          <w:szCs w:val="32"/>
          <w:lang w:eastAsia="zh-CN"/>
        </w:rPr>
        <w:t>秀</w:t>
      </w:r>
      <w:r>
        <w:rPr>
          <w:rFonts w:hint="eastAsia" w:ascii="仿宋" w:hAnsi="仿宋" w:eastAsia="仿宋"/>
          <w:sz w:val="32"/>
          <w:szCs w:val="32"/>
        </w:rPr>
        <w:t>”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,1个项目评价等级为“良好”</w:t>
      </w:r>
      <w:r>
        <w:rPr>
          <w:rFonts w:hint="eastAsia" w:ascii="仿宋" w:hAnsi="仿宋" w:eastAsia="仿宋"/>
          <w:sz w:val="32"/>
          <w:szCs w:val="32"/>
        </w:rPr>
        <w:t>。</w:t>
      </w:r>
    </w:p>
    <w:p>
      <w:pPr>
        <w:spacing w:line="560" w:lineRule="exact"/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四、评价结论和评价等级</w:t>
      </w:r>
    </w:p>
    <w:p>
      <w:pPr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根据部门职责定位和各项工作履职情况进行综合评价，</w:t>
      </w:r>
      <w:r>
        <w:rPr>
          <w:rFonts w:hint="eastAsia" w:ascii="仿宋" w:hAnsi="仿宋" w:eastAsia="仿宋"/>
          <w:sz w:val="32"/>
          <w:szCs w:val="32"/>
          <w:lang w:eastAsia="zh-CN"/>
        </w:rPr>
        <w:t>认真履行职责，</w:t>
      </w:r>
      <w:r>
        <w:rPr>
          <w:rFonts w:hint="eastAsia" w:ascii="仿宋" w:hAnsi="仿宋" w:eastAsia="仿宋" w:cs="Times New Roman"/>
          <w:sz w:val="32"/>
          <w:szCs w:val="32"/>
        </w:rPr>
        <w:t>努力提升办案质效和检察公信力</w:t>
      </w:r>
      <w:r>
        <w:rPr>
          <w:rFonts w:hint="eastAsia" w:ascii="仿宋" w:hAnsi="仿宋" w:eastAsia="仿宋" w:cs="Times New Roman"/>
          <w:sz w:val="32"/>
          <w:szCs w:val="32"/>
          <w:lang w:eastAsia="zh-CN"/>
        </w:rPr>
        <w:t>，</w:t>
      </w:r>
      <w:r>
        <w:rPr>
          <w:rFonts w:hint="eastAsia" w:ascii="仿宋" w:hAnsi="仿宋" w:eastAsia="仿宋" w:cs="Times New Roman"/>
          <w:sz w:val="32"/>
          <w:szCs w:val="32"/>
        </w:rPr>
        <w:t>稳定社会环境</w:t>
      </w:r>
      <w:r>
        <w:rPr>
          <w:rFonts w:hint="eastAsia" w:ascii="仿宋" w:hAnsi="仿宋" w:eastAsia="仿宋" w:cs="Times New Roman"/>
          <w:sz w:val="32"/>
          <w:szCs w:val="32"/>
          <w:lang w:eastAsia="zh-CN"/>
        </w:rPr>
        <w:t>，</w:t>
      </w:r>
      <w:r>
        <w:rPr>
          <w:rFonts w:hint="eastAsia" w:ascii="仿宋" w:hAnsi="仿宋" w:eastAsia="仿宋"/>
          <w:sz w:val="32"/>
          <w:szCs w:val="32"/>
          <w:lang w:eastAsia="zh-CN"/>
        </w:rPr>
        <w:t>较好地完成了年初确定的各项工作任务。</w:t>
      </w:r>
      <w:r>
        <w:rPr>
          <w:rFonts w:hint="eastAsia" w:ascii="仿宋" w:hAnsi="仿宋" w:eastAsia="仿宋"/>
          <w:sz w:val="32"/>
          <w:szCs w:val="32"/>
        </w:rPr>
        <w:t>部门整体支出综合绩效评价分为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95分，</w:t>
      </w:r>
      <w:r>
        <w:rPr>
          <w:rFonts w:hint="eastAsia" w:ascii="仿宋" w:hAnsi="仿宋" w:eastAsia="仿宋"/>
          <w:sz w:val="32"/>
          <w:szCs w:val="32"/>
        </w:rPr>
        <w:t>等级</w:t>
      </w:r>
      <w:r>
        <w:rPr>
          <w:rFonts w:hint="eastAsia" w:ascii="仿宋" w:hAnsi="仿宋" w:eastAsia="仿宋"/>
          <w:sz w:val="32"/>
          <w:szCs w:val="32"/>
          <w:lang w:eastAsia="zh-CN"/>
        </w:rPr>
        <w:t>为优秀</w:t>
      </w:r>
      <w:r>
        <w:rPr>
          <w:rFonts w:hint="eastAsia" w:ascii="仿宋" w:hAnsi="仿宋" w:eastAsia="仿宋"/>
          <w:sz w:val="32"/>
          <w:szCs w:val="32"/>
        </w:rPr>
        <w:t>。</w:t>
      </w:r>
    </w:p>
    <w:p>
      <w:pPr>
        <w:spacing w:line="560" w:lineRule="exact"/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五、存在的问题及改进措施</w:t>
      </w:r>
    </w:p>
    <w:p>
      <w:pPr>
        <w:keepNext w:val="0"/>
        <w:keepLines w:val="0"/>
        <w:widowControl w:val="0"/>
        <w:suppressLineNumbers w:val="0"/>
        <w:snapToGrid w:val="0"/>
        <w:spacing w:before="0" w:beforeAutospacing="0" w:after="0" w:afterAutospacing="0" w:line="360" w:lineRule="auto"/>
        <w:ind w:left="0" w:right="0" w:firstLine="640" w:firstLineChars="200"/>
        <w:jc w:val="both"/>
        <w:rPr>
          <w:rFonts w:hint="eastAsia" w:ascii="楷体" w:hAnsi="楷体" w:eastAsia="楷体"/>
          <w:bCs/>
          <w:sz w:val="32"/>
          <w:szCs w:val="32"/>
        </w:rPr>
      </w:pPr>
      <w:r>
        <w:rPr>
          <w:rFonts w:hint="eastAsia" w:ascii="楷体" w:hAnsi="楷体" w:eastAsia="楷体"/>
          <w:bCs/>
          <w:sz w:val="32"/>
          <w:szCs w:val="32"/>
        </w:rPr>
        <w:t>（一）存在的主要问题</w:t>
      </w:r>
    </w:p>
    <w:p>
      <w:pPr>
        <w:keepNext w:val="0"/>
        <w:keepLines w:val="0"/>
        <w:widowControl w:val="0"/>
        <w:suppressLineNumbers w:val="0"/>
        <w:snapToGrid w:val="0"/>
        <w:spacing w:before="0" w:beforeAutospacing="0" w:after="0" w:afterAutospacing="0" w:line="360" w:lineRule="auto"/>
        <w:ind w:left="0" w:right="0" w:firstLine="643" w:firstLineChars="200"/>
        <w:jc w:val="both"/>
        <w:rPr>
          <w:rFonts w:hint="eastAsia" w:ascii="仿宋" w:hAnsi="仿宋" w:eastAsia="仿宋" w:cs="仿宋"/>
          <w:b/>
          <w:kern w:val="2"/>
          <w:sz w:val="32"/>
          <w:szCs w:val="32"/>
          <w:lang w:val="en-US" w:eastAsia="zh-CN" w:bidi="ar"/>
        </w:rPr>
      </w:pPr>
      <w:r>
        <w:rPr>
          <w:rFonts w:hint="eastAsia" w:ascii="仿宋" w:hAnsi="仿宋" w:eastAsia="仿宋" w:cs="仿宋"/>
          <w:b/>
          <w:kern w:val="2"/>
          <w:sz w:val="32"/>
          <w:szCs w:val="32"/>
          <w:lang w:val="en-US" w:eastAsia="zh-CN" w:bidi="ar"/>
        </w:rPr>
        <w:t>1.部分项目绩效管理指标不规范。</w:t>
      </w:r>
    </w:p>
    <w:p>
      <w:pPr>
        <w:keepNext w:val="0"/>
        <w:keepLines w:val="0"/>
        <w:widowControl w:val="0"/>
        <w:suppressLineNumbers w:val="0"/>
        <w:snapToGrid w:val="0"/>
        <w:spacing w:before="0" w:beforeAutospacing="0" w:after="0" w:afterAutospacing="0" w:line="360" w:lineRule="auto"/>
        <w:ind w:left="0" w:right="0" w:firstLine="640" w:firstLineChars="200"/>
        <w:jc w:val="both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一是绩效管理意识还不够强，绩效管理体系建设不够完备。二是绩效评价结果与预算安排的挂钩机制不完善。</w:t>
      </w:r>
    </w:p>
    <w:p>
      <w:pPr>
        <w:keepNext w:val="0"/>
        <w:keepLines w:val="0"/>
        <w:widowControl w:val="0"/>
        <w:suppressLineNumbers w:val="0"/>
        <w:snapToGrid w:val="0"/>
        <w:spacing w:before="0" w:beforeAutospacing="0" w:after="0" w:afterAutospacing="0" w:line="360" w:lineRule="auto"/>
        <w:ind w:left="0" w:right="0" w:firstLine="643" w:firstLineChars="200"/>
        <w:jc w:val="both"/>
        <w:rPr>
          <w:rFonts w:hint="eastAsia" w:ascii="仿宋" w:hAnsi="仿宋" w:eastAsia="仿宋" w:cs="仿宋"/>
          <w:b/>
          <w:sz w:val="32"/>
          <w:szCs w:val="32"/>
          <w:lang w:val="en-US"/>
        </w:rPr>
      </w:pPr>
      <w:r>
        <w:rPr>
          <w:rFonts w:hint="eastAsia" w:ascii="仿宋" w:hAnsi="仿宋" w:eastAsia="仿宋" w:cs="仿宋"/>
          <w:b/>
          <w:kern w:val="2"/>
          <w:sz w:val="32"/>
          <w:szCs w:val="32"/>
          <w:lang w:val="en-US" w:eastAsia="zh-CN" w:bidi="ar"/>
        </w:rPr>
        <w:t>2.项目执行进度慢，影响资金使用效益。</w:t>
      </w:r>
    </w:p>
    <w:p>
      <w:pPr>
        <w:widowControl w:val="0"/>
        <w:wordWrap/>
        <w:spacing w:line="560" w:lineRule="exact"/>
        <w:ind w:left="0" w:leftChars="0" w:right="0" w:firstLine="640" w:firstLineChars="200"/>
        <w:textAlignment w:val="auto"/>
        <w:outlineLvl w:val="9"/>
        <w:rPr>
          <w:rFonts w:ascii="楷体" w:hAnsi="楷体" w:eastAsia="楷体"/>
          <w:bCs/>
          <w:sz w:val="32"/>
          <w:szCs w:val="32"/>
        </w:rPr>
      </w:pPr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"/>
        </w:rPr>
        <w:t>部分项目执行进度慢，在前期工作中，未能及时考虑到一些突发因素以及影响支出进度的事项，导致项目不能完全实施或者是实施不到位。</w:t>
      </w:r>
    </w:p>
    <w:p>
      <w:pPr>
        <w:numPr>
          <w:ilvl w:val="0"/>
          <w:numId w:val="3"/>
        </w:numPr>
        <w:spacing w:line="560" w:lineRule="exact"/>
        <w:ind w:left="0" w:leftChars="0" w:firstLine="640" w:firstLineChars="200"/>
        <w:rPr>
          <w:rFonts w:hint="eastAsia" w:ascii="楷体" w:hAnsi="楷体" w:eastAsia="楷体"/>
          <w:bCs/>
          <w:sz w:val="32"/>
          <w:szCs w:val="32"/>
        </w:rPr>
      </w:pPr>
      <w:r>
        <w:rPr>
          <w:rFonts w:hint="eastAsia" w:ascii="楷体" w:hAnsi="楷体" w:eastAsia="楷体"/>
          <w:bCs/>
          <w:sz w:val="32"/>
          <w:szCs w:val="32"/>
        </w:rPr>
        <w:t>针对问题提出具体的改进措施或建议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spacing w:before="0" w:beforeLines="0" w:after="0" w:afterLines="0" w:line="540" w:lineRule="exact"/>
        <w:ind w:leftChars="200" w:right="0" w:rightChars="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  一是健全项目管理制度，制定项目用款计划、预期绩效目标，充分发挥资金使用效益。</w:t>
      </w:r>
    </w:p>
    <w:p>
      <w:pPr>
        <w:numPr>
          <w:ilvl w:val="0"/>
          <w:numId w:val="0"/>
        </w:numPr>
        <w:spacing w:line="560" w:lineRule="exact"/>
        <w:ind w:leftChars="200"/>
        <w:rPr>
          <w:rFonts w:hint="eastAsia" w:ascii="楷体" w:hAnsi="楷体" w:eastAsia="楷体"/>
          <w:bCs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  二</w:t>
      </w:r>
      <w:r>
        <w:rPr>
          <w:rFonts w:hint="eastAsia" w:ascii="仿宋" w:hAnsi="仿宋" w:eastAsia="仿宋" w:cs="仿宋"/>
          <w:sz w:val="32"/>
          <w:szCs w:val="32"/>
        </w:rPr>
        <w:t>是加强对相关绩效管理文件精神的学习，要求业务科室负责人和财务人员一起认真学习，深刻领会文件要求。</w:t>
      </w:r>
    </w:p>
    <w:p>
      <w:pPr>
        <w:adjustRightInd w:val="0"/>
        <w:snapToGrid w:val="0"/>
        <w:spacing w:line="560" w:lineRule="exact"/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六、评价工作组人员名单及签字（姓名、工作单位、职务、职称）</w:t>
      </w:r>
    </w:p>
    <w:tbl>
      <w:tblPr>
        <w:tblStyle w:val="5"/>
        <w:tblpPr w:leftFromText="180" w:rightFromText="180" w:vertAnchor="text" w:horzAnchor="page" w:tblpX="2483" w:tblpY="481"/>
        <w:tblOverlap w:val="never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01"/>
        <w:gridCol w:w="2236"/>
        <w:gridCol w:w="1667"/>
        <w:gridCol w:w="1667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545" w:hRule="atLeast"/>
        </w:trPr>
        <w:tc>
          <w:tcPr>
            <w:tcW w:w="2201" w:type="dxa"/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rFonts w:ascii="仿宋" w:hAnsi="仿宋" w:eastAsia="仿宋"/>
                <w:bCs/>
                <w:sz w:val="28"/>
                <w:szCs w:val="28"/>
              </w:rPr>
            </w:pPr>
            <w:r>
              <w:rPr>
                <w:rFonts w:hint="eastAsia" w:ascii="仿宋" w:hAnsi="仿宋" w:eastAsia="仿宋"/>
                <w:bCs/>
                <w:sz w:val="28"/>
                <w:szCs w:val="28"/>
              </w:rPr>
              <w:t>姓名</w:t>
            </w:r>
          </w:p>
        </w:tc>
        <w:tc>
          <w:tcPr>
            <w:tcW w:w="2236" w:type="dxa"/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rFonts w:hint="eastAsia" w:ascii="仿宋" w:hAnsi="仿宋" w:eastAsia="仿宋"/>
                <w:bCs/>
                <w:sz w:val="28"/>
                <w:szCs w:val="28"/>
                <w:lang w:eastAsia="zh-CN"/>
              </w:rPr>
            </w:pPr>
            <w:r>
              <w:rPr>
                <w:rFonts w:hint="eastAsia" w:ascii="仿宋" w:hAnsi="仿宋" w:eastAsia="仿宋"/>
                <w:bCs/>
                <w:sz w:val="28"/>
                <w:szCs w:val="28"/>
              </w:rPr>
              <w:t>工作单位</w:t>
            </w:r>
          </w:p>
        </w:tc>
        <w:tc>
          <w:tcPr>
            <w:tcW w:w="1667" w:type="dxa"/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rFonts w:hint="eastAsia" w:ascii="仿宋" w:hAnsi="仿宋" w:eastAsia="仿宋" w:cs="Times New Roman"/>
                <w:bCs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" w:hAnsi="仿宋" w:eastAsia="仿宋"/>
                <w:bCs/>
                <w:sz w:val="28"/>
                <w:szCs w:val="28"/>
              </w:rPr>
              <w:t>职务</w:t>
            </w:r>
          </w:p>
        </w:tc>
        <w:tc>
          <w:tcPr>
            <w:tcW w:w="1667" w:type="dxa"/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rFonts w:hint="eastAsia" w:ascii="仿宋" w:hAnsi="仿宋" w:eastAsia="仿宋"/>
                <w:bCs/>
                <w:sz w:val="28"/>
                <w:szCs w:val="28"/>
                <w:lang w:eastAsia="zh-CN"/>
              </w:rPr>
            </w:pPr>
            <w:r>
              <w:rPr>
                <w:rFonts w:hint="eastAsia" w:ascii="仿宋" w:hAnsi="仿宋" w:eastAsia="仿宋"/>
                <w:bCs/>
                <w:sz w:val="28"/>
                <w:szCs w:val="28"/>
                <w:lang w:eastAsia="zh-CN"/>
              </w:rPr>
              <w:t>职称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5" w:hRule="atLeast"/>
        </w:trPr>
        <w:tc>
          <w:tcPr>
            <w:tcW w:w="2201" w:type="dxa"/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rFonts w:hint="eastAsia" w:ascii="仿宋" w:hAnsi="仿宋" w:eastAsia="仿宋"/>
                <w:bCs/>
                <w:sz w:val="28"/>
                <w:szCs w:val="28"/>
                <w:lang w:eastAsia="zh-CN"/>
              </w:rPr>
            </w:pPr>
            <w:r>
              <w:rPr>
                <w:rFonts w:hint="eastAsia" w:ascii="仿宋" w:hAnsi="仿宋" w:eastAsia="仿宋"/>
                <w:bCs/>
                <w:sz w:val="28"/>
                <w:szCs w:val="28"/>
                <w:lang w:eastAsia="zh-CN"/>
              </w:rPr>
              <w:t>李军良</w:t>
            </w:r>
          </w:p>
        </w:tc>
        <w:tc>
          <w:tcPr>
            <w:tcW w:w="2236" w:type="dxa"/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rFonts w:hint="eastAsia" w:ascii="仿宋" w:hAnsi="仿宋" w:eastAsia="仿宋"/>
                <w:bCs/>
                <w:sz w:val="28"/>
                <w:szCs w:val="28"/>
                <w:lang w:val="en-US" w:eastAsia="zh-CN"/>
              </w:rPr>
            </w:pPr>
            <w:r>
              <w:rPr>
                <w:rFonts w:hint="eastAsia" w:ascii="仿宋" w:hAnsi="仿宋" w:eastAsia="仿宋"/>
                <w:bCs/>
                <w:sz w:val="28"/>
                <w:szCs w:val="28"/>
                <w:lang w:eastAsia="zh-CN"/>
              </w:rPr>
              <w:t>长安区检察院</w:t>
            </w:r>
          </w:p>
        </w:tc>
        <w:tc>
          <w:tcPr>
            <w:tcW w:w="1667" w:type="dxa"/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rFonts w:hint="eastAsia" w:ascii="仿宋" w:hAnsi="仿宋" w:eastAsia="仿宋"/>
                <w:bCs/>
                <w:sz w:val="28"/>
                <w:szCs w:val="28"/>
                <w:lang w:val="en-US" w:eastAsia="zh-CN"/>
              </w:rPr>
            </w:pPr>
            <w:r>
              <w:rPr>
                <w:rFonts w:hint="eastAsia" w:ascii="仿宋" w:hAnsi="仿宋" w:eastAsia="仿宋"/>
                <w:bCs/>
                <w:sz w:val="28"/>
                <w:szCs w:val="28"/>
                <w:lang w:eastAsia="zh-CN"/>
              </w:rPr>
              <w:t>主任</w:t>
            </w:r>
          </w:p>
        </w:tc>
        <w:tc>
          <w:tcPr>
            <w:tcW w:w="1667" w:type="dxa"/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rFonts w:hint="eastAsia" w:ascii="仿宋" w:hAnsi="仿宋" w:eastAsia="仿宋"/>
                <w:bCs/>
                <w:sz w:val="28"/>
                <w:szCs w:val="28"/>
                <w:lang w:eastAsia="zh-CN"/>
              </w:rPr>
            </w:pPr>
            <w:r>
              <w:rPr>
                <w:rFonts w:hint="eastAsia" w:ascii="仿宋" w:hAnsi="仿宋" w:eastAsia="仿宋"/>
                <w:bCs/>
                <w:sz w:val="28"/>
                <w:szCs w:val="28"/>
                <w:lang w:eastAsia="zh-CN"/>
              </w:rPr>
              <w:t>无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4" w:hRule="atLeast"/>
        </w:trPr>
        <w:tc>
          <w:tcPr>
            <w:tcW w:w="2201" w:type="dxa"/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rFonts w:hint="eastAsia" w:ascii="仿宋" w:hAnsi="仿宋" w:eastAsia="仿宋"/>
                <w:bCs/>
                <w:sz w:val="28"/>
                <w:szCs w:val="28"/>
                <w:lang w:eastAsia="zh-CN"/>
              </w:rPr>
            </w:pPr>
            <w:r>
              <w:rPr>
                <w:rFonts w:hint="eastAsia" w:ascii="仿宋" w:hAnsi="仿宋" w:eastAsia="仿宋"/>
                <w:bCs/>
                <w:sz w:val="28"/>
                <w:szCs w:val="28"/>
                <w:lang w:eastAsia="zh-CN"/>
              </w:rPr>
              <w:t>张振</w:t>
            </w:r>
          </w:p>
        </w:tc>
        <w:tc>
          <w:tcPr>
            <w:tcW w:w="2236" w:type="dxa"/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rFonts w:hint="eastAsia" w:ascii="仿宋" w:hAnsi="仿宋" w:eastAsia="仿宋"/>
                <w:bCs/>
                <w:sz w:val="28"/>
                <w:szCs w:val="28"/>
                <w:lang w:eastAsia="zh-CN"/>
              </w:rPr>
            </w:pPr>
            <w:r>
              <w:rPr>
                <w:rFonts w:hint="eastAsia" w:ascii="仿宋" w:hAnsi="仿宋" w:eastAsia="仿宋"/>
                <w:bCs/>
                <w:sz w:val="28"/>
                <w:szCs w:val="28"/>
                <w:lang w:eastAsia="zh-CN"/>
              </w:rPr>
              <w:t>长安区检察院</w:t>
            </w:r>
          </w:p>
        </w:tc>
        <w:tc>
          <w:tcPr>
            <w:tcW w:w="1667" w:type="dxa"/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rFonts w:hint="eastAsia" w:ascii="仿宋" w:hAnsi="仿宋" w:eastAsia="仿宋"/>
                <w:bCs/>
                <w:sz w:val="28"/>
                <w:szCs w:val="28"/>
                <w:lang w:val="en-US" w:eastAsia="zh-CN"/>
              </w:rPr>
            </w:pPr>
            <w:r>
              <w:rPr>
                <w:rFonts w:hint="eastAsia" w:ascii="仿宋" w:hAnsi="仿宋" w:eastAsia="仿宋"/>
                <w:bCs/>
                <w:sz w:val="28"/>
                <w:szCs w:val="28"/>
                <w:lang w:eastAsia="zh-CN"/>
              </w:rPr>
              <w:t>副主任</w:t>
            </w:r>
          </w:p>
        </w:tc>
        <w:tc>
          <w:tcPr>
            <w:tcW w:w="1667" w:type="dxa"/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rFonts w:hint="eastAsia" w:ascii="仿宋" w:hAnsi="仿宋" w:eastAsia="仿宋"/>
                <w:bCs/>
                <w:sz w:val="28"/>
                <w:szCs w:val="28"/>
                <w:lang w:eastAsia="zh-CN"/>
              </w:rPr>
            </w:pPr>
            <w:r>
              <w:rPr>
                <w:rFonts w:hint="eastAsia" w:ascii="仿宋" w:hAnsi="仿宋" w:eastAsia="仿宋"/>
                <w:bCs/>
                <w:sz w:val="28"/>
                <w:szCs w:val="28"/>
                <w:lang w:eastAsia="zh-CN"/>
              </w:rPr>
              <w:t>无</w:t>
            </w:r>
          </w:p>
        </w:tc>
      </w:tr>
    </w:tbl>
    <w:p>
      <w:pPr>
        <w:adjustRightInd w:val="0"/>
        <w:snapToGrid w:val="0"/>
        <w:spacing w:line="560" w:lineRule="exact"/>
        <w:ind w:firstLine="640" w:firstLineChars="200"/>
        <w:rPr>
          <w:rFonts w:ascii="黑体" w:hAnsi="黑体" w:eastAsia="黑体"/>
          <w:sz w:val="32"/>
          <w:szCs w:val="32"/>
        </w:rPr>
      </w:pPr>
    </w:p>
    <w:p>
      <w:pPr>
        <w:spacing w:line="560" w:lineRule="exact"/>
        <w:rPr>
          <w:rFonts w:ascii="仿宋" w:hAnsi="仿宋" w:eastAsia="仿宋"/>
        </w:rPr>
      </w:pPr>
    </w:p>
    <w:sectPr>
      <w:footerReference r:id="rId3" w:type="default"/>
      <w:pgSz w:w="11906" w:h="16838"/>
      <w:pgMar w:top="1440" w:right="1474" w:bottom="1440" w:left="1587" w:header="851" w:footer="992" w:gutter="0"/>
      <w:pgNumType w:fmt="numberInDash"/>
      <w:cols w:space="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8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仿宋_GBK">
    <w:panose1 w:val="02000000000000000000"/>
    <w:charset w:val="86"/>
    <w:family w:val="script"/>
    <w:pitch w:val="default"/>
    <w:sig w:usb0="A00002BF" w:usb1="38CF7CFA" w:usb2="00082016" w:usb3="00000000" w:csb0="00040001" w:csb1="00000000"/>
  </w:font>
  <w:font w:name="华文楷体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楷体_GB2312">
    <w:altName w:val="楷体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方正书宋_GBK">
    <w:panose1 w:val="02000000000000000000"/>
    <w:charset w:val="86"/>
    <w:family w:val="script"/>
    <w:pitch w:val="default"/>
    <w:sig w:usb0="A00002BF" w:usb1="38CF7CFA" w:usb2="00082016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  <w:r>
      <w:pict>
        <v:shape id="Quad Arrow 3073" o:spid="_x0000_s4097" o:spt="202" type="#_x0000_t202" style="position:absolute;left:0pt;margin-top:0pt;height:144pt;width:144pt;mso-position-horizontal:center;mso-position-horizontal-relative:margin;mso-wrap-style:none;z-index:251659264;mso-width-relative:page;mso-height-relative:page;" filled="f" o:preferrelative="t" stroked="f" coordsize="21600,21600">
          <v:path/>
          <v:fill on="f" focussize="0,0"/>
          <v:stroke on="f" joinstyle="miter"/>
          <v:imagedata o:title=""/>
          <o:lock v:ext="edit"/>
          <v:textbox inset="0mm,0mm,0mm,0mm" style="mso-fit-shape-to-text:t;">
            <w:txbxContent>
              <w:p>
                <w:pPr>
                  <w:snapToGrid w:val="0"/>
                  <w:rPr>
                    <w:sz w:val="18"/>
                  </w:rPr>
                </w:pPr>
                <w:r>
                  <w:rPr>
                    <w:rFonts w:hint="eastAsia"/>
                    <w:sz w:val="18"/>
                  </w:rPr>
                  <w:fldChar w:fldCharType="begin"/>
                </w:r>
                <w:r>
                  <w:rPr>
                    <w:rFonts w:hint="eastAsia"/>
                    <w:sz w:val="18"/>
                  </w:rPr>
                  <w:instrText xml:space="preserve"> PAGE  \* MERGEFORMAT </w:instrText>
                </w:r>
                <w:r>
                  <w:rPr>
                    <w:rFonts w:hint="eastAsia"/>
                    <w:sz w:val="18"/>
                  </w:rPr>
                  <w:fldChar w:fldCharType="separate"/>
                </w:r>
                <w:r>
                  <w:t>- 1 -</w:t>
                </w:r>
                <w:r>
                  <w:rPr>
                    <w:rFonts w:hint="eastAsia"/>
                    <w:sz w:val="18"/>
                  </w:rPr>
                  <w:fldChar w:fldCharType="end"/>
                </w:r>
              </w:p>
            </w:txbxContent>
          </v:textbox>
        </v:shape>
      </w:pic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516AA81"/>
    <w:multiLevelType w:val="singleLevel"/>
    <w:tmpl w:val="0516AA81"/>
    <w:lvl w:ilvl="0" w:tentative="0">
      <w:start w:val="2"/>
      <w:numFmt w:val="chineseCounting"/>
      <w:suff w:val="nothing"/>
      <w:lvlText w:val="（%1）"/>
      <w:lvlJc w:val="left"/>
      <w:pPr>
        <w:ind w:left="642" w:firstLine="0"/>
      </w:pPr>
      <w:rPr>
        <w:rFonts w:hint="eastAsia"/>
      </w:rPr>
    </w:lvl>
  </w:abstractNum>
  <w:abstractNum w:abstractNumId="1">
    <w:nsid w:val="54D55EC7"/>
    <w:multiLevelType w:val="singleLevel"/>
    <w:tmpl w:val="54D55EC7"/>
    <w:lvl w:ilvl="0" w:tentative="0">
      <w:start w:val="2"/>
      <w:numFmt w:val="chineseCounting"/>
      <w:suff w:val="nothing"/>
      <w:lvlText w:val="（%1）"/>
      <w:lvlJc w:val="left"/>
      <w:rPr>
        <w:rFonts w:hint="eastAsia"/>
      </w:rPr>
    </w:lvl>
  </w:abstractNum>
  <w:abstractNum w:abstractNumId="2">
    <w:nsid w:val="5E68489B"/>
    <w:multiLevelType w:val="singleLevel"/>
    <w:tmpl w:val="5E68489B"/>
    <w:lvl w:ilvl="0" w:tentative="0">
      <w:start w:val="1"/>
      <w:numFmt w:val="chineseCounting"/>
      <w:suff w:val="nothing"/>
      <w:lvlText w:val="（%1）"/>
      <w:lvlJc w:val="left"/>
      <w:rPr>
        <w:rFonts w:ascii="楷体" w:hAnsi="楷体" w:eastAsia="楷体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74"/>
  <w:bordersDoNotSurroundHeader w:val="1"/>
  <w:bordersDoNotSurroundFooter w:val="1"/>
  <w:doNotTrackMoves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3,4"/>
    </o:shapelayout>
  </w:hdrShapeDefaults>
  <w:compat>
    <w:spaceForUL/>
    <w:balanceSingleByteDoubleByteWidth/>
    <w:doNotLeaveBackslashAlone/>
    <w:ulTrailSpace/>
    <w:doNotExpandShiftReturn/>
    <w:adjustLineHeightInTable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docVars>
    <w:docVar w:name="commondata" w:val="eyJoZGlkIjoiYzgxMzVhZTBlNDUyZWUxNDVhMjNkN2E1NjFlOTE5NDcifQ=="/>
  </w:docVars>
  <w:rsids>
    <w:rsidRoot w:val="0EBD2122"/>
    <w:rsid w:val="000B0260"/>
    <w:rsid w:val="00732885"/>
    <w:rsid w:val="007E6C1F"/>
    <w:rsid w:val="00956A93"/>
    <w:rsid w:val="009E575C"/>
    <w:rsid w:val="00AF167E"/>
    <w:rsid w:val="00AF566A"/>
    <w:rsid w:val="00B478EA"/>
    <w:rsid w:val="00B6553A"/>
    <w:rsid w:val="00BC6576"/>
    <w:rsid w:val="00CE06BA"/>
    <w:rsid w:val="00F441CC"/>
    <w:rsid w:val="01B104CA"/>
    <w:rsid w:val="02106AB0"/>
    <w:rsid w:val="023006A7"/>
    <w:rsid w:val="02B43A28"/>
    <w:rsid w:val="046F331E"/>
    <w:rsid w:val="07956271"/>
    <w:rsid w:val="09721397"/>
    <w:rsid w:val="097D251D"/>
    <w:rsid w:val="098F4FBE"/>
    <w:rsid w:val="0BB63BED"/>
    <w:rsid w:val="0EB97A43"/>
    <w:rsid w:val="0EBD2122"/>
    <w:rsid w:val="0F214EAE"/>
    <w:rsid w:val="11B71E6A"/>
    <w:rsid w:val="1AAF0063"/>
    <w:rsid w:val="1BE140DE"/>
    <w:rsid w:val="1EDA7BB3"/>
    <w:rsid w:val="1FF5367C"/>
    <w:rsid w:val="248C197D"/>
    <w:rsid w:val="252959AF"/>
    <w:rsid w:val="277A6671"/>
    <w:rsid w:val="292D35B7"/>
    <w:rsid w:val="2CBC3F0B"/>
    <w:rsid w:val="33EB6CFF"/>
    <w:rsid w:val="35A12947"/>
    <w:rsid w:val="3692205A"/>
    <w:rsid w:val="37387040"/>
    <w:rsid w:val="3B625C0A"/>
    <w:rsid w:val="3CEE1963"/>
    <w:rsid w:val="430806AF"/>
    <w:rsid w:val="436B78D3"/>
    <w:rsid w:val="44222370"/>
    <w:rsid w:val="47143D2B"/>
    <w:rsid w:val="4C9C27FE"/>
    <w:rsid w:val="4CF259CA"/>
    <w:rsid w:val="512260B4"/>
    <w:rsid w:val="528374C6"/>
    <w:rsid w:val="52BD6ACB"/>
    <w:rsid w:val="55537534"/>
    <w:rsid w:val="561A74F1"/>
    <w:rsid w:val="597244E8"/>
    <w:rsid w:val="5B96668A"/>
    <w:rsid w:val="5EB71C30"/>
    <w:rsid w:val="66AF0CE5"/>
    <w:rsid w:val="68A22810"/>
    <w:rsid w:val="6AC537CF"/>
    <w:rsid w:val="6B3663F2"/>
    <w:rsid w:val="6E5B14A6"/>
    <w:rsid w:val="711B255E"/>
    <w:rsid w:val="7BB51E06"/>
    <w:rsid w:val="7C387F7C"/>
    <w:rsid w:val="7FE83423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59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黑体"/>
      <w:kern w:val="2"/>
      <w:sz w:val="21"/>
      <w:szCs w:val="22"/>
      <w:lang w:val="en-US" w:eastAsia="zh-CN" w:bidi="ar-SA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rFonts w:ascii="Times New Roman" w:hAnsi="Times New Roman"/>
      <w:sz w:val="18"/>
    </w:rPr>
  </w:style>
  <w:style w:type="table" w:styleId="5">
    <w:name w:val="Table Grid"/>
    <w:basedOn w:val="4"/>
    <w:qFormat/>
    <w:uiPriority w:val="5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7">
    <w:name w:val="插入文本样式-插入总体目标文件"/>
    <w:basedOn w:val="1"/>
    <w:qFormat/>
    <w:uiPriority w:val="0"/>
    <w:pPr>
      <w:spacing w:before="0" w:after="0" w:line="500" w:lineRule="exact"/>
      <w:ind w:firstLine="560"/>
      <w:jc w:val="left"/>
      <w:outlineLvl w:val="9"/>
    </w:pPr>
    <w:rPr>
      <w:rFonts w:ascii="Times New Roman" w:hAnsi="Times New Roman" w:eastAsia="方正仿宋_GBK" w:cs="Times New Roman"/>
      <w:sz w:val="28"/>
    </w:rPr>
  </w:style>
  <w:style w:type="paragraph" w:customStyle="1" w:styleId="8">
    <w:name w:val="插入文本样式-插入职责分类绩效目标文件"/>
    <w:basedOn w:val="1"/>
    <w:qFormat/>
    <w:uiPriority w:val="0"/>
    <w:pPr>
      <w:spacing w:before="0" w:after="0" w:line="500" w:lineRule="exact"/>
      <w:ind w:firstLine="560"/>
      <w:jc w:val="left"/>
      <w:outlineLvl w:val="9"/>
    </w:pPr>
    <w:rPr>
      <w:rFonts w:ascii="Times New Roman" w:hAnsi="Times New Roman" w:eastAsia="方正仿宋_GBK" w:cs="Times New Roman"/>
      <w:sz w:val="28"/>
    </w:rPr>
  </w:style>
  <w:style w:type="paragraph" w:customStyle="1" w:styleId="9">
    <w:name w:val="Normal Indent1"/>
    <w:basedOn w:val="1"/>
    <w:qFormat/>
    <w:uiPriority w:val="0"/>
    <w:pPr>
      <w:widowControl w:val="0"/>
      <w:ind w:firstLine="420" w:firstLineChars="200"/>
      <w:jc w:val="both"/>
    </w:pPr>
    <w:rPr>
      <w:kern w:val="2"/>
      <w:sz w:val="21"/>
      <w:szCs w:val="22"/>
      <w:lang w:eastAsia="zh-CN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Tahoma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Tahoma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4097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100</Words>
  <Characters>570</Characters>
  <Lines>4</Lines>
  <Paragraphs>1</Paragraphs>
  <TotalTime>6</TotalTime>
  <ScaleCrop>false</ScaleCrop>
  <LinksUpToDate>false</LinksUpToDate>
  <CharactersWithSpaces>669</CharactersWithSpaces>
  <Application>WPS Office_11.8.2.12094_F1E327BC-269C-435d-A152-05C5408002CA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2020-02-04T03:46:00Z</dcterms:created>
  <dc:creator>欣欣大人</dc:creator>
  <cp:lastModifiedBy>Administrator</cp:lastModifiedBy>
  <cp:lastPrinted>2024-04-17T01:30:00Z</cp:lastPrinted>
  <dcterms:modified xsi:type="dcterms:W3CDTF">2026-05-22T04:06:09Z</dcterms:modified>
  <dc:title>附件3：</dc:title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2052-11.8.2.12094</vt:lpwstr>
  </property>
  <property fmtid="{D5CDD505-2E9C-101B-9397-08002B2CF9AE}" pid="3" name="ICV">
    <vt:lpwstr>74B8DA81A6B04FE4B229B8B7FE551824</vt:lpwstr>
  </property>
</Properties>
</file>