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35518E">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48AAC180">
      <w:pPr>
        <w:spacing w:line="560" w:lineRule="exact"/>
        <w:jc w:val="center"/>
        <w:rPr>
          <w:rFonts w:ascii="宋体" w:hAnsi="宋体" w:cs="宋体"/>
          <w:b/>
          <w:bCs/>
          <w:sz w:val="44"/>
          <w:szCs w:val="44"/>
        </w:rPr>
      </w:pPr>
    </w:p>
    <w:p w14:paraId="1F315309">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石家庄市人民代表大会常务委员会办公室</w:t>
      </w:r>
    </w:p>
    <w:p w14:paraId="554B328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2C31BD2">
      <w:pPr>
        <w:spacing w:line="560" w:lineRule="exact"/>
        <w:jc w:val="center"/>
        <w:rPr>
          <w:rFonts w:ascii="华文楷体" w:eastAsia="华文楷体"/>
          <w:sz w:val="32"/>
          <w:szCs w:val="32"/>
        </w:rPr>
      </w:pPr>
    </w:p>
    <w:p w14:paraId="3248ADB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贯彻落实市委市政府《关于全面落实预算绩效管理的实施意见》（石发﹝2019﹞8号）文件精神，遵循“科学性、规范性、客观性和公正性”的原则，对石家庄市人民代表大会常务委员会办公室202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5475D7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68842E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2CF406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sz w:val="32"/>
          <w:szCs w:val="32"/>
        </w:rPr>
        <w:t>主要职能</w:t>
      </w:r>
      <w:r>
        <w:rPr>
          <w:rFonts w:hint="eastAsia" w:ascii="仿宋" w:hAnsi="仿宋" w:eastAsia="仿宋"/>
          <w:sz w:val="32"/>
          <w:szCs w:val="32"/>
          <w:lang w:eastAsia="zh-CN"/>
        </w:rPr>
        <w:t>。</w:t>
      </w:r>
    </w:p>
    <w:p w14:paraId="038889D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根据《石家庄市人大常委会职能配置、内设机构和人员编制规定》，石家庄市人大常委会的主要职能是：</w:t>
      </w:r>
    </w:p>
    <w:p w14:paraId="484949F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（一）制定和修订地方性法规，做好报批、公告和报备等项工作，为推进我市经济高质量发展提供法律支撑。</w:t>
      </w:r>
    </w:p>
    <w:p w14:paraId="1866054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（二）围绕全市经济社会发展中的重大问题和人民群众普遍关注的难点问题，找准监督重点，创新监督方式，进一步加大监督力度。</w:t>
      </w:r>
    </w:p>
    <w:p w14:paraId="095AC33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认真贯彻落实新修订的代表法，加强闭会期间代表活动的组织工作，做好代表议案、建议、批评和意见的督办工作，进一步提高办成率和满意率。进一步提升“人大代表之家”建设，为代表履职提供平台、组织活动创造条件。</w:t>
      </w:r>
    </w:p>
    <w:p w14:paraId="7D9BC6D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（四）依法做好人事任免工作,切实加强对被任命干部的监督。</w:t>
      </w:r>
    </w:p>
    <w:p w14:paraId="303722F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（五）加强各专门委员会及工作委员会的建设，规范专门委员会及工作委员会的各项工作，进一步发挥其职能作用。</w:t>
      </w:r>
    </w:p>
    <w:p w14:paraId="35C232C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（六）加强常委会和机关自身建设，搞好人大调研、宣传和后勤保障等工作，进一步提高保障转型升级、跨越赶超的能力和水平。</w:t>
      </w:r>
    </w:p>
    <w:p w14:paraId="66BE904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2．机构情况。</w:t>
      </w:r>
    </w:p>
    <w:p w14:paraId="6A85E08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纳入本部门决算汇编范围的独立核算单位（以下简称“单位”）共1个：市人大常委会办公室。事业编制机构1个：市人大机关后勤服务中心。单位基本性质为行政单位，预算管理级次为本级预算单位，执行政府财务会计制度，较上年无增减变化。</w:t>
      </w:r>
    </w:p>
    <w:p w14:paraId="30C8CCD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3．人员情况。</w:t>
      </w:r>
    </w:p>
    <w:p w14:paraId="51F8243D">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截至2025年12月31日，我单位石家庄市人民代表大会常务委员会办公室本级编制人数152人，较上年度增长1人，年末实有人数170人，较上年度增长3人。</w:t>
      </w:r>
    </w:p>
    <w:p w14:paraId="0456B148">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4.资产情况。</w:t>
      </w:r>
    </w:p>
    <w:p w14:paraId="494AA67B">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截至2025年12月31日，我单位资产总额（账面净值，下同）833.77万元，较上年增长4.75%。负债总额70.46万元,较上年增长100.18%。净资产763.31万元,较上年增长0.33%。</w:t>
      </w:r>
    </w:p>
    <w:p w14:paraId="0EBB9307">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我部门/单位行政单位国有资产833.77万元，占100%；事业单位国有资产0.00万元，占0%，其中执行民间非营利组织会计制度的社会团体国有资产0.00万元，占0%。</w:t>
      </w:r>
    </w:p>
    <w:p w14:paraId="4680CBB2">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78EAB759">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年预算调整资金2401</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423715万元，共2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个项目，评价项目资金到位2401</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423715万元，评价项目资金支出2401</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345993万元。</w:t>
      </w:r>
    </w:p>
    <w:p w14:paraId="42666A8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AE946B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参照部门预算绩效文本中绩效目标、指标。</w:t>
      </w:r>
    </w:p>
    <w:p w14:paraId="464D1CA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66D093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A848B5C">
      <w:pPr>
        <w:spacing w:line="560" w:lineRule="exact"/>
        <w:rPr>
          <w:rFonts w:ascii="仿宋" w:hAnsi="仿宋" w:eastAsia="仿宋"/>
          <w:sz w:val="32"/>
          <w:szCs w:val="32"/>
        </w:rPr>
      </w:pPr>
      <w:r>
        <w:rPr>
          <w:rFonts w:hint="eastAsia" w:ascii="仿宋" w:hAnsi="仿宋" w:eastAsia="仿宋"/>
          <w:sz w:val="32"/>
          <w:szCs w:val="32"/>
        </w:rPr>
        <w:t xml:space="preserve">     成立了以副秘书长、办公室主任为组长，分管财务工作的副秘书长为副组长的“财政专项资金绩效评价工作领导小组”，加强财政专项资金绩效自评工作的组织和领导，抽调办公室秘书科、财务科、机关纪委、选举任免代表工委代表联络科4名人员具体负责项目自评工作，确保绩效自评工作顺利进行。</w:t>
      </w:r>
    </w:p>
    <w:p w14:paraId="0AF0F218">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1251F92">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rPr>
        <w:t>按照市人大绩效评价领导小组的工作安排，研究了202</w:t>
      </w:r>
      <w:r>
        <w:rPr>
          <w:rFonts w:hint="eastAsia" w:ascii="仿宋" w:hAnsi="仿宋" w:eastAsia="仿宋"/>
          <w:sz w:val="32"/>
          <w:szCs w:val="32"/>
          <w:lang w:val="en-US" w:eastAsia="zh-CN"/>
        </w:rPr>
        <w:t>5</w:t>
      </w:r>
      <w:r>
        <w:rPr>
          <w:rFonts w:hint="eastAsia" w:ascii="仿宋" w:hAnsi="仿宋" w:eastAsia="仿宋"/>
          <w:sz w:val="32"/>
          <w:szCs w:val="32"/>
        </w:rPr>
        <w:t>年度项目绩效评价工作方案，从时间安排、程序步骤、评价方法、工作分工等方面进行了明确，遵循“客观、公正、科学、规范”的原则开展项目绩效评价工作，</w:t>
      </w:r>
      <w:r>
        <w:rPr>
          <w:rFonts w:hint="eastAsia" w:ascii="仿宋" w:hAnsi="仿宋" w:eastAsia="仿宋"/>
          <w:sz w:val="32"/>
          <w:szCs w:val="32"/>
          <w:highlight w:val="none"/>
        </w:rPr>
        <w:t>对机关</w:t>
      </w:r>
      <w:r>
        <w:rPr>
          <w:rFonts w:hint="eastAsia" w:ascii="仿宋" w:hAnsi="仿宋" w:eastAsia="仿宋"/>
          <w:sz w:val="32"/>
          <w:szCs w:val="32"/>
          <w:highlight w:val="none"/>
          <w:lang w:val="en-US" w:eastAsia="zh-CN"/>
        </w:rPr>
        <w:t>25</w:t>
      </w:r>
      <w:r>
        <w:rPr>
          <w:rFonts w:hint="eastAsia" w:ascii="仿宋" w:hAnsi="仿宋" w:eastAsia="仿宋"/>
          <w:sz w:val="32"/>
          <w:szCs w:val="32"/>
          <w:highlight w:val="none"/>
        </w:rPr>
        <w:t>个项目进行了绩效综合评价</w:t>
      </w:r>
      <w:r>
        <w:rPr>
          <w:rFonts w:hint="eastAsia" w:ascii="仿宋" w:hAnsi="仿宋" w:eastAsia="仿宋"/>
          <w:sz w:val="32"/>
          <w:szCs w:val="32"/>
          <w:highlight w:val="none"/>
          <w:lang w:eastAsia="zh-CN"/>
        </w:rPr>
        <w:t>，</w:t>
      </w:r>
      <w:r>
        <w:rPr>
          <w:rFonts w:hint="eastAsia" w:ascii="仿宋" w:hAnsi="仿宋" w:eastAsia="仿宋"/>
          <w:sz w:val="32"/>
          <w:szCs w:val="32"/>
          <w:highlight w:val="none"/>
        </w:rPr>
        <w:t>项目绩效自评率达100%。</w:t>
      </w:r>
    </w:p>
    <w:p w14:paraId="5E310396">
      <w:p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14:paraId="370B815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C5F8872">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C07D8D5">
      <w:pPr>
        <w:spacing w:line="560" w:lineRule="exact"/>
        <w:ind w:firstLine="800" w:firstLineChars="250"/>
        <w:rPr>
          <w:rFonts w:ascii="仿宋" w:hAnsi="仿宋" w:eastAsia="仿宋"/>
          <w:sz w:val="32"/>
          <w:szCs w:val="32"/>
        </w:rPr>
      </w:pPr>
      <w:r>
        <w:rPr>
          <w:rFonts w:hint="eastAsia" w:ascii="仿宋" w:hAnsi="仿宋" w:eastAsia="仿宋"/>
          <w:sz w:val="32"/>
          <w:szCs w:val="32"/>
        </w:rPr>
        <w:t>通过对202</w:t>
      </w:r>
      <w:r>
        <w:rPr>
          <w:rFonts w:hint="eastAsia" w:ascii="仿宋" w:hAnsi="仿宋" w:eastAsia="仿宋"/>
          <w:sz w:val="32"/>
          <w:szCs w:val="32"/>
          <w:lang w:val="en-US" w:eastAsia="zh-CN"/>
        </w:rPr>
        <w:t>5</w:t>
      </w:r>
      <w:r>
        <w:rPr>
          <w:rFonts w:hint="eastAsia" w:ascii="仿宋" w:hAnsi="仿宋" w:eastAsia="仿宋"/>
          <w:sz w:val="32"/>
          <w:szCs w:val="32"/>
        </w:rPr>
        <w:t>年度项目进行绩效自评，</w:t>
      </w:r>
      <w:r>
        <w:rPr>
          <w:rFonts w:hint="eastAsia" w:ascii="仿宋" w:hAnsi="仿宋" w:eastAsia="仿宋"/>
          <w:sz w:val="32"/>
          <w:szCs w:val="32"/>
          <w:highlight w:val="none"/>
          <w:lang w:val="en-US" w:eastAsia="zh-CN"/>
        </w:rPr>
        <w:t>25</w:t>
      </w:r>
      <w:r>
        <w:rPr>
          <w:rFonts w:hint="eastAsia" w:ascii="仿宋" w:hAnsi="仿宋" w:eastAsia="仿宋"/>
          <w:sz w:val="32"/>
          <w:szCs w:val="32"/>
          <w:highlight w:val="none"/>
        </w:rPr>
        <w:t>个</w:t>
      </w:r>
      <w:r>
        <w:rPr>
          <w:rFonts w:hint="eastAsia" w:ascii="仿宋" w:hAnsi="仿宋" w:eastAsia="仿宋"/>
          <w:sz w:val="32"/>
          <w:szCs w:val="32"/>
        </w:rPr>
        <w:t>项目的产出和效果指标都全部完成，自评得分全部为</w:t>
      </w:r>
      <w:r>
        <w:rPr>
          <w:rFonts w:hint="eastAsia" w:ascii="仿宋" w:hAnsi="仿宋" w:eastAsia="仿宋"/>
          <w:sz w:val="32"/>
          <w:szCs w:val="32"/>
          <w:lang w:val="en-US" w:eastAsia="zh-CN"/>
        </w:rPr>
        <w:t>90</w:t>
      </w:r>
      <w:r>
        <w:rPr>
          <w:rFonts w:hint="eastAsia" w:ascii="仿宋" w:hAnsi="仿宋" w:eastAsia="仿宋"/>
          <w:sz w:val="32"/>
          <w:szCs w:val="32"/>
        </w:rPr>
        <w:t>分以上，自评结果为优秀。虽然完成率较好，但也存在部分指标设置不科学、不合理的问题，下一步将进一步优化。</w:t>
      </w:r>
    </w:p>
    <w:p w14:paraId="5F1C422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B2C64B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1.人大立法</w:t>
      </w:r>
    </w:p>
    <w:p w14:paraId="1146181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绩效目标：完成《石家庄市人大常委会202</w:t>
      </w:r>
      <w:r>
        <w:rPr>
          <w:rFonts w:hint="eastAsia" w:ascii="仿宋" w:hAnsi="仿宋" w:eastAsia="仿宋"/>
          <w:sz w:val="32"/>
          <w:szCs w:val="32"/>
          <w:lang w:val="en-US" w:eastAsia="zh-CN"/>
        </w:rPr>
        <w:t>5</w:t>
      </w:r>
      <w:r>
        <w:rPr>
          <w:rFonts w:hint="eastAsia" w:ascii="仿宋" w:hAnsi="仿宋" w:eastAsia="仿宋"/>
          <w:sz w:val="32"/>
          <w:szCs w:val="32"/>
        </w:rPr>
        <w:t>年立法计划》</w:t>
      </w:r>
    </w:p>
    <w:p w14:paraId="7406EB8F">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绩效指标：抓好年度立法计划落实，加强重点领域立法，坚持科学立法，探索公民有序参与立法的途径和方法，立法任务完成率100</w:t>
      </w:r>
      <w:r>
        <w:rPr>
          <w:rFonts w:hint="eastAsia" w:ascii="仿宋" w:hAnsi="仿宋" w:eastAsia="仿宋"/>
          <w:sz w:val="32"/>
          <w:szCs w:val="32"/>
          <w:lang w:val="en-US" w:eastAsia="zh-CN"/>
        </w:rPr>
        <w:t>%</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年预备立法项目完成率100</w:t>
      </w:r>
      <w:r>
        <w:rPr>
          <w:rFonts w:hint="eastAsia" w:ascii="仿宋" w:hAnsi="仿宋" w:eastAsia="仿宋"/>
          <w:sz w:val="32"/>
          <w:szCs w:val="32"/>
          <w:lang w:val="en-US" w:eastAsia="zh-CN"/>
        </w:rPr>
        <w:t>%</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年立法调研任务完成率100</w:t>
      </w:r>
      <w:r>
        <w:rPr>
          <w:rFonts w:hint="eastAsia" w:ascii="仿宋" w:hAnsi="仿宋" w:eastAsia="仿宋"/>
          <w:sz w:val="32"/>
          <w:szCs w:val="32"/>
          <w:lang w:val="en-US" w:eastAsia="zh-CN"/>
        </w:rPr>
        <w:t>%</w:t>
      </w:r>
      <w:r>
        <w:rPr>
          <w:rFonts w:hint="eastAsia" w:ascii="仿宋" w:hAnsi="仿宋" w:eastAsia="仿宋"/>
          <w:sz w:val="32"/>
          <w:szCs w:val="32"/>
        </w:rPr>
        <w:t>。</w:t>
      </w:r>
    </w:p>
    <w:p w14:paraId="4A6EAFA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2.人大监督</w:t>
      </w:r>
    </w:p>
    <w:p w14:paraId="7B4FDEA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绩效目标：按照《石家庄市人大常委会202</w:t>
      </w:r>
      <w:r>
        <w:rPr>
          <w:rFonts w:hint="eastAsia" w:ascii="仿宋" w:hAnsi="仿宋" w:eastAsia="仿宋"/>
          <w:sz w:val="32"/>
          <w:szCs w:val="32"/>
          <w:lang w:val="en-US" w:eastAsia="zh-CN"/>
        </w:rPr>
        <w:t>5</w:t>
      </w:r>
      <w:r>
        <w:rPr>
          <w:rFonts w:hint="eastAsia" w:ascii="仿宋" w:hAnsi="仿宋" w:eastAsia="仿宋"/>
          <w:sz w:val="32"/>
          <w:szCs w:val="32"/>
        </w:rPr>
        <w:t>年工作计划》，完成监督工作任务。</w:t>
      </w:r>
    </w:p>
    <w:p w14:paraId="3804305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绩效指标：加大监督力度，开展视察、调研、专题询问、执法检查等监督活动，督促和支持“一府一委两院”依法行政，公正司法，监督任务完成率100</w:t>
      </w:r>
      <w:r>
        <w:rPr>
          <w:rFonts w:hint="eastAsia" w:ascii="仿宋" w:hAnsi="仿宋" w:eastAsia="仿宋"/>
          <w:sz w:val="32"/>
          <w:szCs w:val="32"/>
          <w:lang w:val="en-US" w:eastAsia="zh-CN"/>
        </w:rPr>
        <w:t>%</w:t>
      </w:r>
      <w:r>
        <w:rPr>
          <w:rFonts w:hint="eastAsia" w:ascii="仿宋" w:hAnsi="仿宋" w:eastAsia="仿宋"/>
          <w:sz w:val="32"/>
          <w:szCs w:val="32"/>
        </w:rPr>
        <w:t>。</w:t>
      </w:r>
    </w:p>
    <w:p w14:paraId="3B35E087">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3.人大会议</w:t>
      </w:r>
    </w:p>
    <w:p w14:paraId="6CE19542">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绩效目标：召开人民代表大会1次、人大常委会会议6次以上、各专门委员会召开专委会会议2次（含）以上。</w:t>
      </w:r>
    </w:p>
    <w:p w14:paraId="1E537F6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绩效指标：完成法定的人代会、常委会会议召开，会议召开率100</w:t>
      </w:r>
      <w:r>
        <w:rPr>
          <w:rFonts w:hint="eastAsia" w:ascii="仿宋" w:hAnsi="仿宋" w:eastAsia="仿宋"/>
          <w:sz w:val="32"/>
          <w:szCs w:val="32"/>
          <w:lang w:val="en-US" w:eastAsia="zh-CN"/>
        </w:rPr>
        <w:t>%</w:t>
      </w:r>
      <w:r>
        <w:rPr>
          <w:rFonts w:hint="eastAsia" w:ascii="仿宋" w:hAnsi="仿宋" w:eastAsia="仿宋"/>
          <w:sz w:val="32"/>
          <w:szCs w:val="32"/>
        </w:rPr>
        <w:t>，会议政治任务实现率100</w:t>
      </w:r>
      <w:r>
        <w:rPr>
          <w:rFonts w:hint="eastAsia" w:ascii="仿宋" w:hAnsi="仿宋" w:eastAsia="仿宋"/>
          <w:sz w:val="32"/>
          <w:szCs w:val="32"/>
          <w:lang w:val="en-US" w:eastAsia="zh-CN"/>
        </w:rPr>
        <w:t>%</w:t>
      </w:r>
      <w:r>
        <w:rPr>
          <w:rFonts w:hint="eastAsia" w:ascii="仿宋" w:hAnsi="仿宋" w:eastAsia="仿宋"/>
          <w:sz w:val="32"/>
          <w:szCs w:val="32"/>
        </w:rPr>
        <w:t>。按照市人大各专门委员会工作计划，专委会会议完成率100</w:t>
      </w:r>
      <w:r>
        <w:rPr>
          <w:rFonts w:hint="eastAsia" w:ascii="仿宋" w:hAnsi="仿宋" w:eastAsia="仿宋"/>
          <w:sz w:val="32"/>
          <w:szCs w:val="32"/>
          <w:lang w:val="en-US" w:eastAsia="zh-CN"/>
        </w:rPr>
        <w:t>%</w:t>
      </w:r>
      <w:r>
        <w:rPr>
          <w:rFonts w:hint="eastAsia" w:ascii="仿宋" w:hAnsi="仿宋" w:eastAsia="仿宋"/>
          <w:sz w:val="32"/>
          <w:szCs w:val="32"/>
        </w:rPr>
        <w:t>，会议任务实现率100</w:t>
      </w:r>
      <w:r>
        <w:rPr>
          <w:rFonts w:hint="eastAsia" w:ascii="仿宋" w:hAnsi="仿宋" w:eastAsia="仿宋"/>
          <w:sz w:val="32"/>
          <w:szCs w:val="32"/>
          <w:lang w:val="en-US" w:eastAsia="zh-CN"/>
        </w:rPr>
        <w:t>%</w:t>
      </w:r>
      <w:r>
        <w:rPr>
          <w:rFonts w:hint="eastAsia" w:ascii="仿宋" w:hAnsi="仿宋" w:eastAsia="仿宋"/>
          <w:sz w:val="32"/>
          <w:szCs w:val="32"/>
        </w:rPr>
        <w:t>。</w:t>
      </w:r>
    </w:p>
    <w:p w14:paraId="07F98F79">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4.人大选举及任免</w:t>
      </w:r>
    </w:p>
    <w:p w14:paraId="7259DFF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绩效目标：依法依规完成选举及人事任免工作。</w:t>
      </w:r>
    </w:p>
    <w:p w14:paraId="605CCB98">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绩效指标：依法任免市级国家机关工作人员，工作完成率100</w:t>
      </w:r>
      <w:r>
        <w:rPr>
          <w:rFonts w:hint="eastAsia" w:ascii="仿宋" w:hAnsi="仿宋" w:eastAsia="仿宋"/>
          <w:sz w:val="32"/>
          <w:szCs w:val="32"/>
          <w:lang w:val="en-US" w:eastAsia="zh-CN"/>
        </w:rPr>
        <w:t>%</w:t>
      </w:r>
      <w:r>
        <w:rPr>
          <w:rFonts w:hint="eastAsia" w:ascii="仿宋" w:hAnsi="仿宋" w:eastAsia="仿宋"/>
          <w:sz w:val="32"/>
          <w:szCs w:val="32"/>
        </w:rPr>
        <w:t>，政治任务实现率100</w:t>
      </w:r>
      <w:r>
        <w:rPr>
          <w:rFonts w:hint="eastAsia" w:ascii="仿宋" w:hAnsi="仿宋" w:eastAsia="仿宋"/>
          <w:sz w:val="32"/>
          <w:szCs w:val="32"/>
          <w:lang w:val="en-US" w:eastAsia="zh-CN"/>
        </w:rPr>
        <w:t>%</w:t>
      </w:r>
      <w:r>
        <w:rPr>
          <w:rFonts w:hint="eastAsia" w:ascii="仿宋" w:hAnsi="仿宋" w:eastAsia="仿宋"/>
          <w:sz w:val="32"/>
          <w:szCs w:val="32"/>
        </w:rPr>
        <w:t>。</w:t>
      </w:r>
    </w:p>
    <w:p w14:paraId="1C837EDC">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5.人大代表工作</w:t>
      </w:r>
    </w:p>
    <w:p w14:paraId="1FEA4B3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绩效目标：按照工作需要，依法依规组织市人大常委会组成人员及市人大代表进行执法检查和集中视察；开展代表建议督办；组织对常委会组成人员及代表培训。</w:t>
      </w:r>
    </w:p>
    <w:p w14:paraId="40534E60">
      <w:pPr>
        <w:spacing w:line="560" w:lineRule="exact"/>
        <w:ind w:firstLine="800" w:firstLineChars="250"/>
        <w:rPr>
          <w:rFonts w:ascii="仿宋" w:hAnsi="仿宋" w:eastAsia="仿宋"/>
          <w:sz w:val="32"/>
          <w:szCs w:val="32"/>
        </w:rPr>
      </w:pPr>
      <w:r>
        <w:rPr>
          <w:rFonts w:hint="eastAsia" w:ascii="仿宋" w:hAnsi="仿宋" w:eastAsia="仿宋"/>
          <w:sz w:val="32"/>
          <w:szCs w:val="32"/>
        </w:rPr>
        <w:t>绩效指标：组织代表执法检查和集中视察任务完成率完成率100</w:t>
      </w:r>
      <w:r>
        <w:rPr>
          <w:rFonts w:hint="eastAsia" w:ascii="仿宋" w:hAnsi="仿宋" w:eastAsia="仿宋"/>
          <w:sz w:val="32"/>
          <w:szCs w:val="32"/>
          <w:lang w:val="en-US" w:eastAsia="zh-CN"/>
        </w:rPr>
        <w:t>%</w:t>
      </w:r>
      <w:r>
        <w:rPr>
          <w:rFonts w:hint="eastAsia" w:ascii="仿宋" w:hAnsi="仿宋" w:eastAsia="仿宋"/>
          <w:sz w:val="32"/>
          <w:szCs w:val="32"/>
        </w:rPr>
        <w:t>，代表建议督办完成率≥90</w:t>
      </w:r>
      <w:r>
        <w:rPr>
          <w:rFonts w:hint="eastAsia" w:ascii="仿宋" w:hAnsi="仿宋" w:eastAsia="仿宋"/>
          <w:sz w:val="32"/>
          <w:szCs w:val="32"/>
          <w:lang w:val="en-US" w:eastAsia="zh-CN"/>
        </w:rPr>
        <w:t>%</w:t>
      </w:r>
      <w:r>
        <w:rPr>
          <w:rFonts w:hint="eastAsia" w:ascii="仿宋" w:hAnsi="仿宋" w:eastAsia="仿宋"/>
          <w:sz w:val="32"/>
          <w:szCs w:val="32"/>
        </w:rPr>
        <w:t>，常委会组成人员及代表培训计划完成率100</w:t>
      </w:r>
      <w:r>
        <w:rPr>
          <w:rFonts w:hint="eastAsia" w:ascii="仿宋" w:hAnsi="仿宋" w:eastAsia="仿宋"/>
          <w:sz w:val="32"/>
          <w:szCs w:val="32"/>
          <w:lang w:val="en-US" w:eastAsia="zh-CN"/>
        </w:rPr>
        <w:t>%</w:t>
      </w:r>
      <w:r>
        <w:rPr>
          <w:rFonts w:hint="eastAsia" w:ascii="仿宋" w:hAnsi="仿宋" w:eastAsia="仿宋"/>
          <w:sz w:val="32"/>
          <w:szCs w:val="32"/>
        </w:rPr>
        <w:t>。</w:t>
      </w:r>
    </w:p>
    <w:p w14:paraId="09D4147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86A5FA0">
      <w:pPr>
        <w:spacing w:line="560" w:lineRule="exact"/>
        <w:ind w:firstLine="640" w:firstLineChars="200"/>
        <w:rPr>
          <w:rFonts w:ascii="仿宋" w:hAnsi="仿宋" w:eastAsia="仿宋"/>
          <w:sz w:val="32"/>
          <w:szCs w:val="32"/>
        </w:rPr>
      </w:pPr>
      <w:r>
        <w:rPr>
          <w:rFonts w:hint="eastAsia" w:ascii="仿宋" w:hAnsi="仿宋" w:eastAsia="仿宋"/>
          <w:sz w:val="32"/>
          <w:szCs w:val="32"/>
        </w:rPr>
        <w:t>参与本次评价的项目共</w:t>
      </w:r>
      <w:r>
        <w:rPr>
          <w:rFonts w:hint="eastAsia" w:ascii="仿宋" w:hAnsi="仿宋" w:eastAsia="仿宋"/>
          <w:sz w:val="32"/>
          <w:szCs w:val="32"/>
          <w:highlight w:val="none"/>
        </w:rPr>
        <w:t>计2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个项目评价</w:t>
      </w:r>
      <w:r>
        <w:rPr>
          <w:rFonts w:hint="eastAsia" w:ascii="仿宋" w:hAnsi="仿宋" w:eastAsia="仿宋"/>
          <w:sz w:val="32"/>
          <w:szCs w:val="32"/>
        </w:rPr>
        <w:t>等级均为“优秀”。</w:t>
      </w:r>
    </w:p>
    <w:p w14:paraId="12A454A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A64EB65">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94555B0">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sz w:val="32"/>
          <w:szCs w:val="32"/>
        </w:rPr>
        <w:t>绩效评价指标可量化性不高。</w:t>
      </w:r>
    </w:p>
    <w:p w14:paraId="75D01F79">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2.结果应用不足。</w:t>
      </w:r>
    </w:p>
    <w:p w14:paraId="1ABFC22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237FA3E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sz w:val="32"/>
          <w:szCs w:val="32"/>
        </w:rPr>
        <w:t>进一步优化绩效目标</w:t>
      </w:r>
    </w:p>
    <w:p w14:paraId="62C7ACA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进一步细化、量化预算绩指标设定，从时效、数量、质量等维度，建立可细化、可量化、可考评的</w:t>
      </w:r>
      <w:bookmarkStart w:id="0" w:name="_GoBack"/>
      <w:bookmarkEnd w:id="0"/>
      <w:r>
        <w:rPr>
          <w:rFonts w:hint="eastAsia" w:ascii="仿宋" w:hAnsi="仿宋" w:eastAsia="仿宋"/>
          <w:sz w:val="32"/>
          <w:szCs w:val="32"/>
        </w:rPr>
        <w:t>绩效指标体系，提高绩效评价指标体系的科学性、合理性。</w:t>
      </w:r>
    </w:p>
    <w:p w14:paraId="46654D75">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sz w:val="32"/>
          <w:szCs w:val="32"/>
          <w:lang w:val="en-US" w:eastAsia="zh-CN"/>
        </w:rPr>
        <w:t>.</w:t>
      </w:r>
      <w:r>
        <w:rPr>
          <w:rFonts w:hint="eastAsia" w:ascii="仿宋" w:hAnsi="仿宋" w:eastAsia="仿宋"/>
          <w:sz w:val="32"/>
          <w:szCs w:val="32"/>
        </w:rPr>
        <w:t>完善预算考核</w:t>
      </w:r>
    </w:p>
    <w:p w14:paraId="000C40E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进一步加强各项目的预算资金管理，加大对预算编制与执行的监督管理力度，提高预算资金使用效率。</w:t>
      </w:r>
    </w:p>
    <w:p w14:paraId="1D349344">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w:t>
      </w:r>
      <w:r>
        <w:rPr>
          <w:rFonts w:hint="eastAsia" w:ascii="仿宋" w:hAnsi="仿宋" w:eastAsia="仿宋"/>
          <w:sz w:val="32"/>
          <w:szCs w:val="32"/>
          <w:lang w:val="en-US" w:eastAsia="zh-CN"/>
        </w:rPr>
        <w:t>.</w:t>
      </w:r>
      <w:r>
        <w:rPr>
          <w:rFonts w:hint="eastAsia" w:ascii="仿宋" w:hAnsi="仿宋" w:eastAsia="仿宋"/>
          <w:sz w:val="32"/>
          <w:szCs w:val="32"/>
        </w:rPr>
        <w:t>重视结果应用</w:t>
      </w:r>
    </w:p>
    <w:p w14:paraId="0F8CD2A3">
      <w:pPr>
        <w:keepNext w:val="0"/>
        <w:keepLines w:val="0"/>
        <w:pageBreakBefore w:val="0"/>
        <w:widowControl w:val="0"/>
        <w:kinsoku/>
        <w:wordWrap/>
        <w:overflowPunct/>
        <w:topLinePunct w:val="0"/>
        <w:autoSpaceDE/>
        <w:autoSpaceDN/>
        <w:bidi w:val="0"/>
        <w:adjustRightInd/>
        <w:snapToGrid/>
        <w:spacing w:line="560" w:lineRule="exact"/>
        <w:ind w:firstLine="800" w:firstLineChars="250"/>
        <w:textAlignment w:val="auto"/>
        <w:rPr>
          <w:rFonts w:hint="eastAsia" w:ascii="仿宋" w:hAnsi="仿宋" w:eastAsia="仿宋"/>
          <w:sz w:val="32"/>
          <w:szCs w:val="32"/>
        </w:rPr>
      </w:pPr>
      <w:r>
        <w:rPr>
          <w:rFonts w:hint="eastAsia" w:ascii="仿宋" w:hAnsi="仿宋" w:eastAsia="仿宋"/>
          <w:sz w:val="32"/>
          <w:szCs w:val="32"/>
        </w:rPr>
        <w:t>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14:paraId="1EA5C54B">
      <w:pPr>
        <w:keepNext w:val="0"/>
        <w:keepLines w:val="0"/>
        <w:pageBreakBefore w:val="0"/>
        <w:widowControl w:val="0"/>
        <w:kinsoku/>
        <w:wordWrap/>
        <w:overflowPunct/>
        <w:topLinePunct w:val="0"/>
        <w:autoSpaceDE/>
        <w:autoSpaceDN/>
        <w:bidi w:val="0"/>
        <w:adjustRightInd/>
        <w:snapToGrid/>
        <w:spacing w:line="560" w:lineRule="exact"/>
        <w:ind w:firstLine="800" w:firstLineChars="250"/>
        <w:textAlignment w:val="auto"/>
        <w:rPr>
          <w:rFonts w:hint="eastAsia" w:ascii="仿宋" w:hAnsi="仿宋" w:eastAsia="仿宋"/>
          <w:sz w:val="32"/>
          <w:szCs w:val="32"/>
        </w:rPr>
      </w:pPr>
    </w:p>
    <w:p w14:paraId="7004C770">
      <w:pPr>
        <w:keepNext w:val="0"/>
        <w:keepLines w:val="0"/>
        <w:pageBreakBefore w:val="0"/>
        <w:widowControl w:val="0"/>
        <w:kinsoku/>
        <w:wordWrap/>
        <w:overflowPunct/>
        <w:topLinePunct w:val="0"/>
        <w:autoSpaceDE/>
        <w:autoSpaceDN/>
        <w:bidi w:val="0"/>
        <w:adjustRightInd/>
        <w:snapToGrid/>
        <w:spacing w:line="560" w:lineRule="exact"/>
        <w:ind w:firstLine="800" w:firstLineChars="250"/>
        <w:textAlignment w:val="auto"/>
        <w:rPr>
          <w:rFonts w:hint="eastAsia" w:ascii="仿宋" w:hAnsi="仿宋" w:eastAsia="仿宋"/>
          <w:sz w:val="32"/>
          <w:szCs w:val="32"/>
        </w:rPr>
      </w:pPr>
    </w:p>
    <w:p w14:paraId="67505BD2">
      <w:pPr>
        <w:keepNext w:val="0"/>
        <w:keepLines w:val="0"/>
        <w:pageBreakBefore w:val="0"/>
        <w:widowControl w:val="0"/>
        <w:kinsoku/>
        <w:wordWrap/>
        <w:overflowPunct/>
        <w:topLinePunct w:val="0"/>
        <w:autoSpaceDE/>
        <w:autoSpaceDN/>
        <w:bidi w:val="0"/>
        <w:adjustRightInd/>
        <w:snapToGrid/>
        <w:spacing w:line="560" w:lineRule="exact"/>
        <w:ind w:firstLine="4480" w:firstLineChars="1400"/>
        <w:textAlignment w:val="auto"/>
        <w:rPr>
          <w:rFonts w:hint="eastAsia" w:ascii="仿宋" w:hAnsi="仿宋" w:eastAsia="仿宋" w:cs="Times New Roman"/>
          <w:sz w:val="32"/>
          <w:szCs w:val="24"/>
          <w:lang w:val="en-US" w:eastAsia="zh-CN"/>
        </w:rPr>
      </w:pPr>
      <w:r>
        <w:rPr>
          <w:rFonts w:hint="eastAsia" w:ascii="仿宋" w:hAnsi="仿宋" w:eastAsia="仿宋" w:cs="Times New Roman"/>
          <w:sz w:val="32"/>
          <w:szCs w:val="24"/>
          <w:lang w:val="en-US" w:eastAsia="zh-CN"/>
        </w:rPr>
        <w:t>石家庄市人大常委会办公室</w:t>
      </w:r>
    </w:p>
    <w:p w14:paraId="700CDB63">
      <w:pPr>
        <w:keepNext w:val="0"/>
        <w:keepLines w:val="0"/>
        <w:pageBreakBefore w:val="0"/>
        <w:widowControl w:val="0"/>
        <w:kinsoku/>
        <w:wordWrap/>
        <w:overflowPunct/>
        <w:topLinePunct w:val="0"/>
        <w:autoSpaceDE/>
        <w:autoSpaceDN/>
        <w:bidi w:val="0"/>
        <w:adjustRightInd/>
        <w:snapToGrid/>
        <w:spacing w:line="560" w:lineRule="exact"/>
        <w:ind w:firstLine="5280" w:firstLineChars="1650"/>
        <w:textAlignment w:val="auto"/>
        <w:rPr>
          <w:rFonts w:ascii="黑体" w:hAnsi="黑体" w:eastAsia="黑体"/>
          <w:sz w:val="32"/>
          <w:szCs w:val="32"/>
        </w:rPr>
      </w:pPr>
      <w:r>
        <w:rPr>
          <w:rFonts w:hint="eastAsia" w:ascii="仿宋" w:hAnsi="仿宋" w:eastAsia="仿宋" w:cs="Times New Roman"/>
          <w:sz w:val="32"/>
          <w:szCs w:val="24"/>
        </w:rPr>
        <w:t>202</w:t>
      </w:r>
      <w:r>
        <w:rPr>
          <w:rFonts w:hint="eastAsia" w:ascii="仿宋" w:hAnsi="仿宋" w:eastAsia="仿宋" w:cs="Times New Roman"/>
          <w:sz w:val="32"/>
          <w:szCs w:val="24"/>
          <w:lang w:val="en-US" w:eastAsia="zh-CN"/>
        </w:rPr>
        <w:t>6</w:t>
      </w:r>
      <w:r>
        <w:rPr>
          <w:rFonts w:hint="eastAsia" w:ascii="仿宋" w:hAnsi="仿宋" w:eastAsia="仿宋" w:cs="Times New Roman"/>
          <w:sz w:val="32"/>
          <w:szCs w:val="24"/>
        </w:rPr>
        <w:t>年</w:t>
      </w:r>
      <w:r>
        <w:rPr>
          <w:rFonts w:hint="eastAsia" w:ascii="仿宋" w:hAnsi="仿宋" w:eastAsia="仿宋" w:cs="Times New Roman"/>
          <w:sz w:val="32"/>
          <w:szCs w:val="24"/>
          <w:lang w:val="en-US" w:eastAsia="zh-CN"/>
        </w:rPr>
        <w:t>4</w:t>
      </w:r>
      <w:r>
        <w:rPr>
          <w:rFonts w:hint="eastAsia" w:ascii="仿宋" w:hAnsi="仿宋" w:eastAsia="仿宋" w:cs="Times New Roman"/>
          <w:sz w:val="32"/>
          <w:szCs w:val="24"/>
        </w:rPr>
        <w:t>月</w:t>
      </w:r>
      <w:r>
        <w:rPr>
          <w:rFonts w:hint="eastAsia" w:ascii="仿宋" w:hAnsi="仿宋" w:eastAsia="仿宋" w:cs="Times New Roman"/>
          <w:sz w:val="32"/>
          <w:szCs w:val="24"/>
          <w:lang w:val="en-US" w:eastAsia="zh-CN"/>
        </w:rPr>
        <w:t>30</w:t>
      </w:r>
      <w:r>
        <w:rPr>
          <w:rFonts w:hint="eastAsia" w:ascii="仿宋" w:hAnsi="仿宋" w:eastAsia="仿宋" w:cs="Times New Roman"/>
          <w:sz w:val="32"/>
          <w:szCs w:val="24"/>
        </w:rPr>
        <w:t>日</w:t>
      </w:r>
    </w:p>
    <w:p w14:paraId="2DF93048">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506020202030204"/>
    <w:charset w:val="01"/>
    <w:family w:val="swiss"/>
    <w:pitch w:val="default"/>
    <w:sig w:usb0="00000287" w:usb1="00000000" w:usb2="00000000" w:usb3="00000000" w:csb0="2000009F" w:csb1="DFD7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panose1 w:val="020F0502020204030204"/>
    <w:charset w:val="00"/>
    <w:family w:val="swiss"/>
    <w:pitch w:val="default"/>
    <w:sig w:usb0="A00002EF" w:usb1="4000207B" w:usb2="00000000" w:usb3="00000000" w:csb0="2000009F" w:csb1="00000000"/>
  </w:font>
  <w:font w:name="方正仿宋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98564">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CF0E5B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56C1D73"/>
    <w:rsid w:val="07956271"/>
    <w:rsid w:val="09721397"/>
    <w:rsid w:val="0BB63BED"/>
    <w:rsid w:val="0EB97A43"/>
    <w:rsid w:val="0EBD2122"/>
    <w:rsid w:val="0F214EAE"/>
    <w:rsid w:val="11B71E6A"/>
    <w:rsid w:val="188501CA"/>
    <w:rsid w:val="1AAF0063"/>
    <w:rsid w:val="1B470C7F"/>
    <w:rsid w:val="1B740D26"/>
    <w:rsid w:val="1BE140DE"/>
    <w:rsid w:val="1C2361BA"/>
    <w:rsid w:val="1E542E40"/>
    <w:rsid w:val="221B7CB8"/>
    <w:rsid w:val="232D2425"/>
    <w:rsid w:val="248C197D"/>
    <w:rsid w:val="252959AF"/>
    <w:rsid w:val="277A6671"/>
    <w:rsid w:val="278C06A4"/>
    <w:rsid w:val="292D35B7"/>
    <w:rsid w:val="2FA80868"/>
    <w:rsid w:val="33EB6CFF"/>
    <w:rsid w:val="35A12947"/>
    <w:rsid w:val="37387040"/>
    <w:rsid w:val="37C10485"/>
    <w:rsid w:val="38A109B2"/>
    <w:rsid w:val="3B625C0A"/>
    <w:rsid w:val="3CEE1963"/>
    <w:rsid w:val="41725811"/>
    <w:rsid w:val="436B78D3"/>
    <w:rsid w:val="46103126"/>
    <w:rsid w:val="46804174"/>
    <w:rsid w:val="4C9C27FE"/>
    <w:rsid w:val="502A44B1"/>
    <w:rsid w:val="512260B4"/>
    <w:rsid w:val="51405FD9"/>
    <w:rsid w:val="51F42604"/>
    <w:rsid w:val="52BD6ACB"/>
    <w:rsid w:val="54D94EDD"/>
    <w:rsid w:val="55537534"/>
    <w:rsid w:val="55EF7BB3"/>
    <w:rsid w:val="561A74F1"/>
    <w:rsid w:val="582C5C37"/>
    <w:rsid w:val="58B17416"/>
    <w:rsid w:val="597244E8"/>
    <w:rsid w:val="5EB71C30"/>
    <w:rsid w:val="659E3545"/>
    <w:rsid w:val="66AF0CE5"/>
    <w:rsid w:val="68AC2130"/>
    <w:rsid w:val="6A832EF5"/>
    <w:rsid w:val="6AC537CF"/>
    <w:rsid w:val="6C2E3F07"/>
    <w:rsid w:val="6E5B14A6"/>
    <w:rsid w:val="711B255E"/>
    <w:rsid w:val="74310B14"/>
    <w:rsid w:val="7BB51E06"/>
    <w:rsid w:val="7C387F7C"/>
    <w:rsid w:val="7FE83423"/>
    <w:rsid w:val="DFECE334"/>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toc 2"/>
    <w:basedOn w:val="1"/>
    <w:next w:val="1"/>
    <w:qFormat/>
    <w:uiPriority w:val="0"/>
    <w:pPr>
      <w:ind w:left="420" w:leftChars="200"/>
    </w:pPr>
    <w:rPr>
      <w:szCs w:val="24"/>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573</Words>
  <Characters>590</Characters>
  <Lines>4</Lines>
  <Paragraphs>1</Paragraphs>
  <TotalTime>9</TotalTime>
  <ScaleCrop>false</ScaleCrop>
  <LinksUpToDate>false</LinksUpToDate>
  <CharactersWithSpaces>612</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Kylin</cp:lastModifiedBy>
  <cp:lastPrinted>2026-03-03T09:23:00Z</cp:lastPrinted>
  <dcterms:modified xsi:type="dcterms:W3CDTF">2026-05-21T11:33:53Z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