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32BBED">
      <w:pPr>
        <w:keepNext w:val="0"/>
        <w:keepLines w:val="0"/>
        <w:pageBreakBefore w:val="0"/>
        <w:widowControl w:val="0"/>
        <w:kinsoku/>
        <w:wordWrap/>
        <w:overflowPunct/>
        <w:topLinePunct w:val="0"/>
        <w:autoSpaceDE/>
        <w:autoSpaceDN/>
        <w:bidi w:val="0"/>
        <w:adjustRightInd/>
        <w:snapToGrid/>
        <w:spacing w:line="780" w:lineRule="exact"/>
        <w:jc w:val="both"/>
        <w:textAlignment w:val="auto"/>
        <w:outlineLvl w:val="9"/>
        <w:rPr>
          <w:rFonts w:hint="eastAsia" w:ascii="宋体" w:hAnsi="宋体" w:eastAsia="宋体" w:cs="宋体"/>
          <w:b/>
          <w:bCs/>
          <w:sz w:val="44"/>
          <w:szCs w:val="44"/>
          <w:highlight w:val="none"/>
          <w:shd w:val="clear" w:color="auto" w:fill="auto"/>
        </w:rPr>
      </w:pPr>
    </w:p>
    <w:p w14:paraId="451DD04E">
      <w:pPr>
        <w:keepNext w:val="0"/>
        <w:keepLines w:val="0"/>
        <w:pageBreakBefore w:val="0"/>
        <w:widowControl w:val="0"/>
        <w:kinsoku/>
        <w:wordWrap/>
        <w:overflowPunct/>
        <w:topLinePunct w:val="0"/>
        <w:autoSpaceDE/>
        <w:autoSpaceDN/>
        <w:bidi w:val="0"/>
        <w:adjustRightInd/>
        <w:snapToGrid/>
        <w:textAlignment w:val="auto"/>
        <w:outlineLvl w:val="9"/>
        <w:rPr>
          <w:rFonts w:hint="eastAsia"/>
        </w:rPr>
      </w:pPr>
    </w:p>
    <w:p w14:paraId="38C73C51">
      <w:pPr>
        <w:keepNext w:val="0"/>
        <w:keepLines w:val="0"/>
        <w:pageBreakBefore w:val="0"/>
        <w:widowControl w:val="0"/>
        <w:kinsoku/>
        <w:wordWrap/>
        <w:overflowPunct/>
        <w:topLinePunct w:val="0"/>
        <w:autoSpaceDE/>
        <w:autoSpaceDN/>
        <w:bidi w:val="0"/>
        <w:adjustRightInd/>
        <w:snapToGrid/>
        <w:textAlignment w:val="auto"/>
        <w:outlineLvl w:val="9"/>
        <w:rPr>
          <w:rFonts w:hint="eastAsia"/>
        </w:rPr>
      </w:pPr>
    </w:p>
    <w:p w14:paraId="1CED22AF">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highlight w:val="none"/>
          <w:shd w:val="clear" w:color="auto" w:fill="auto"/>
          <w:lang w:eastAsia="zh-CN"/>
        </w:rPr>
      </w:pPr>
      <w:r>
        <w:rPr>
          <w:rFonts w:hint="eastAsia" w:ascii="宋体" w:hAnsi="宋体" w:cs="宋体"/>
          <w:b/>
          <w:bCs/>
          <w:kern w:val="0"/>
          <w:sz w:val="44"/>
          <w:szCs w:val="44"/>
          <w:highlight w:val="none"/>
          <w:shd w:val="clear" w:color="auto" w:fill="auto"/>
          <w:lang w:val="en-US" w:eastAsia="zh-CN"/>
        </w:rPr>
        <w:t>中共</w:t>
      </w:r>
      <w:r>
        <w:rPr>
          <w:rFonts w:hint="eastAsia" w:ascii="宋体" w:hAnsi="宋体" w:cs="宋体"/>
          <w:b/>
          <w:bCs/>
          <w:kern w:val="0"/>
          <w:sz w:val="44"/>
          <w:szCs w:val="44"/>
          <w:highlight w:val="none"/>
          <w:shd w:val="clear" w:color="auto" w:fill="auto"/>
          <w:lang w:eastAsia="zh-CN"/>
        </w:rPr>
        <w:t>石家庄市</w:t>
      </w:r>
      <w:r>
        <w:rPr>
          <w:rFonts w:hint="eastAsia" w:ascii="宋体" w:hAnsi="宋体" w:cs="宋体"/>
          <w:b/>
          <w:bCs/>
          <w:kern w:val="0"/>
          <w:sz w:val="44"/>
          <w:szCs w:val="44"/>
          <w:highlight w:val="none"/>
          <w:shd w:val="clear" w:color="auto" w:fill="auto"/>
          <w:lang w:val="en-US" w:eastAsia="zh-CN"/>
        </w:rPr>
        <w:t>委老干部局</w:t>
      </w:r>
    </w:p>
    <w:p w14:paraId="707C0DA4">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highlight w:val="none"/>
          <w:shd w:val="clear" w:color="auto" w:fill="auto"/>
          <w:lang w:eastAsia="zh-CN"/>
        </w:rPr>
      </w:pPr>
      <w:r>
        <w:rPr>
          <w:rFonts w:hint="eastAsia" w:ascii="宋体" w:hAnsi="宋体" w:cs="宋体"/>
          <w:b/>
          <w:bCs/>
          <w:kern w:val="0"/>
          <w:sz w:val="44"/>
          <w:szCs w:val="44"/>
          <w:highlight w:val="none"/>
          <w:shd w:val="clear" w:color="auto" w:fill="auto"/>
          <w:lang w:val="en-US" w:eastAsia="zh-CN"/>
        </w:rPr>
        <w:t>2025部门年度绩效</w:t>
      </w:r>
      <w:r>
        <w:rPr>
          <w:rFonts w:hint="eastAsia" w:ascii="宋体" w:hAnsi="宋体" w:cs="宋体"/>
          <w:b/>
          <w:bCs/>
          <w:kern w:val="0"/>
          <w:sz w:val="44"/>
          <w:szCs w:val="44"/>
          <w:highlight w:val="none"/>
          <w:shd w:val="clear" w:color="auto" w:fill="auto"/>
          <w:lang w:eastAsia="zh-CN"/>
        </w:rPr>
        <w:t>自评</w:t>
      </w:r>
      <w:r>
        <w:rPr>
          <w:rFonts w:hint="eastAsia" w:ascii="宋体" w:hAnsi="宋体" w:cs="宋体"/>
          <w:b/>
          <w:bCs/>
          <w:kern w:val="0"/>
          <w:sz w:val="44"/>
          <w:szCs w:val="44"/>
          <w:highlight w:val="none"/>
          <w:shd w:val="clear" w:color="auto" w:fill="auto"/>
          <w:lang w:val="en-US" w:eastAsia="zh-CN"/>
        </w:rPr>
        <w:t>工作</w:t>
      </w:r>
      <w:r>
        <w:rPr>
          <w:rFonts w:hint="eastAsia" w:ascii="宋体" w:hAnsi="宋体" w:cs="宋体"/>
          <w:b/>
          <w:bCs/>
          <w:kern w:val="0"/>
          <w:sz w:val="44"/>
          <w:szCs w:val="44"/>
          <w:highlight w:val="none"/>
          <w:shd w:val="clear" w:color="auto" w:fill="auto"/>
          <w:lang w:eastAsia="zh-CN"/>
        </w:rPr>
        <w:t>报告</w:t>
      </w:r>
    </w:p>
    <w:p w14:paraId="7F895D09">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default" w:ascii="方正小标宋简体" w:hAnsi="Calibri" w:eastAsia="方正小标宋简体" w:cs="黑体"/>
          <w:b/>
          <w:bCs/>
          <w:sz w:val="44"/>
          <w:szCs w:val="44"/>
          <w:highlight w:val="none"/>
          <w:shd w:val="clear" w:color="auto" w:fill="auto"/>
          <w:lang w:val="en-US" w:eastAsia="zh-CN"/>
        </w:rPr>
      </w:pPr>
    </w:p>
    <w:p w14:paraId="63B6854F">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14:paraId="7B6601A9">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14:paraId="254F05B6">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14:paraId="7C314F6F">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14:paraId="47C7A30A">
      <w:pPr>
        <w:keepNext w:val="0"/>
        <w:keepLines w:val="0"/>
        <w:pageBreakBefore w:val="0"/>
        <w:widowControl w:val="0"/>
        <w:kinsoku/>
        <w:wordWrap/>
        <w:overflowPunct/>
        <w:topLinePunct w:val="0"/>
        <w:autoSpaceDE/>
        <w:autoSpaceDN/>
        <w:bidi w:val="0"/>
        <w:adjustRightInd/>
        <w:snapToGrid/>
        <w:spacing w:before="240" w:after="60" w:line="780" w:lineRule="exact"/>
        <w:textAlignment w:val="auto"/>
        <w:rPr>
          <w:rFonts w:ascii="仿宋_GB2312" w:hAnsi="Calibri" w:eastAsia="仿宋_GB2312"/>
          <w:bCs/>
          <w:kern w:val="28"/>
          <w:sz w:val="32"/>
          <w:szCs w:val="20"/>
          <w:highlight w:val="none"/>
          <w:shd w:val="clear" w:color="auto" w:fill="auto"/>
          <w:lang w:val="zh-CN"/>
        </w:rPr>
      </w:pPr>
    </w:p>
    <w:p w14:paraId="3BB2F4F0">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eastAsia" w:eastAsia="宋体" w:cs="Times New Roman"/>
          <w:b/>
          <w:bCs/>
          <w:sz w:val="32"/>
          <w:szCs w:val="32"/>
          <w:highlight w:val="none"/>
          <w:shd w:val="clear" w:color="auto" w:fill="auto"/>
          <w:lang w:val="en-US" w:eastAsia="zh-CN"/>
        </w:rPr>
      </w:pPr>
    </w:p>
    <w:p w14:paraId="4E037216">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default" w:ascii="仿宋_GB2312" w:hAnsi="Calibri" w:eastAsia="仿宋_GB2312"/>
          <w:b/>
          <w:bCs w:val="0"/>
          <w:kern w:val="28"/>
          <w:sz w:val="32"/>
          <w:szCs w:val="20"/>
          <w:highlight w:val="none"/>
          <w:shd w:val="clear" w:color="auto" w:fill="auto"/>
          <w:lang w:val="en-US" w:eastAsia="zh-CN"/>
        </w:rPr>
      </w:pPr>
      <w:r>
        <w:rPr>
          <w:rFonts w:hint="eastAsia" w:cs="Times New Roman"/>
          <w:b/>
          <w:bCs/>
          <w:sz w:val="32"/>
          <w:szCs w:val="32"/>
          <w:highlight w:val="none"/>
          <w:shd w:val="clear" w:color="auto" w:fill="auto"/>
          <w:lang w:val="en-US" w:eastAsia="zh-CN"/>
        </w:rPr>
        <w:t>中共石家庄市委老干部局</w:t>
      </w:r>
    </w:p>
    <w:p w14:paraId="61F5EE52">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仿宋_GB2312" w:hAnsi="Calibri" w:eastAsia="仿宋_GB2312"/>
          <w:b/>
          <w:bCs w:val="0"/>
          <w:sz w:val="32"/>
          <w:szCs w:val="20"/>
          <w:highlight w:val="none"/>
          <w:shd w:val="clear" w:color="auto" w:fill="auto"/>
          <w:lang w:val="zh-CN"/>
        </w:rPr>
      </w:pPr>
      <w:bookmarkStart w:id="0" w:name="_Toc3470"/>
    </w:p>
    <w:p w14:paraId="543B3068">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仿宋_GB2312" w:hAnsi="Calibri" w:eastAsia="仿宋_GB2312"/>
          <w:b/>
          <w:bCs w:val="0"/>
          <w:sz w:val="32"/>
          <w:szCs w:val="20"/>
          <w:highlight w:val="none"/>
          <w:shd w:val="clear" w:color="auto" w:fill="auto"/>
          <w:lang w:val="zh-CN"/>
        </w:rPr>
      </w:pPr>
    </w:p>
    <w:bookmarkEnd w:id="0"/>
    <w:p w14:paraId="3CF8C026">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eastAsia" w:ascii="宋体" w:hAnsi="宋体" w:eastAsia="宋体" w:cs="宋体"/>
          <w:sz w:val="44"/>
          <w:szCs w:val="44"/>
          <w:highlight w:val="none"/>
          <w:shd w:val="clear" w:color="auto" w:fill="auto"/>
        </w:rPr>
      </w:pPr>
      <w:r>
        <w:rPr>
          <w:rFonts w:hint="eastAsia" w:ascii="仿宋" w:hAnsi="仿宋" w:eastAsia="仿宋" w:cs="仿宋"/>
          <w:b/>
          <w:bCs/>
          <w:sz w:val="28"/>
          <w:szCs w:val="28"/>
          <w:highlight w:val="none"/>
          <w:shd w:val="clear" w:color="auto" w:fill="auto"/>
          <w:lang w:val="zh-CN" w:eastAsia="zh-CN"/>
        </w:rPr>
        <w:t>202</w:t>
      </w:r>
      <w:r>
        <w:rPr>
          <w:rFonts w:hint="eastAsia" w:ascii="仿宋" w:hAnsi="仿宋" w:eastAsia="仿宋" w:cs="仿宋"/>
          <w:b/>
          <w:bCs/>
          <w:sz w:val="28"/>
          <w:szCs w:val="28"/>
          <w:highlight w:val="none"/>
          <w:shd w:val="clear" w:color="auto" w:fill="auto"/>
          <w:lang w:val="en-US" w:eastAsia="zh-CN"/>
        </w:rPr>
        <w:t>6</w:t>
      </w:r>
      <w:r>
        <w:rPr>
          <w:rFonts w:hint="eastAsia" w:ascii="仿宋" w:hAnsi="仿宋" w:eastAsia="仿宋" w:cs="仿宋"/>
          <w:b/>
          <w:bCs/>
          <w:sz w:val="28"/>
          <w:szCs w:val="28"/>
          <w:highlight w:val="none"/>
          <w:shd w:val="clear" w:color="auto" w:fill="auto"/>
          <w:lang w:val="zh-CN" w:eastAsia="zh-CN"/>
        </w:rPr>
        <w:t>年</w:t>
      </w:r>
      <w:r>
        <w:rPr>
          <w:rFonts w:hint="eastAsia" w:ascii="仿宋" w:hAnsi="仿宋" w:eastAsia="仿宋" w:cs="仿宋"/>
          <w:b/>
          <w:bCs/>
          <w:sz w:val="28"/>
          <w:szCs w:val="28"/>
          <w:highlight w:val="none"/>
          <w:shd w:val="clear" w:color="auto" w:fill="auto"/>
          <w:lang w:val="en-US" w:eastAsia="zh-CN"/>
        </w:rPr>
        <w:t>4</w:t>
      </w:r>
      <w:r>
        <w:rPr>
          <w:rFonts w:hint="eastAsia" w:ascii="仿宋" w:hAnsi="仿宋" w:eastAsia="仿宋" w:cs="仿宋"/>
          <w:b/>
          <w:bCs/>
          <w:sz w:val="28"/>
          <w:szCs w:val="28"/>
          <w:highlight w:val="none"/>
          <w:shd w:val="clear" w:color="auto" w:fill="auto"/>
          <w:lang w:val="zh-CN" w:eastAsia="zh-CN"/>
        </w:rPr>
        <w:t>月</w:t>
      </w:r>
    </w:p>
    <w:p w14:paraId="6C87CEC8">
      <w:pPr>
        <w:spacing w:line="360" w:lineRule="auto"/>
        <w:jc w:val="both"/>
        <w:rPr>
          <w:rFonts w:hint="eastAsia" w:ascii="宋体" w:hAnsi="宋体" w:eastAsia="宋体" w:cs="宋体"/>
          <w:sz w:val="44"/>
          <w:szCs w:val="44"/>
          <w:highlight w:val="none"/>
          <w:shd w:val="clear" w:color="auto" w:fill="auto"/>
        </w:rPr>
      </w:pPr>
    </w:p>
    <w:p w14:paraId="091174BD">
      <w:pPr>
        <w:spacing w:line="360" w:lineRule="auto"/>
        <w:jc w:val="both"/>
        <w:rPr>
          <w:rFonts w:hint="eastAsia" w:ascii="仿宋_GB2312" w:hAnsi="Calibri" w:eastAsia="仿宋_GB2312"/>
          <w:bCs/>
          <w:sz w:val="32"/>
          <w:szCs w:val="20"/>
          <w:highlight w:val="none"/>
          <w:shd w:val="clear" w:color="auto" w:fill="auto"/>
          <w:lang w:val="zh-CN"/>
        </w:rPr>
        <w:sectPr>
          <w:headerReference r:id="rId3" w:type="default"/>
          <w:pgSz w:w="11906" w:h="16838"/>
          <w:pgMar w:top="2041" w:right="1304" w:bottom="1701" w:left="1531"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222A14AA">
      <w:pPr>
        <w:keepNext w:val="0"/>
        <w:keepLines w:val="0"/>
        <w:pageBreakBefore w:val="0"/>
        <w:widowControl w:val="0"/>
        <w:kinsoku/>
        <w:wordWrap/>
        <w:overflowPunct/>
        <w:topLinePunct w:val="0"/>
        <w:autoSpaceDE/>
        <w:autoSpaceDN/>
        <w:bidi w:val="0"/>
        <w:adjustRightInd/>
        <w:snapToGrid/>
        <w:spacing w:before="0" w:beforeLines="0" w:after="157" w:afterLines="50" w:line="240" w:lineRule="auto"/>
        <w:ind w:left="0" w:leftChars="0" w:right="0" w:rightChars="0" w:firstLine="0" w:firstLineChars="0"/>
        <w:jc w:val="center"/>
        <w:textAlignment w:val="auto"/>
        <w:rPr>
          <w:rFonts w:ascii="Times New Roman" w:hAnsi="Times New Roman"/>
          <w:b/>
          <w:bCs/>
        </w:rPr>
      </w:pPr>
      <w:r>
        <w:rPr>
          <w:rFonts w:ascii="Times New Roman" w:hAnsi="Times New Roman" w:eastAsia="宋体"/>
          <w:b/>
          <w:bCs/>
          <w:sz w:val="40"/>
          <w:szCs w:val="48"/>
        </w:rPr>
        <w:t>目</w:t>
      </w:r>
      <w:r>
        <w:rPr>
          <w:rFonts w:hint="eastAsia" w:ascii="Times New Roman" w:hAnsi="Times New Roman" w:eastAsia="宋体"/>
          <w:b/>
          <w:bCs/>
          <w:sz w:val="40"/>
          <w:szCs w:val="48"/>
          <w:lang w:val="en-US" w:eastAsia="zh-CN"/>
        </w:rPr>
        <w:t xml:space="preserve"> </w:t>
      </w:r>
      <w:r>
        <w:rPr>
          <w:rFonts w:ascii="Times New Roman" w:hAnsi="Times New Roman" w:eastAsia="宋体"/>
          <w:b/>
          <w:bCs/>
          <w:sz w:val="40"/>
          <w:szCs w:val="48"/>
        </w:rPr>
        <w:t>录</w:t>
      </w:r>
    </w:p>
    <w:p w14:paraId="6A7783F3">
      <w:pPr>
        <w:pStyle w:val="8"/>
        <w:tabs>
          <w:tab w:val="right" w:leader="dot" w:pos="9071"/>
        </w:tabs>
        <w:rPr>
          <w:sz w:val="28"/>
          <w:szCs w:val="36"/>
        </w:rPr>
      </w:pPr>
      <w:r>
        <w:rPr>
          <w:rFonts w:hint="eastAsia" w:ascii="Times New Roman" w:hAnsi="Times New Roman" w:cs="宋体"/>
          <w:b/>
          <w:bCs/>
          <w:kern w:val="0"/>
          <w:sz w:val="44"/>
          <w:szCs w:val="44"/>
        </w:rPr>
        <w:fldChar w:fldCharType="begin"/>
      </w:r>
      <w:r>
        <w:rPr>
          <w:rFonts w:hint="eastAsia" w:ascii="Times New Roman" w:hAnsi="Times New Roman" w:cs="宋体"/>
          <w:b/>
          <w:bCs/>
          <w:kern w:val="0"/>
          <w:sz w:val="44"/>
          <w:szCs w:val="44"/>
        </w:rPr>
        <w:instrText xml:space="preserve">TOC \o "1-2" \h \u </w:instrText>
      </w:r>
      <w:r>
        <w:rPr>
          <w:rFonts w:hint="eastAsia" w:ascii="Times New Roman" w:hAnsi="Times New Roman" w:cs="宋体"/>
          <w:b/>
          <w:bCs/>
          <w:kern w:val="0"/>
          <w:sz w:val="44"/>
          <w:szCs w:val="44"/>
        </w:rPr>
        <w:fldChar w:fldCharType="separate"/>
      </w: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_Toc4051 </w:instrText>
      </w:r>
      <w:r>
        <w:rPr>
          <w:rFonts w:hint="eastAsia" w:ascii="Times New Roman" w:hAnsi="Times New Roman" w:cs="宋体"/>
          <w:bCs/>
          <w:kern w:val="0"/>
          <w:sz w:val="28"/>
          <w:szCs w:val="56"/>
        </w:rPr>
        <w:fldChar w:fldCharType="separate"/>
      </w:r>
      <w:r>
        <w:rPr>
          <w:rFonts w:hint="eastAsia" w:ascii="Times New Roman" w:hAnsi="Times New Roman" w:eastAsia="黑体" w:cs="黑体"/>
          <w:sz w:val="28"/>
          <w:szCs w:val="44"/>
          <w:highlight w:val="none"/>
          <w:shd w:val="clear" w:color="auto" w:fill="auto"/>
        </w:rPr>
        <w:t>一、绩效自评工作组织开展情况</w:t>
      </w:r>
      <w:r>
        <w:rPr>
          <w:sz w:val="28"/>
          <w:szCs w:val="36"/>
        </w:rPr>
        <w:tab/>
      </w:r>
      <w:r>
        <w:rPr>
          <w:sz w:val="28"/>
          <w:szCs w:val="36"/>
        </w:rPr>
        <w:fldChar w:fldCharType="begin"/>
      </w:r>
      <w:r>
        <w:rPr>
          <w:sz w:val="28"/>
          <w:szCs w:val="36"/>
        </w:rPr>
        <w:instrText xml:space="preserve"> PAGEREF _Toc4051 \h </w:instrText>
      </w:r>
      <w:r>
        <w:rPr>
          <w:sz w:val="28"/>
          <w:szCs w:val="36"/>
        </w:rPr>
        <w:fldChar w:fldCharType="separate"/>
      </w:r>
      <w:r>
        <w:rPr>
          <w:sz w:val="28"/>
          <w:szCs w:val="36"/>
        </w:rPr>
        <w:t>- 1 -</w:t>
      </w:r>
      <w:r>
        <w:rPr>
          <w:sz w:val="28"/>
          <w:szCs w:val="36"/>
        </w:rPr>
        <w:fldChar w:fldCharType="end"/>
      </w:r>
      <w:r>
        <w:rPr>
          <w:rFonts w:hint="eastAsia" w:ascii="Times New Roman" w:hAnsi="Times New Roman" w:cs="宋体"/>
          <w:bCs/>
          <w:kern w:val="0"/>
          <w:sz w:val="28"/>
          <w:szCs w:val="56"/>
        </w:rPr>
        <w:fldChar w:fldCharType="end"/>
      </w:r>
    </w:p>
    <w:p w14:paraId="6A8D1EA9">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_Toc10339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一</w:t>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组织与实施情况</w:t>
      </w:r>
      <w:r>
        <w:rPr>
          <w:sz w:val="28"/>
          <w:szCs w:val="36"/>
        </w:rPr>
        <w:tab/>
      </w:r>
      <w:r>
        <w:rPr>
          <w:sz w:val="28"/>
          <w:szCs w:val="36"/>
        </w:rPr>
        <w:fldChar w:fldCharType="begin"/>
      </w:r>
      <w:r>
        <w:rPr>
          <w:sz w:val="28"/>
          <w:szCs w:val="36"/>
        </w:rPr>
        <w:instrText xml:space="preserve"> PAGEREF _Toc10339 \h </w:instrText>
      </w:r>
      <w:r>
        <w:rPr>
          <w:sz w:val="28"/>
          <w:szCs w:val="36"/>
        </w:rPr>
        <w:fldChar w:fldCharType="separate"/>
      </w:r>
      <w:r>
        <w:rPr>
          <w:sz w:val="28"/>
          <w:szCs w:val="36"/>
        </w:rPr>
        <w:t>- 1 -</w:t>
      </w:r>
      <w:r>
        <w:rPr>
          <w:sz w:val="28"/>
          <w:szCs w:val="36"/>
        </w:rPr>
        <w:fldChar w:fldCharType="end"/>
      </w:r>
      <w:r>
        <w:rPr>
          <w:rFonts w:hint="eastAsia" w:ascii="Times New Roman" w:hAnsi="Times New Roman" w:cs="宋体"/>
          <w:bCs/>
          <w:kern w:val="0"/>
          <w:sz w:val="28"/>
          <w:szCs w:val="56"/>
        </w:rPr>
        <w:fldChar w:fldCharType="end"/>
      </w:r>
    </w:p>
    <w:p w14:paraId="6AABDF33">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_Toc16266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二</w:t>
      </w:r>
      <w:r>
        <w:rPr>
          <w:rFonts w:hint="eastAsia" w:ascii="Times New Roman" w:hAnsi="Times New Roman" w:eastAsia="楷体" w:cs="楷体"/>
          <w:sz w:val="28"/>
          <w:szCs w:val="44"/>
          <w:highlight w:val="none"/>
          <w:shd w:val="clear" w:color="auto" w:fill="auto"/>
          <w:lang w:eastAsia="zh-CN"/>
        </w:rPr>
        <w:t>）预算安排及资金分配拨付</w:t>
      </w:r>
      <w:r>
        <w:rPr>
          <w:rFonts w:hint="eastAsia" w:ascii="Times New Roman" w:hAnsi="Times New Roman" w:eastAsia="楷体" w:cs="楷体"/>
          <w:sz w:val="28"/>
          <w:szCs w:val="44"/>
          <w:highlight w:val="none"/>
          <w:shd w:val="clear" w:color="auto" w:fill="auto"/>
          <w:lang w:val="en-US" w:eastAsia="zh-CN"/>
        </w:rPr>
        <w:t>情况</w:t>
      </w:r>
      <w:r>
        <w:rPr>
          <w:sz w:val="28"/>
          <w:szCs w:val="36"/>
        </w:rPr>
        <w:tab/>
      </w:r>
      <w:r>
        <w:rPr>
          <w:sz w:val="28"/>
          <w:szCs w:val="36"/>
        </w:rPr>
        <w:fldChar w:fldCharType="begin"/>
      </w:r>
      <w:r>
        <w:rPr>
          <w:sz w:val="28"/>
          <w:szCs w:val="36"/>
        </w:rPr>
        <w:instrText xml:space="preserve"> PAGEREF _Toc16266 \h </w:instrText>
      </w:r>
      <w:r>
        <w:rPr>
          <w:sz w:val="28"/>
          <w:szCs w:val="36"/>
        </w:rPr>
        <w:fldChar w:fldCharType="separate"/>
      </w:r>
      <w:r>
        <w:rPr>
          <w:sz w:val="28"/>
          <w:szCs w:val="36"/>
        </w:rPr>
        <w:t>- 2 -</w:t>
      </w:r>
      <w:r>
        <w:rPr>
          <w:sz w:val="28"/>
          <w:szCs w:val="36"/>
        </w:rPr>
        <w:fldChar w:fldCharType="end"/>
      </w:r>
      <w:r>
        <w:rPr>
          <w:rFonts w:hint="eastAsia" w:ascii="Times New Roman" w:hAnsi="Times New Roman" w:cs="宋体"/>
          <w:bCs/>
          <w:kern w:val="0"/>
          <w:sz w:val="28"/>
          <w:szCs w:val="56"/>
        </w:rPr>
        <w:fldChar w:fldCharType="end"/>
      </w:r>
    </w:p>
    <w:p w14:paraId="5659EA56">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_Toc15552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三</w:t>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制度建设情况</w:t>
      </w:r>
      <w:r>
        <w:rPr>
          <w:sz w:val="28"/>
          <w:szCs w:val="36"/>
        </w:rPr>
        <w:tab/>
      </w:r>
      <w:r>
        <w:rPr>
          <w:sz w:val="28"/>
          <w:szCs w:val="36"/>
        </w:rPr>
        <w:fldChar w:fldCharType="begin"/>
      </w:r>
      <w:r>
        <w:rPr>
          <w:sz w:val="28"/>
          <w:szCs w:val="36"/>
        </w:rPr>
        <w:instrText xml:space="preserve"> PAGEREF _Toc15552 \h </w:instrText>
      </w:r>
      <w:r>
        <w:rPr>
          <w:sz w:val="28"/>
          <w:szCs w:val="36"/>
        </w:rPr>
        <w:fldChar w:fldCharType="separate"/>
      </w:r>
      <w:r>
        <w:rPr>
          <w:sz w:val="28"/>
          <w:szCs w:val="36"/>
        </w:rPr>
        <w:t>- 2 -</w:t>
      </w:r>
      <w:r>
        <w:rPr>
          <w:sz w:val="28"/>
          <w:szCs w:val="36"/>
        </w:rPr>
        <w:fldChar w:fldCharType="end"/>
      </w:r>
      <w:r>
        <w:rPr>
          <w:rFonts w:hint="eastAsia" w:ascii="Times New Roman" w:hAnsi="Times New Roman" w:cs="宋体"/>
          <w:bCs/>
          <w:kern w:val="0"/>
          <w:sz w:val="28"/>
          <w:szCs w:val="56"/>
        </w:rPr>
        <w:fldChar w:fldCharType="end"/>
      </w:r>
    </w:p>
    <w:p w14:paraId="07D6A656">
      <w:pPr>
        <w:pStyle w:val="8"/>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_Toc3474 </w:instrText>
      </w:r>
      <w:r>
        <w:rPr>
          <w:rFonts w:hint="eastAsia" w:ascii="Times New Roman" w:hAnsi="Times New Roman" w:cs="宋体"/>
          <w:bCs/>
          <w:kern w:val="0"/>
          <w:sz w:val="28"/>
          <w:szCs w:val="56"/>
        </w:rPr>
        <w:fldChar w:fldCharType="separate"/>
      </w:r>
      <w:r>
        <w:rPr>
          <w:rFonts w:hint="eastAsia" w:ascii="Times New Roman" w:hAnsi="Times New Roman" w:eastAsia="黑体" w:cs="黑体"/>
          <w:sz w:val="28"/>
          <w:szCs w:val="44"/>
          <w:highlight w:val="none"/>
          <w:shd w:val="clear" w:color="auto" w:fill="auto"/>
        </w:rPr>
        <w:t>二、绩效目标实现情况</w:t>
      </w:r>
      <w:r>
        <w:rPr>
          <w:sz w:val="28"/>
          <w:szCs w:val="36"/>
        </w:rPr>
        <w:tab/>
      </w:r>
      <w:r>
        <w:rPr>
          <w:sz w:val="28"/>
          <w:szCs w:val="36"/>
        </w:rPr>
        <w:fldChar w:fldCharType="begin"/>
      </w:r>
      <w:r>
        <w:rPr>
          <w:sz w:val="28"/>
          <w:szCs w:val="36"/>
        </w:rPr>
        <w:instrText xml:space="preserve"> PAGEREF _Toc3474 \h </w:instrText>
      </w:r>
      <w:r>
        <w:rPr>
          <w:sz w:val="28"/>
          <w:szCs w:val="36"/>
        </w:rPr>
        <w:fldChar w:fldCharType="separate"/>
      </w:r>
      <w:r>
        <w:rPr>
          <w:sz w:val="28"/>
          <w:szCs w:val="36"/>
        </w:rPr>
        <w:t>- 3 -</w:t>
      </w:r>
      <w:r>
        <w:rPr>
          <w:sz w:val="28"/>
          <w:szCs w:val="36"/>
        </w:rPr>
        <w:fldChar w:fldCharType="end"/>
      </w:r>
      <w:r>
        <w:rPr>
          <w:rFonts w:hint="eastAsia" w:ascii="Times New Roman" w:hAnsi="Times New Roman" w:cs="宋体"/>
          <w:bCs/>
          <w:kern w:val="0"/>
          <w:sz w:val="28"/>
          <w:szCs w:val="56"/>
        </w:rPr>
        <w:fldChar w:fldCharType="end"/>
      </w:r>
    </w:p>
    <w:p w14:paraId="07BA5B69">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_Toc20591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一</w:t>
      </w:r>
      <w:r>
        <w:rPr>
          <w:rFonts w:hint="eastAsia" w:ascii="Times New Roman" w:hAnsi="Times New Roman" w:eastAsia="楷体" w:cs="楷体"/>
          <w:sz w:val="28"/>
          <w:szCs w:val="44"/>
          <w:highlight w:val="none"/>
          <w:shd w:val="clear" w:color="auto" w:fill="auto"/>
          <w:lang w:eastAsia="zh-CN"/>
        </w:rPr>
        <w:t>）部门总体工作开展情况</w:t>
      </w:r>
      <w:r>
        <w:rPr>
          <w:sz w:val="28"/>
          <w:szCs w:val="36"/>
        </w:rPr>
        <w:tab/>
      </w:r>
      <w:r>
        <w:rPr>
          <w:sz w:val="28"/>
          <w:szCs w:val="36"/>
        </w:rPr>
        <w:fldChar w:fldCharType="begin"/>
      </w:r>
      <w:r>
        <w:rPr>
          <w:sz w:val="28"/>
          <w:szCs w:val="36"/>
        </w:rPr>
        <w:instrText xml:space="preserve"> PAGEREF _Toc20591 \h </w:instrText>
      </w:r>
      <w:r>
        <w:rPr>
          <w:sz w:val="28"/>
          <w:szCs w:val="36"/>
        </w:rPr>
        <w:fldChar w:fldCharType="separate"/>
      </w:r>
      <w:r>
        <w:rPr>
          <w:sz w:val="28"/>
          <w:szCs w:val="36"/>
        </w:rPr>
        <w:t>- 3 -</w:t>
      </w:r>
      <w:r>
        <w:rPr>
          <w:sz w:val="28"/>
          <w:szCs w:val="36"/>
        </w:rPr>
        <w:fldChar w:fldCharType="end"/>
      </w:r>
      <w:r>
        <w:rPr>
          <w:rFonts w:hint="eastAsia" w:ascii="Times New Roman" w:hAnsi="Times New Roman" w:cs="宋体"/>
          <w:bCs/>
          <w:kern w:val="0"/>
          <w:sz w:val="28"/>
          <w:szCs w:val="56"/>
        </w:rPr>
        <w:fldChar w:fldCharType="end"/>
      </w:r>
    </w:p>
    <w:p w14:paraId="40CE76B3">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_Toc31691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val="en-US" w:eastAsia="zh-CN"/>
        </w:rPr>
        <w:t>（二）绩效目标完成情况</w:t>
      </w:r>
      <w:r>
        <w:rPr>
          <w:sz w:val="28"/>
          <w:szCs w:val="36"/>
        </w:rPr>
        <w:tab/>
      </w:r>
      <w:r>
        <w:rPr>
          <w:sz w:val="28"/>
          <w:szCs w:val="36"/>
        </w:rPr>
        <w:fldChar w:fldCharType="begin"/>
      </w:r>
      <w:r>
        <w:rPr>
          <w:sz w:val="28"/>
          <w:szCs w:val="36"/>
        </w:rPr>
        <w:instrText xml:space="preserve"> PAGEREF _Toc31691 \h </w:instrText>
      </w:r>
      <w:r>
        <w:rPr>
          <w:sz w:val="28"/>
          <w:szCs w:val="36"/>
        </w:rPr>
        <w:fldChar w:fldCharType="separate"/>
      </w:r>
      <w:r>
        <w:rPr>
          <w:sz w:val="28"/>
          <w:szCs w:val="36"/>
        </w:rPr>
        <w:t>- 7 -</w:t>
      </w:r>
      <w:r>
        <w:rPr>
          <w:sz w:val="28"/>
          <w:szCs w:val="36"/>
        </w:rPr>
        <w:fldChar w:fldCharType="end"/>
      </w:r>
      <w:r>
        <w:rPr>
          <w:rFonts w:hint="eastAsia" w:ascii="Times New Roman" w:hAnsi="Times New Roman" w:cs="宋体"/>
          <w:bCs/>
          <w:kern w:val="0"/>
          <w:sz w:val="28"/>
          <w:szCs w:val="56"/>
        </w:rPr>
        <w:fldChar w:fldCharType="end"/>
      </w:r>
    </w:p>
    <w:p w14:paraId="28B32D63">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_Toc8716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val="en-US" w:eastAsia="zh-CN"/>
        </w:rPr>
        <w:t>（三）存在的问题及原因</w:t>
      </w:r>
      <w:r>
        <w:rPr>
          <w:sz w:val="28"/>
          <w:szCs w:val="36"/>
        </w:rPr>
        <w:tab/>
      </w:r>
      <w:r>
        <w:rPr>
          <w:sz w:val="28"/>
          <w:szCs w:val="36"/>
        </w:rPr>
        <w:fldChar w:fldCharType="begin"/>
      </w:r>
      <w:r>
        <w:rPr>
          <w:sz w:val="28"/>
          <w:szCs w:val="36"/>
        </w:rPr>
        <w:instrText xml:space="preserve"> PAGEREF _Toc8716 \h </w:instrText>
      </w:r>
      <w:r>
        <w:rPr>
          <w:sz w:val="28"/>
          <w:szCs w:val="36"/>
        </w:rPr>
        <w:fldChar w:fldCharType="separate"/>
      </w:r>
      <w:r>
        <w:rPr>
          <w:sz w:val="28"/>
          <w:szCs w:val="36"/>
        </w:rPr>
        <w:t>- 11 -</w:t>
      </w:r>
      <w:r>
        <w:rPr>
          <w:sz w:val="28"/>
          <w:szCs w:val="36"/>
        </w:rPr>
        <w:fldChar w:fldCharType="end"/>
      </w:r>
      <w:r>
        <w:rPr>
          <w:rFonts w:hint="eastAsia" w:ascii="Times New Roman" w:hAnsi="Times New Roman" w:cs="宋体"/>
          <w:bCs/>
          <w:kern w:val="0"/>
          <w:sz w:val="28"/>
          <w:szCs w:val="56"/>
        </w:rPr>
        <w:fldChar w:fldCharType="end"/>
      </w:r>
    </w:p>
    <w:p w14:paraId="0BE440D9">
      <w:pPr>
        <w:pStyle w:val="8"/>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_Toc27064 </w:instrText>
      </w:r>
      <w:r>
        <w:rPr>
          <w:rFonts w:hint="eastAsia" w:ascii="Times New Roman" w:hAnsi="Times New Roman" w:cs="宋体"/>
          <w:bCs/>
          <w:kern w:val="0"/>
          <w:sz w:val="28"/>
          <w:szCs w:val="56"/>
        </w:rPr>
        <w:fldChar w:fldCharType="separate"/>
      </w:r>
      <w:r>
        <w:rPr>
          <w:rFonts w:hint="eastAsia" w:ascii="Times New Roman" w:hAnsi="Times New Roman" w:eastAsia="黑体" w:cs="黑体"/>
          <w:sz w:val="28"/>
          <w:szCs w:val="44"/>
          <w:highlight w:val="none"/>
          <w:shd w:val="clear" w:color="auto" w:fill="auto"/>
        </w:rPr>
        <w:t>三、绩效目标设定质量情况</w:t>
      </w:r>
      <w:r>
        <w:rPr>
          <w:sz w:val="28"/>
          <w:szCs w:val="36"/>
        </w:rPr>
        <w:tab/>
      </w:r>
      <w:r>
        <w:rPr>
          <w:sz w:val="28"/>
          <w:szCs w:val="36"/>
        </w:rPr>
        <w:fldChar w:fldCharType="begin"/>
      </w:r>
      <w:r>
        <w:rPr>
          <w:sz w:val="28"/>
          <w:szCs w:val="36"/>
        </w:rPr>
        <w:instrText xml:space="preserve"> PAGEREF _Toc27064 \h </w:instrText>
      </w:r>
      <w:r>
        <w:rPr>
          <w:sz w:val="28"/>
          <w:szCs w:val="36"/>
        </w:rPr>
        <w:fldChar w:fldCharType="separate"/>
      </w:r>
      <w:r>
        <w:rPr>
          <w:sz w:val="28"/>
          <w:szCs w:val="36"/>
        </w:rPr>
        <w:t>- 11 -</w:t>
      </w:r>
      <w:r>
        <w:rPr>
          <w:sz w:val="28"/>
          <w:szCs w:val="36"/>
        </w:rPr>
        <w:fldChar w:fldCharType="end"/>
      </w:r>
      <w:r>
        <w:rPr>
          <w:rFonts w:hint="eastAsia" w:ascii="Times New Roman" w:hAnsi="Times New Roman" w:cs="宋体"/>
          <w:bCs/>
          <w:kern w:val="0"/>
          <w:sz w:val="28"/>
          <w:szCs w:val="56"/>
        </w:rPr>
        <w:fldChar w:fldCharType="end"/>
      </w:r>
    </w:p>
    <w:p w14:paraId="656CFF24">
      <w:pPr>
        <w:pStyle w:val="8"/>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_Toc2331 </w:instrText>
      </w:r>
      <w:r>
        <w:rPr>
          <w:rFonts w:hint="eastAsia" w:ascii="Times New Roman" w:hAnsi="Times New Roman" w:cs="宋体"/>
          <w:bCs/>
          <w:kern w:val="0"/>
          <w:sz w:val="28"/>
          <w:szCs w:val="56"/>
        </w:rPr>
        <w:fldChar w:fldCharType="separate"/>
      </w:r>
      <w:r>
        <w:rPr>
          <w:rFonts w:hint="eastAsia" w:ascii="Times New Roman" w:hAnsi="Times New Roman" w:eastAsia="黑体" w:cs="黑体"/>
          <w:sz w:val="28"/>
          <w:szCs w:val="44"/>
          <w:highlight w:val="none"/>
          <w:shd w:val="clear" w:color="auto" w:fill="auto"/>
        </w:rPr>
        <w:t>四、整改措施及结果应用</w:t>
      </w:r>
      <w:r>
        <w:rPr>
          <w:sz w:val="28"/>
          <w:szCs w:val="36"/>
        </w:rPr>
        <w:tab/>
      </w:r>
      <w:r>
        <w:rPr>
          <w:sz w:val="28"/>
          <w:szCs w:val="36"/>
        </w:rPr>
        <w:fldChar w:fldCharType="begin"/>
      </w:r>
      <w:r>
        <w:rPr>
          <w:sz w:val="28"/>
          <w:szCs w:val="36"/>
        </w:rPr>
        <w:instrText xml:space="preserve"> PAGEREF _Toc2331 \h </w:instrText>
      </w:r>
      <w:r>
        <w:rPr>
          <w:sz w:val="28"/>
          <w:szCs w:val="36"/>
        </w:rPr>
        <w:fldChar w:fldCharType="separate"/>
      </w:r>
      <w:r>
        <w:rPr>
          <w:sz w:val="28"/>
          <w:szCs w:val="36"/>
        </w:rPr>
        <w:t>- 12 -</w:t>
      </w:r>
      <w:r>
        <w:rPr>
          <w:sz w:val="28"/>
          <w:szCs w:val="36"/>
        </w:rPr>
        <w:fldChar w:fldCharType="end"/>
      </w:r>
      <w:r>
        <w:rPr>
          <w:rFonts w:hint="eastAsia" w:ascii="Times New Roman" w:hAnsi="Times New Roman" w:cs="宋体"/>
          <w:bCs/>
          <w:kern w:val="0"/>
          <w:sz w:val="28"/>
          <w:szCs w:val="56"/>
        </w:rPr>
        <w:fldChar w:fldCharType="end"/>
      </w:r>
    </w:p>
    <w:p w14:paraId="059711FB">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_Toc5806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一</w:t>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整改措施</w:t>
      </w:r>
      <w:r>
        <w:rPr>
          <w:sz w:val="28"/>
          <w:szCs w:val="36"/>
        </w:rPr>
        <w:tab/>
      </w:r>
      <w:r>
        <w:rPr>
          <w:sz w:val="28"/>
          <w:szCs w:val="36"/>
        </w:rPr>
        <w:fldChar w:fldCharType="begin"/>
      </w:r>
      <w:r>
        <w:rPr>
          <w:sz w:val="28"/>
          <w:szCs w:val="36"/>
        </w:rPr>
        <w:instrText xml:space="preserve"> PAGEREF _Toc5806 \h </w:instrText>
      </w:r>
      <w:r>
        <w:rPr>
          <w:sz w:val="28"/>
          <w:szCs w:val="36"/>
        </w:rPr>
        <w:fldChar w:fldCharType="separate"/>
      </w:r>
      <w:r>
        <w:rPr>
          <w:sz w:val="28"/>
          <w:szCs w:val="36"/>
        </w:rPr>
        <w:t>- 12 -</w:t>
      </w:r>
      <w:r>
        <w:rPr>
          <w:sz w:val="28"/>
          <w:szCs w:val="36"/>
        </w:rPr>
        <w:fldChar w:fldCharType="end"/>
      </w:r>
      <w:r>
        <w:rPr>
          <w:rFonts w:hint="eastAsia" w:ascii="Times New Roman" w:hAnsi="Times New Roman" w:cs="宋体"/>
          <w:bCs/>
          <w:kern w:val="0"/>
          <w:sz w:val="28"/>
          <w:szCs w:val="56"/>
        </w:rPr>
        <w:fldChar w:fldCharType="end"/>
      </w:r>
    </w:p>
    <w:p w14:paraId="4A02C447">
      <w:pPr>
        <w:pStyle w:val="9"/>
        <w:tabs>
          <w:tab w:val="right" w:leader="dot" w:pos="9071"/>
        </w:tabs>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_Toc32244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二</w:t>
      </w:r>
      <w:r>
        <w:rPr>
          <w:rFonts w:hint="eastAsia" w:ascii="Times New Roman" w:hAnsi="Times New Roman" w:eastAsia="楷体" w:cs="楷体"/>
          <w:sz w:val="28"/>
          <w:szCs w:val="44"/>
          <w:highlight w:val="none"/>
          <w:shd w:val="clear" w:color="auto" w:fill="auto"/>
          <w:lang w:eastAsia="zh-CN"/>
        </w:rPr>
        <w:t>）结果运用</w:t>
      </w:r>
      <w:r>
        <w:rPr>
          <w:sz w:val="28"/>
          <w:szCs w:val="36"/>
        </w:rPr>
        <w:tab/>
      </w:r>
      <w:r>
        <w:rPr>
          <w:sz w:val="28"/>
          <w:szCs w:val="36"/>
        </w:rPr>
        <w:fldChar w:fldCharType="begin"/>
      </w:r>
      <w:r>
        <w:rPr>
          <w:sz w:val="28"/>
          <w:szCs w:val="36"/>
        </w:rPr>
        <w:instrText xml:space="preserve"> PAGEREF _Toc32244 \h </w:instrText>
      </w:r>
      <w:r>
        <w:rPr>
          <w:sz w:val="28"/>
          <w:szCs w:val="36"/>
        </w:rPr>
        <w:fldChar w:fldCharType="separate"/>
      </w:r>
      <w:r>
        <w:rPr>
          <w:sz w:val="28"/>
          <w:szCs w:val="36"/>
        </w:rPr>
        <w:t>- 12 -</w:t>
      </w:r>
      <w:r>
        <w:rPr>
          <w:sz w:val="28"/>
          <w:szCs w:val="36"/>
        </w:rPr>
        <w:fldChar w:fldCharType="end"/>
      </w:r>
      <w:r>
        <w:rPr>
          <w:rFonts w:hint="eastAsia" w:ascii="Times New Roman" w:hAnsi="Times New Roman" w:cs="宋体"/>
          <w:bCs/>
          <w:kern w:val="0"/>
          <w:sz w:val="28"/>
          <w:szCs w:val="56"/>
        </w:rPr>
        <w:fldChar w:fldCharType="end"/>
      </w:r>
    </w:p>
    <w:p w14:paraId="6E92E599">
      <w:pPr>
        <w:widowControl w:val="0"/>
        <w:wordWrap/>
        <w:adjustRightInd/>
        <w:snapToGrid w:val="0"/>
        <w:spacing w:line="560" w:lineRule="exact"/>
        <w:ind w:left="0" w:leftChars="0" w:right="0"/>
        <w:jc w:val="center"/>
        <w:textAlignment w:val="auto"/>
        <w:outlineLvl w:val="9"/>
        <w:rPr>
          <w:rFonts w:hint="eastAsia" w:ascii="Times New Roman" w:hAnsi="Times New Roman" w:cs="宋体"/>
          <w:b/>
          <w:bCs/>
          <w:kern w:val="0"/>
          <w:sz w:val="44"/>
          <w:szCs w:val="44"/>
        </w:rPr>
        <w:sectPr>
          <w:headerReference r:id="rId4" w:type="default"/>
          <w:footerReference r:id="rId5" w:type="default"/>
          <w:pgSz w:w="11906" w:h="16838"/>
          <w:pgMar w:top="2041" w:right="1304" w:bottom="1701" w:left="1531" w:header="851" w:footer="992" w:gutter="0"/>
          <w:pgNumType w:fmt="numberInDash" w:start="1"/>
          <w:cols w:space="720" w:num="1"/>
          <w:docGrid w:type="lines" w:linePitch="312" w:charSpace="0"/>
        </w:sectPr>
      </w:pPr>
      <w:r>
        <w:rPr>
          <w:rFonts w:hint="eastAsia" w:ascii="Times New Roman" w:hAnsi="Times New Roman" w:cs="宋体"/>
          <w:bCs/>
          <w:kern w:val="0"/>
          <w:szCs w:val="44"/>
        </w:rPr>
        <w:fldChar w:fldCharType="end"/>
      </w:r>
    </w:p>
    <w:p w14:paraId="132AA297">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Times New Roman" w:hAnsi="Times New Roman" w:cs="宋体"/>
          <w:b/>
          <w:bCs/>
          <w:kern w:val="0"/>
          <w:sz w:val="44"/>
          <w:szCs w:val="44"/>
          <w:highlight w:val="none"/>
          <w:shd w:val="clear" w:color="auto" w:fill="auto"/>
        </w:rPr>
      </w:pPr>
      <w:r>
        <w:rPr>
          <w:rFonts w:hint="eastAsia" w:ascii="Times New Roman" w:hAnsi="Times New Roman" w:cs="宋体"/>
          <w:b/>
          <w:bCs/>
          <w:kern w:val="0"/>
          <w:sz w:val="44"/>
          <w:szCs w:val="44"/>
          <w:highlight w:val="none"/>
          <w:shd w:val="clear" w:color="auto" w:fill="auto"/>
        </w:rPr>
        <w:t>中共石家庄市委老干部局</w:t>
      </w:r>
    </w:p>
    <w:p w14:paraId="451607ED">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Times New Roman" w:hAnsi="Times New Roman" w:cs="宋体"/>
          <w:b/>
          <w:bCs/>
          <w:sz w:val="44"/>
          <w:szCs w:val="44"/>
          <w:highlight w:val="none"/>
          <w:shd w:val="clear" w:color="auto" w:fill="auto"/>
        </w:rPr>
      </w:pPr>
      <w:r>
        <w:rPr>
          <w:rFonts w:hint="eastAsia" w:ascii="Times New Roman" w:hAnsi="Times New Roman" w:cs="宋体"/>
          <w:b/>
          <w:bCs/>
          <w:kern w:val="0"/>
          <w:sz w:val="44"/>
          <w:szCs w:val="44"/>
          <w:highlight w:val="none"/>
          <w:shd w:val="clear" w:color="auto" w:fill="auto"/>
          <w:lang w:val="en-US" w:eastAsia="zh-CN"/>
        </w:rPr>
        <w:t>202</w:t>
      </w:r>
      <w:r>
        <w:rPr>
          <w:rFonts w:hint="eastAsia" w:cs="宋体"/>
          <w:b/>
          <w:bCs/>
          <w:kern w:val="0"/>
          <w:sz w:val="44"/>
          <w:szCs w:val="44"/>
          <w:highlight w:val="none"/>
          <w:shd w:val="clear" w:color="auto" w:fill="auto"/>
          <w:lang w:val="en-US" w:eastAsia="zh-CN"/>
        </w:rPr>
        <w:t>5</w:t>
      </w:r>
      <w:r>
        <w:rPr>
          <w:rFonts w:hint="eastAsia" w:ascii="Times New Roman" w:hAnsi="Times New Roman" w:cs="宋体"/>
          <w:b/>
          <w:bCs/>
          <w:kern w:val="0"/>
          <w:sz w:val="44"/>
          <w:szCs w:val="44"/>
          <w:highlight w:val="none"/>
          <w:shd w:val="clear" w:color="auto" w:fill="auto"/>
        </w:rPr>
        <w:t>部门年度</w:t>
      </w:r>
      <w:r>
        <w:rPr>
          <w:rFonts w:hint="eastAsia" w:ascii="Times New Roman" w:hAnsi="Times New Roman" w:cs="宋体"/>
          <w:b/>
          <w:bCs/>
          <w:sz w:val="44"/>
          <w:szCs w:val="44"/>
          <w:highlight w:val="none"/>
          <w:shd w:val="clear" w:color="auto" w:fill="auto"/>
        </w:rPr>
        <w:t>绩效自评工作报告</w:t>
      </w:r>
    </w:p>
    <w:p w14:paraId="20726417">
      <w:pPr>
        <w:widowControl w:val="0"/>
        <w:shd w:val="clear"/>
        <w:wordWrap/>
        <w:adjustRightInd/>
        <w:snapToGrid w:val="0"/>
        <w:spacing w:line="560" w:lineRule="exact"/>
        <w:ind w:left="0" w:leftChars="0" w:right="0"/>
        <w:jc w:val="center"/>
        <w:textAlignment w:val="auto"/>
        <w:outlineLvl w:val="9"/>
        <w:rPr>
          <w:rFonts w:hint="eastAsia" w:ascii="Times New Roman" w:hAnsi="Times New Roman" w:cs="宋体"/>
          <w:b/>
          <w:bCs/>
          <w:sz w:val="44"/>
          <w:szCs w:val="44"/>
          <w:highlight w:val="none"/>
          <w:shd w:val="clear" w:color="auto" w:fill="auto"/>
        </w:rPr>
      </w:pPr>
    </w:p>
    <w:p w14:paraId="591DE457">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rPr>
        <w:t>为切实做好202</w:t>
      </w:r>
      <w:r>
        <w:rPr>
          <w:rFonts w:hint="eastAsia" w:eastAsia="仿宋_GB2312" w:cs="仿宋_GB2312"/>
          <w:sz w:val="32"/>
          <w:szCs w:val="32"/>
          <w:highlight w:val="none"/>
          <w:shd w:val="clear" w:color="auto" w:fill="auto"/>
          <w:lang w:val="en-US" w:eastAsia="zh-CN"/>
        </w:rPr>
        <w:t>5</w:t>
      </w:r>
      <w:r>
        <w:rPr>
          <w:rFonts w:hint="eastAsia" w:ascii="Times New Roman" w:hAnsi="Times New Roman" w:eastAsia="仿宋_GB2312" w:cs="仿宋_GB2312"/>
          <w:sz w:val="32"/>
          <w:szCs w:val="32"/>
          <w:highlight w:val="none"/>
          <w:shd w:val="clear" w:color="auto" w:fill="auto"/>
        </w:rPr>
        <w:t>年度部门绩效自评工作，提高财政资金的使用效益，根据《石家庄市市级部门预算项目绩效自评管理办法》、《石家庄市财政局关于开展202</w:t>
      </w:r>
      <w:r>
        <w:rPr>
          <w:rFonts w:hint="eastAsia" w:eastAsia="仿宋_GB2312" w:cs="仿宋_GB2312"/>
          <w:sz w:val="32"/>
          <w:szCs w:val="32"/>
          <w:highlight w:val="none"/>
          <w:shd w:val="clear" w:color="auto" w:fill="auto"/>
          <w:lang w:val="en-US" w:eastAsia="zh-CN"/>
        </w:rPr>
        <w:t>6</w:t>
      </w:r>
      <w:r>
        <w:rPr>
          <w:rFonts w:hint="eastAsia" w:ascii="Times New Roman" w:hAnsi="Times New Roman" w:eastAsia="仿宋_GB2312" w:cs="仿宋_GB2312"/>
          <w:sz w:val="32"/>
          <w:szCs w:val="32"/>
          <w:highlight w:val="none"/>
          <w:shd w:val="clear" w:color="auto" w:fill="auto"/>
        </w:rPr>
        <w:t>年绩效自评工作的通知》要求，结合实际情况，中共石家庄市委老干部局（以下简称“</w:t>
      </w:r>
      <w:r>
        <w:rPr>
          <w:rFonts w:hint="eastAsia" w:eastAsia="仿宋_GB2312" w:cs="仿宋_GB2312"/>
          <w:sz w:val="32"/>
          <w:szCs w:val="32"/>
          <w:highlight w:val="none"/>
          <w:shd w:val="clear" w:color="auto" w:fill="auto"/>
          <w:lang w:eastAsia="zh-CN"/>
        </w:rPr>
        <w:t>我部门</w:t>
      </w:r>
      <w:r>
        <w:rPr>
          <w:rFonts w:hint="eastAsia" w:ascii="Times New Roman" w:hAnsi="Times New Roman" w:eastAsia="仿宋_GB2312" w:cs="仿宋_GB2312"/>
          <w:sz w:val="32"/>
          <w:szCs w:val="32"/>
          <w:highlight w:val="none"/>
          <w:shd w:val="clear" w:color="auto" w:fill="auto"/>
        </w:rPr>
        <w:t>”）组织专门力量，于202</w:t>
      </w:r>
      <w:r>
        <w:rPr>
          <w:rFonts w:hint="eastAsia" w:eastAsia="仿宋_GB2312" w:cs="仿宋_GB2312"/>
          <w:sz w:val="32"/>
          <w:szCs w:val="32"/>
          <w:highlight w:val="none"/>
          <w:shd w:val="clear" w:color="auto" w:fill="auto"/>
          <w:lang w:val="en-US" w:eastAsia="zh-CN"/>
        </w:rPr>
        <w:t>6</w:t>
      </w:r>
      <w:r>
        <w:rPr>
          <w:rFonts w:hint="eastAsia" w:ascii="Times New Roman" w:hAnsi="Times New Roman" w:eastAsia="仿宋_GB2312" w:cs="仿宋_GB2312"/>
          <w:sz w:val="32"/>
          <w:szCs w:val="32"/>
          <w:highlight w:val="none"/>
          <w:shd w:val="clear" w:color="auto" w:fill="auto"/>
        </w:rPr>
        <w:t>年</w:t>
      </w:r>
      <w:r>
        <w:rPr>
          <w:rFonts w:hint="eastAsia" w:eastAsia="仿宋_GB2312" w:cs="仿宋_GB2312"/>
          <w:sz w:val="32"/>
          <w:szCs w:val="32"/>
          <w:highlight w:val="none"/>
          <w:shd w:val="clear" w:color="auto" w:fill="auto"/>
          <w:lang w:val="en-US" w:eastAsia="zh-CN"/>
        </w:rPr>
        <w:t>4</w:t>
      </w:r>
      <w:r>
        <w:rPr>
          <w:rFonts w:hint="eastAsia" w:ascii="Times New Roman" w:hAnsi="Times New Roman" w:eastAsia="仿宋_GB2312" w:cs="仿宋_GB2312"/>
          <w:sz w:val="32"/>
          <w:szCs w:val="32"/>
          <w:highlight w:val="none"/>
          <w:shd w:val="clear" w:color="auto" w:fill="auto"/>
        </w:rPr>
        <w:t>月</w:t>
      </w:r>
      <w:r>
        <w:rPr>
          <w:rFonts w:hint="eastAsia" w:ascii="Times New Roman" w:hAnsi="Times New Roman" w:eastAsia="仿宋_GB2312" w:cs="仿宋_GB2312"/>
          <w:sz w:val="32"/>
          <w:szCs w:val="32"/>
          <w:highlight w:val="none"/>
          <w:shd w:val="clear" w:color="auto" w:fill="auto"/>
          <w:lang w:val="en-US" w:eastAsia="zh-CN"/>
        </w:rPr>
        <w:t>1</w:t>
      </w:r>
      <w:r>
        <w:rPr>
          <w:rFonts w:hint="eastAsia" w:eastAsia="仿宋_GB2312" w:cs="仿宋_GB2312"/>
          <w:sz w:val="32"/>
          <w:szCs w:val="32"/>
          <w:highlight w:val="none"/>
          <w:shd w:val="clear" w:color="auto" w:fill="auto"/>
          <w:lang w:val="en-US" w:eastAsia="zh-CN"/>
        </w:rPr>
        <w:t>0</w:t>
      </w:r>
      <w:r>
        <w:rPr>
          <w:rFonts w:hint="eastAsia" w:ascii="Times New Roman" w:hAnsi="Times New Roman" w:eastAsia="仿宋_GB2312" w:cs="仿宋_GB2312"/>
          <w:sz w:val="32"/>
          <w:szCs w:val="32"/>
          <w:highlight w:val="none"/>
          <w:shd w:val="clear" w:color="auto" w:fill="auto"/>
        </w:rPr>
        <w:t>日至</w:t>
      </w:r>
      <w:r>
        <w:rPr>
          <w:rFonts w:hint="eastAsia" w:eastAsia="仿宋_GB2312" w:cs="仿宋_GB2312"/>
          <w:sz w:val="32"/>
          <w:szCs w:val="32"/>
          <w:highlight w:val="none"/>
          <w:shd w:val="clear" w:color="auto" w:fill="auto"/>
          <w:lang w:val="en-US" w:eastAsia="zh-CN"/>
        </w:rPr>
        <w:t>4</w:t>
      </w:r>
      <w:r>
        <w:rPr>
          <w:rFonts w:hint="eastAsia" w:ascii="Times New Roman" w:hAnsi="Times New Roman" w:eastAsia="仿宋_GB2312" w:cs="仿宋_GB2312"/>
          <w:sz w:val="32"/>
          <w:szCs w:val="32"/>
          <w:highlight w:val="none"/>
          <w:shd w:val="clear" w:color="auto" w:fill="auto"/>
        </w:rPr>
        <w:t>月</w:t>
      </w:r>
      <w:r>
        <w:rPr>
          <w:rFonts w:hint="eastAsia" w:eastAsia="仿宋_GB2312" w:cs="仿宋_GB2312"/>
          <w:sz w:val="32"/>
          <w:szCs w:val="32"/>
          <w:highlight w:val="none"/>
          <w:shd w:val="clear" w:color="auto" w:fill="auto"/>
          <w:lang w:val="en-US" w:eastAsia="zh-CN"/>
        </w:rPr>
        <w:t>30</w:t>
      </w:r>
      <w:r>
        <w:rPr>
          <w:rFonts w:hint="eastAsia" w:ascii="Times New Roman" w:hAnsi="Times New Roman" w:eastAsia="仿宋_GB2312" w:cs="仿宋_GB2312"/>
          <w:sz w:val="32"/>
          <w:szCs w:val="32"/>
          <w:highlight w:val="none"/>
          <w:shd w:val="clear" w:color="auto" w:fill="auto"/>
        </w:rPr>
        <w:t>日期间，对</w:t>
      </w:r>
      <w:r>
        <w:rPr>
          <w:rFonts w:hint="eastAsia" w:eastAsia="仿宋_GB2312" w:cs="仿宋_GB2312"/>
          <w:sz w:val="32"/>
          <w:szCs w:val="32"/>
          <w:highlight w:val="none"/>
          <w:shd w:val="clear" w:color="auto" w:fill="auto"/>
          <w:lang w:eastAsia="zh-CN"/>
        </w:rPr>
        <w:t>我部门</w:t>
      </w:r>
      <w:r>
        <w:rPr>
          <w:rFonts w:hint="eastAsia" w:ascii="Times New Roman" w:hAnsi="Times New Roman" w:eastAsia="仿宋_GB2312" w:cs="仿宋_GB2312"/>
          <w:sz w:val="32"/>
          <w:szCs w:val="32"/>
          <w:highlight w:val="none"/>
          <w:shd w:val="clear" w:color="auto" w:fill="auto"/>
        </w:rPr>
        <w:t>202</w:t>
      </w:r>
      <w:r>
        <w:rPr>
          <w:rFonts w:hint="eastAsia" w:eastAsia="仿宋_GB2312" w:cs="仿宋_GB2312"/>
          <w:sz w:val="32"/>
          <w:szCs w:val="32"/>
          <w:highlight w:val="none"/>
          <w:shd w:val="clear" w:color="auto" w:fill="auto"/>
          <w:lang w:val="en-US" w:eastAsia="zh-CN"/>
        </w:rPr>
        <w:t>5</w:t>
      </w:r>
      <w:r>
        <w:rPr>
          <w:rFonts w:hint="eastAsia" w:ascii="Times New Roman" w:hAnsi="Times New Roman" w:eastAsia="仿宋_GB2312" w:cs="仿宋_GB2312"/>
          <w:sz w:val="32"/>
          <w:szCs w:val="32"/>
          <w:highlight w:val="none"/>
          <w:shd w:val="clear" w:color="auto" w:fill="auto"/>
        </w:rPr>
        <w:t>年度部门所有预算项目（包括局机关和下属单位项目）进行绩效自评。本次评价采用定性分析与定量分析相结合的方法，从预算管理、预算执行、专项资金使用及资金效益等方面进行了综合且客观的评价。现将绩效自评情况报告如下：</w:t>
      </w:r>
    </w:p>
    <w:p w14:paraId="46B83B94">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0"/>
        <w:rPr>
          <w:rFonts w:hint="eastAsia" w:ascii="Times New Roman" w:hAnsi="Times New Roman" w:eastAsia="楷体" w:cs="楷体"/>
          <w:sz w:val="32"/>
          <w:szCs w:val="32"/>
          <w:highlight w:val="none"/>
          <w:shd w:val="clear" w:color="auto" w:fill="auto"/>
          <w:lang w:eastAsia="zh-CN"/>
        </w:rPr>
      </w:pPr>
      <w:bookmarkStart w:id="1" w:name="_Toc4051"/>
      <w:r>
        <w:rPr>
          <w:rFonts w:hint="eastAsia" w:ascii="Times New Roman" w:hAnsi="Times New Roman" w:eastAsia="黑体" w:cs="黑体"/>
          <w:sz w:val="32"/>
          <w:szCs w:val="32"/>
          <w:highlight w:val="none"/>
          <w:shd w:val="clear" w:color="auto" w:fill="auto"/>
        </w:rPr>
        <w:t>一、绩效自评工作组织开展情况</w:t>
      </w:r>
      <w:bookmarkEnd w:id="1"/>
    </w:p>
    <w:p w14:paraId="776D08BD">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val="en-US" w:eastAsia="zh-CN"/>
        </w:rPr>
      </w:pPr>
      <w:bookmarkStart w:id="2" w:name="_Toc10339"/>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一</w:t>
      </w:r>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组织与实施情况</w:t>
      </w:r>
      <w:bookmarkEnd w:id="2"/>
    </w:p>
    <w:p w14:paraId="27EDB43F">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Times New Roman" w:hAnsi="Times New Roman" w:eastAsia="仿宋_GB2312" w:cs="仿宋_GB2312"/>
          <w:sz w:val="32"/>
          <w:szCs w:val="32"/>
          <w:highlight w:val="none"/>
          <w:shd w:val="clear" w:color="auto" w:fill="auto"/>
          <w:lang w:val="en-US" w:eastAsia="zh-CN"/>
        </w:rPr>
      </w:pPr>
      <w:r>
        <w:rPr>
          <w:rFonts w:hint="eastAsia" w:ascii="仿宋_GB2312" w:hAnsi="仿宋_GB2312" w:eastAsia="仿宋_GB2312" w:cs="仿宋_GB2312"/>
          <w:color w:val="auto"/>
          <w:kern w:val="0"/>
          <w:sz w:val="32"/>
          <w:szCs w:val="32"/>
          <w:highlight w:val="none"/>
          <w:shd w:val="clear" w:color="auto" w:fill="auto"/>
          <w:lang w:val="en-US" w:eastAsia="zh-CN"/>
        </w:rPr>
        <w:t>我部门高度重视此次年度预算绩效评价工作，成立了绩效评价工作组，由市委老干部局局长刘琼任绩效评价组组长，市委老干部局二级调研员张海双任绩效评价组副组长，</w:t>
      </w:r>
      <w:r>
        <w:rPr>
          <w:rFonts w:hint="eastAsia" w:ascii="仿宋_GB2312" w:hAnsi="仿宋_GB2312" w:eastAsia="仿宋_GB2312" w:cs="仿宋_GB2312"/>
          <w:sz w:val="32"/>
          <w:szCs w:val="32"/>
          <w:highlight w:val="none"/>
          <w:shd w:val="clear" w:color="auto" w:fill="auto"/>
        </w:rPr>
        <w:t>成员包括</w:t>
      </w:r>
      <w:r>
        <w:rPr>
          <w:rFonts w:hint="eastAsia" w:ascii="仿宋_GB2312" w:hAnsi="仿宋_GB2312" w:eastAsia="仿宋_GB2312" w:cs="仿宋_GB2312"/>
          <w:sz w:val="32"/>
          <w:szCs w:val="32"/>
          <w:highlight w:val="none"/>
          <w:shd w:val="clear" w:color="auto" w:fill="auto"/>
          <w:lang w:val="en-US" w:eastAsia="zh-CN"/>
        </w:rPr>
        <w:t>市老年大学专职副校长（市老年教育中心副主任）张纯；市委老干部局财务科科长郭松；市委老干部活动中心（市老干部文体活动中心）主任高东春；市委老干部休养所所长田家好</w:t>
      </w:r>
      <w:r>
        <w:rPr>
          <w:rFonts w:hint="eastAsia" w:ascii="Times New Roman" w:hAnsi="Times New Roman" w:eastAsia="仿宋_GB2312" w:cs="仿宋_GB2312"/>
          <w:sz w:val="32"/>
          <w:szCs w:val="32"/>
          <w:highlight w:val="none"/>
          <w:shd w:val="clear" w:color="auto" w:fill="auto"/>
          <w:lang w:val="en-US" w:eastAsia="zh-CN"/>
        </w:rPr>
        <w:t>（以下简称“评价组”）</w:t>
      </w:r>
      <w:r>
        <w:rPr>
          <w:rFonts w:hint="eastAsia" w:ascii="仿宋_GB2312" w:hAnsi="仿宋_GB2312" w:eastAsia="仿宋_GB2312" w:cs="仿宋_GB2312"/>
          <w:color w:val="auto"/>
          <w:kern w:val="0"/>
          <w:sz w:val="32"/>
          <w:szCs w:val="32"/>
          <w:highlight w:val="none"/>
          <w:shd w:val="clear" w:color="auto" w:fill="auto"/>
          <w:lang w:val="en-US" w:eastAsia="zh-CN"/>
        </w:rPr>
        <w:t>。积极推进自评工作开展</w:t>
      </w:r>
      <w:r>
        <w:rPr>
          <w:rFonts w:hint="eastAsia" w:ascii="Times New Roman" w:hAnsi="Times New Roman" w:eastAsia="仿宋_GB2312" w:cs="仿宋_GB2312"/>
          <w:sz w:val="32"/>
          <w:szCs w:val="32"/>
          <w:highlight w:val="none"/>
          <w:shd w:val="clear" w:color="auto" w:fill="auto"/>
          <w:lang w:val="en-US" w:eastAsia="zh-CN"/>
        </w:rPr>
        <w:t>。</w:t>
      </w:r>
    </w:p>
    <w:p w14:paraId="54E01C7D">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default" w:ascii="Times New Roman" w:hAnsi="Times New Roman" w:eastAsia="仿宋_GB2312" w:cs="仿宋_GB2312"/>
          <w:sz w:val="32"/>
          <w:szCs w:val="32"/>
          <w:highlight w:val="none"/>
          <w:shd w:val="clear" w:color="auto" w:fill="auto"/>
          <w:lang w:val="en-US" w:eastAsia="zh-CN"/>
        </w:rPr>
      </w:pPr>
      <w:r>
        <w:rPr>
          <w:rFonts w:hint="eastAsia" w:ascii="Times New Roman" w:hAnsi="Times New Roman" w:eastAsia="仿宋_GB2312" w:cs="仿宋_GB2312"/>
          <w:sz w:val="32"/>
          <w:szCs w:val="32"/>
          <w:highlight w:val="none"/>
          <w:shd w:val="clear" w:color="auto" w:fill="auto"/>
          <w:lang w:val="en-US" w:eastAsia="zh-CN"/>
        </w:rPr>
        <w:t>评价组制定自评工作方案，明确评价内容、评价程序、参与人员及时间安排，收集相关账目及文件、档案资料。组织相关人员召开专题会议，传达自评工作要求及工作安排，最终形成自评表、重点项目绩效自评报告、部门年度绩效自评工作报告、部门年度整体支出绩效自评报告等。</w:t>
      </w:r>
    </w:p>
    <w:p w14:paraId="209B17BE">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val="en-US" w:eastAsia="zh-CN"/>
        </w:rPr>
      </w:pPr>
      <w:bookmarkStart w:id="3" w:name="_Toc16266"/>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二</w:t>
      </w:r>
      <w:r>
        <w:rPr>
          <w:rFonts w:hint="eastAsia" w:ascii="Times New Roman" w:hAnsi="Times New Roman" w:eastAsia="楷体" w:cs="楷体"/>
          <w:sz w:val="32"/>
          <w:szCs w:val="32"/>
          <w:highlight w:val="none"/>
          <w:shd w:val="clear" w:color="auto" w:fill="auto"/>
          <w:lang w:eastAsia="zh-CN"/>
        </w:rPr>
        <w:t>）预算安排及资金分配拨付</w:t>
      </w:r>
      <w:r>
        <w:rPr>
          <w:rFonts w:hint="eastAsia" w:ascii="Times New Roman" w:hAnsi="Times New Roman" w:eastAsia="楷体" w:cs="楷体"/>
          <w:sz w:val="32"/>
          <w:szCs w:val="32"/>
          <w:highlight w:val="none"/>
          <w:shd w:val="clear" w:color="auto" w:fill="auto"/>
          <w:lang w:val="en-US" w:eastAsia="zh-CN"/>
        </w:rPr>
        <w:t>情况</w:t>
      </w:r>
      <w:bookmarkEnd w:id="3"/>
    </w:p>
    <w:p w14:paraId="02C91C2A">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仿宋_GB2312"/>
          <w:sz w:val="32"/>
          <w:szCs w:val="32"/>
          <w:highlight w:val="none"/>
          <w:shd w:val="clear" w:color="auto" w:fill="auto"/>
          <w:lang w:eastAsia="zh-CN"/>
        </w:rPr>
      </w:pPr>
      <w:r>
        <w:rPr>
          <w:rFonts w:hint="eastAsia" w:ascii="Times New Roman" w:hAnsi="Times New Roman" w:eastAsia="仿宋_GB2312" w:cs="仿宋_GB2312"/>
          <w:sz w:val="32"/>
          <w:szCs w:val="32"/>
          <w:highlight w:val="none"/>
          <w:shd w:val="clear" w:color="auto" w:fill="auto"/>
        </w:rPr>
        <w:t>20</w:t>
      </w:r>
      <w:r>
        <w:rPr>
          <w:rFonts w:hint="eastAsia" w:ascii="Times New Roman" w:hAnsi="Times New Roman" w:eastAsia="仿宋_GB2312" w:cs="仿宋_GB2312"/>
          <w:sz w:val="32"/>
          <w:szCs w:val="32"/>
          <w:highlight w:val="none"/>
          <w:shd w:val="clear" w:color="auto" w:fill="auto"/>
          <w:lang w:val="en-US" w:eastAsia="zh-CN"/>
        </w:rPr>
        <w:t>2</w:t>
      </w:r>
      <w:r>
        <w:rPr>
          <w:rFonts w:hint="eastAsia" w:eastAsia="仿宋_GB2312" w:cs="仿宋_GB2312"/>
          <w:sz w:val="32"/>
          <w:szCs w:val="32"/>
          <w:highlight w:val="none"/>
          <w:shd w:val="clear" w:color="auto" w:fill="auto"/>
          <w:lang w:val="en-US" w:eastAsia="zh-CN"/>
        </w:rPr>
        <w:t>5</w:t>
      </w:r>
      <w:r>
        <w:rPr>
          <w:rFonts w:hint="eastAsia" w:ascii="Times New Roman" w:hAnsi="Times New Roman" w:eastAsia="仿宋_GB2312" w:cs="仿宋_GB2312"/>
          <w:sz w:val="32"/>
          <w:szCs w:val="32"/>
          <w:highlight w:val="none"/>
          <w:shd w:val="clear" w:color="auto" w:fill="auto"/>
          <w:lang w:val="en-US" w:eastAsia="zh-CN"/>
        </w:rPr>
        <w:t>年度</w:t>
      </w:r>
      <w:r>
        <w:rPr>
          <w:rFonts w:hint="eastAsia" w:ascii="Times New Roman" w:hAnsi="Times New Roman" w:eastAsia="仿宋_GB2312" w:cs="仿宋_GB2312"/>
          <w:sz w:val="32"/>
          <w:szCs w:val="32"/>
          <w:highlight w:val="none"/>
          <w:shd w:val="clear" w:color="auto" w:fill="auto"/>
        </w:rPr>
        <w:t>市财政局批复</w:t>
      </w:r>
      <w:r>
        <w:rPr>
          <w:rFonts w:hint="eastAsia" w:eastAsia="仿宋_GB2312" w:cs="仿宋_GB2312"/>
          <w:sz w:val="32"/>
          <w:szCs w:val="32"/>
          <w:highlight w:val="none"/>
          <w:shd w:val="clear" w:color="auto" w:fill="auto"/>
          <w:lang w:eastAsia="zh-CN"/>
        </w:rPr>
        <w:t>我部门</w:t>
      </w:r>
      <w:r>
        <w:rPr>
          <w:rFonts w:hint="eastAsia" w:ascii="Times New Roman" w:hAnsi="Times New Roman" w:eastAsia="仿宋_GB2312" w:cs="仿宋_GB2312"/>
          <w:sz w:val="32"/>
          <w:szCs w:val="32"/>
          <w:highlight w:val="none"/>
          <w:shd w:val="clear" w:color="auto" w:fill="auto"/>
          <w:lang w:val="en-US" w:eastAsia="zh-CN"/>
        </w:rPr>
        <w:t>机关及下属单位共计</w:t>
      </w:r>
      <w:r>
        <w:rPr>
          <w:rFonts w:hint="eastAsia" w:eastAsia="仿宋_GB2312" w:cs="仿宋_GB2312"/>
          <w:sz w:val="32"/>
          <w:szCs w:val="32"/>
          <w:highlight w:val="none"/>
          <w:shd w:val="clear" w:color="auto" w:fill="auto"/>
          <w:lang w:val="en-US" w:eastAsia="zh-CN"/>
        </w:rPr>
        <w:t>46</w:t>
      </w:r>
      <w:r>
        <w:rPr>
          <w:rFonts w:hint="eastAsia" w:ascii="Times New Roman" w:hAnsi="Times New Roman" w:eastAsia="仿宋_GB2312" w:cs="仿宋_GB2312"/>
          <w:sz w:val="32"/>
          <w:szCs w:val="32"/>
          <w:highlight w:val="none"/>
          <w:shd w:val="clear" w:color="auto" w:fill="auto"/>
        </w:rPr>
        <w:t>个项目</w:t>
      </w:r>
      <w:r>
        <w:rPr>
          <w:rFonts w:hint="eastAsia" w:ascii="Times New Roman" w:hAnsi="Times New Roman" w:eastAsia="仿宋_GB2312" w:cs="仿宋_GB2312"/>
          <w:sz w:val="32"/>
          <w:szCs w:val="32"/>
          <w:highlight w:val="none"/>
          <w:shd w:val="clear" w:color="auto" w:fill="auto"/>
          <w:lang w:eastAsia="zh-CN"/>
        </w:rPr>
        <w:t>，</w:t>
      </w:r>
      <w:r>
        <w:rPr>
          <w:rFonts w:hint="eastAsia" w:ascii="Times New Roman" w:hAnsi="Times New Roman" w:eastAsia="仿宋_GB2312" w:cs="仿宋_GB2312"/>
          <w:sz w:val="32"/>
          <w:szCs w:val="32"/>
          <w:highlight w:val="none"/>
          <w:shd w:val="clear" w:color="auto" w:fill="auto"/>
        </w:rPr>
        <w:t>涉密项目</w:t>
      </w:r>
      <w:r>
        <w:rPr>
          <w:rFonts w:hint="eastAsia" w:eastAsia="仿宋_GB2312" w:cs="仿宋_GB2312"/>
          <w:sz w:val="32"/>
          <w:szCs w:val="32"/>
          <w:highlight w:val="none"/>
          <w:shd w:val="clear" w:color="auto" w:fill="auto"/>
          <w:lang w:val="en-US" w:eastAsia="zh-CN"/>
        </w:rPr>
        <w:t>4</w:t>
      </w:r>
      <w:r>
        <w:rPr>
          <w:rFonts w:hint="eastAsia" w:ascii="Times New Roman" w:hAnsi="Times New Roman" w:eastAsia="仿宋_GB2312" w:cs="仿宋_GB2312"/>
          <w:sz w:val="32"/>
          <w:szCs w:val="32"/>
          <w:highlight w:val="none"/>
          <w:shd w:val="clear" w:color="auto" w:fill="auto"/>
        </w:rPr>
        <w:t>个，</w:t>
      </w:r>
      <w:r>
        <w:rPr>
          <w:rFonts w:hint="eastAsia" w:ascii="Times New Roman" w:hAnsi="Times New Roman" w:eastAsia="仿宋_GB2312" w:cs="仿宋_GB2312"/>
          <w:sz w:val="32"/>
          <w:szCs w:val="32"/>
          <w:highlight w:val="none"/>
          <w:shd w:val="clear" w:color="auto" w:fill="auto"/>
          <w:lang w:val="en-US" w:eastAsia="zh-CN"/>
        </w:rPr>
        <w:t>财政未拨款项目0</w:t>
      </w:r>
      <w:r>
        <w:rPr>
          <w:rFonts w:hint="eastAsia" w:ascii="Times New Roman" w:hAnsi="Times New Roman" w:eastAsia="仿宋_GB2312" w:cs="仿宋_GB2312"/>
          <w:sz w:val="32"/>
          <w:szCs w:val="32"/>
          <w:highlight w:val="none"/>
          <w:shd w:val="clear" w:color="auto" w:fill="auto"/>
        </w:rPr>
        <w:t>个</w:t>
      </w:r>
      <w:r>
        <w:rPr>
          <w:rFonts w:hint="eastAsia" w:ascii="Times New Roman" w:hAnsi="Times New Roman" w:eastAsia="仿宋_GB2312" w:cs="仿宋_GB2312"/>
          <w:sz w:val="32"/>
          <w:szCs w:val="32"/>
          <w:highlight w:val="none"/>
          <w:shd w:val="clear" w:color="auto" w:fill="auto"/>
          <w:lang w:eastAsia="zh-CN"/>
        </w:rPr>
        <w:t>，</w:t>
      </w:r>
      <w:r>
        <w:rPr>
          <w:rFonts w:hint="eastAsia" w:ascii="Times New Roman" w:hAnsi="Times New Roman" w:eastAsia="仿宋_GB2312" w:cs="仿宋_GB2312"/>
          <w:sz w:val="32"/>
          <w:szCs w:val="32"/>
          <w:highlight w:val="none"/>
          <w:shd w:val="clear" w:color="auto" w:fill="auto"/>
          <w:lang w:val="en-US" w:eastAsia="zh-CN"/>
        </w:rPr>
        <w:t>故</w:t>
      </w:r>
      <w:r>
        <w:rPr>
          <w:rFonts w:hint="eastAsia" w:ascii="Times New Roman" w:hAnsi="Times New Roman" w:eastAsia="仿宋_GB2312" w:cs="仿宋_GB2312"/>
          <w:sz w:val="32"/>
          <w:szCs w:val="32"/>
          <w:highlight w:val="none"/>
          <w:shd w:val="clear" w:color="auto" w:fill="auto"/>
        </w:rPr>
        <w:t>纳入本次自评价范围的</w:t>
      </w:r>
      <w:r>
        <w:rPr>
          <w:rFonts w:hint="eastAsia" w:ascii="Times New Roman" w:hAnsi="Times New Roman" w:eastAsia="仿宋_GB2312" w:cs="仿宋_GB2312"/>
          <w:sz w:val="32"/>
          <w:szCs w:val="32"/>
          <w:highlight w:val="none"/>
          <w:shd w:val="clear" w:color="auto" w:fill="auto"/>
          <w:lang w:val="en-US" w:eastAsia="zh-CN"/>
        </w:rPr>
        <w:t>为</w:t>
      </w:r>
      <w:r>
        <w:rPr>
          <w:rFonts w:hint="eastAsia" w:eastAsia="仿宋_GB2312" w:cs="仿宋_GB2312"/>
          <w:sz w:val="32"/>
          <w:szCs w:val="32"/>
          <w:highlight w:val="none"/>
          <w:shd w:val="clear" w:color="auto" w:fill="auto"/>
          <w:lang w:val="en-US" w:eastAsia="zh-CN"/>
        </w:rPr>
        <w:t>46</w:t>
      </w:r>
      <w:r>
        <w:rPr>
          <w:rFonts w:hint="eastAsia" w:ascii="Times New Roman" w:hAnsi="Times New Roman" w:eastAsia="仿宋_GB2312" w:cs="仿宋_GB2312"/>
          <w:sz w:val="32"/>
          <w:szCs w:val="32"/>
          <w:highlight w:val="none"/>
          <w:shd w:val="clear" w:color="auto" w:fill="auto"/>
        </w:rPr>
        <w:t>个项目</w:t>
      </w:r>
      <w:r>
        <w:rPr>
          <w:rFonts w:hint="eastAsia" w:ascii="Times New Roman" w:hAnsi="Times New Roman" w:eastAsia="仿宋_GB2312" w:cs="仿宋_GB2312"/>
          <w:sz w:val="32"/>
          <w:szCs w:val="32"/>
          <w:highlight w:val="none"/>
          <w:shd w:val="clear" w:color="auto" w:fill="auto"/>
          <w:lang w:eastAsia="zh-CN"/>
        </w:rPr>
        <w:t>（</w:t>
      </w:r>
      <w:r>
        <w:rPr>
          <w:rFonts w:hint="eastAsia" w:ascii="Times New Roman" w:hAnsi="Times New Roman" w:eastAsia="仿宋_GB2312" w:cs="仿宋_GB2312"/>
          <w:sz w:val="32"/>
          <w:szCs w:val="32"/>
          <w:highlight w:val="none"/>
          <w:shd w:val="clear" w:color="auto" w:fill="auto"/>
          <w:lang w:val="en-US" w:eastAsia="zh-CN"/>
        </w:rPr>
        <w:t>其中局机关涉及项目</w:t>
      </w:r>
      <w:r>
        <w:rPr>
          <w:rFonts w:hint="eastAsia" w:eastAsia="仿宋_GB2312" w:cs="仿宋_GB2312"/>
          <w:sz w:val="32"/>
          <w:szCs w:val="32"/>
          <w:highlight w:val="none"/>
          <w:shd w:val="clear" w:color="auto" w:fill="auto"/>
          <w:lang w:val="en-US" w:eastAsia="zh-CN"/>
        </w:rPr>
        <w:t>16</w:t>
      </w:r>
      <w:r>
        <w:rPr>
          <w:rFonts w:hint="eastAsia" w:ascii="Times New Roman" w:hAnsi="Times New Roman" w:eastAsia="仿宋_GB2312" w:cs="仿宋_GB2312"/>
          <w:sz w:val="32"/>
          <w:szCs w:val="32"/>
          <w:highlight w:val="none"/>
          <w:shd w:val="clear" w:color="auto" w:fill="auto"/>
          <w:lang w:val="en-US" w:eastAsia="zh-CN"/>
        </w:rPr>
        <w:t>个，下属单位涉及项目</w:t>
      </w:r>
      <w:r>
        <w:rPr>
          <w:rFonts w:hint="eastAsia" w:eastAsia="仿宋_GB2312" w:cs="仿宋_GB2312"/>
          <w:sz w:val="32"/>
          <w:szCs w:val="32"/>
          <w:highlight w:val="none"/>
          <w:shd w:val="clear" w:color="auto" w:fill="auto"/>
          <w:lang w:val="en-US" w:eastAsia="zh-CN"/>
        </w:rPr>
        <w:t>30</w:t>
      </w:r>
      <w:r>
        <w:rPr>
          <w:rFonts w:hint="eastAsia" w:ascii="Times New Roman" w:hAnsi="Times New Roman" w:eastAsia="仿宋_GB2312" w:cs="仿宋_GB2312"/>
          <w:sz w:val="32"/>
          <w:szCs w:val="32"/>
          <w:highlight w:val="none"/>
          <w:shd w:val="clear" w:color="auto" w:fill="auto"/>
          <w:lang w:val="en-US" w:eastAsia="zh-CN"/>
        </w:rPr>
        <w:t>个</w:t>
      </w:r>
      <w:r>
        <w:rPr>
          <w:rFonts w:hint="eastAsia" w:ascii="Times New Roman" w:hAnsi="Times New Roman" w:eastAsia="仿宋_GB2312" w:cs="仿宋_GB2312"/>
          <w:sz w:val="32"/>
          <w:szCs w:val="32"/>
          <w:highlight w:val="none"/>
          <w:shd w:val="clear" w:color="auto" w:fill="auto"/>
          <w:lang w:eastAsia="zh-CN"/>
        </w:rPr>
        <w:t>），</w:t>
      </w:r>
      <w:r>
        <w:rPr>
          <w:rFonts w:hint="eastAsia" w:ascii="Times New Roman" w:hAnsi="Times New Roman" w:eastAsia="仿宋_GB2312" w:cs="仿宋_GB2312"/>
          <w:sz w:val="32"/>
          <w:szCs w:val="32"/>
          <w:highlight w:val="none"/>
          <w:shd w:val="clear" w:color="auto" w:fill="auto"/>
        </w:rPr>
        <w:t>涉及</w:t>
      </w:r>
      <w:r>
        <w:rPr>
          <w:rFonts w:hint="eastAsia" w:ascii="Times New Roman" w:hAnsi="Times New Roman" w:eastAsia="仿宋_GB2312" w:cs="仿宋_GB2312"/>
          <w:sz w:val="32"/>
          <w:szCs w:val="32"/>
          <w:highlight w:val="none"/>
          <w:shd w:val="clear" w:color="auto" w:fill="auto"/>
          <w:lang w:eastAsia="zh-CN"/>
        </w:rPr>
        <w:t>预算</w:t>
      </w:r>
      <w:r>
        <w:rPr>
          <w:rFonts w:hint="eastAsia" w:ascii="Times New Roman" w:hAnsi="Times New Roman" w:eastAsia="仿宋_GB2312" w:cs="仿宋_GB2312"/>
          <w:sz w:val="32"/>
          <w:szCs w:val="32"/>
          <w:highlight w:val="none"/>
          <w:shd w:val="clear" w:color="auto" w:fill="auto"/>
          <w:lang w:val="en-US" w:eastAsia="zh-CN"/>
        </w:rPr>
        <w:t>资金</w:t>
      </w:r>
      <w:r>
        <w:rPr>
          <w:rFonts w:hint="eastAsia" w:eastAsia="仿宋_GB2312" w:cs="仿宋_GB2312"/>
          <w:sz w:val="32"/>
          <w:szCs w:val="32"/>
          <w:highlight w:val="none"/>
          <w:shd w:val="clear" w:color="auto" w:fill="auto"/>
          <w:lang w:val="en-US" w:eastAsia="zh-CN"/>
        </w:rPr>
        <w:t>3127.9</w:t>
      </w:r>
      <w:r>
        <w:rPr>
          <w:rFonts w:hint="eastAsia" w:ascii="Times New Roman" w:hAnsi="Times New Roman" w:eastAsia="仿宋_GB2312" w:cs="仿宋_GB2312"/>
          <w:sz w:val="32"/>
          <w:szCs w:val="32"/>
          <w:highlight w:val="none"/>
          <w:shd w:val="clear" w:color="auto" w:fill="auto"/>
          <w:lang w:val="en-US" w:eastAsia="zh-CN"/>
        </w:rPr>
        <w:t>万元，资金到位数</w:t>
      </w:r>
      <w:r>
        <w:rPr>
          <w:rFonts w:hint="eastAsia" w:eastAsia="仿宋_GB2312" w:cs="仿宋_GB2312"/>
          <w:sz w:val="32"/>
          <w:szCs w:val="32"/>
          <w:highlight w:val="none"/>
          <w:shd w:val="clear" w:color="auto" w:fill="auto"/>
          <w:lang w:val="en-US" w:eastAsia="zh-CN"/>
        </w:rPr>
        <w:t>3127.9</w:t>
      </w:r>
      <w:r>
        <w:rPr>
          <w:rFonts w:hint="eastAsia" w:ascii="Times New Roman" w:hAnsi="Times New Roman" w:eastAsia="仿宋_GB2312" w:cs="仿宋_GB2312"/>
          <w:sz w:val="32"/>
          <w:szCs w:val="32"/>
          <w:highlight w:val="none"/>
          <w:shd w:val="clear" w:color="auto" w:fill="auto"/>
          <w:lang w:val="en-US" w:eastAsia="zh-CN"/>
        </w:rPr>
        <w:t>万元，资金执行数</w:t>
      </w:r>
      <w:r>
        <w:rPr>
          <w:rFonts w:hint="eastAsia" w:eastAsia="仿宋_GB2312" w:cs="仿宋_GB2312"/>
          <w:sz w:val="32"/>
          <w:szCs w:val="32"/>
          <w:highlight w:val="none"/>
          <w:shd w:val="clear" w:color="auto" w:fill="auto"/>
          <w:lang w:val="en-US" w:eastAsia="zh-CN"/>
        </w:rPr>
        <w:t>3104.59</w:t>
      </w:r>
      <w:r>
        <w:rPr>
          <w:rFonts w:hint="eastAsia" w:ascii="Times New Roman" w:hAnsi="Times New Roman" w:eastAsia="仿宋_GB2312" w:cs="仿宋_GB2312"/>
          <w:sz w:val="32"/>
          <w:szCs w:val="32"/>
          <w:highlight w:val="none"/>
          <w:shd w:val="clear" w:color="auto" w:fill="auto"/>
          <w:lang w:val="en-US" w:eastAsia="zh-CN"/>
        </w:rPr>
        <w:t>万元，年末结余</w:t>
      </w:r>
      <w:r>
        <w:rPr>
          <w:rFonts w:hint="eastAsia" w:eastAsia="仿宋_GB2312" w:cs="仿宋_GB2312"/>
          <w:sz w:val="32"/>
          <w:szCs w:val="32"/>
          <w:highlight w:val="none"/>
          <w:shd w:val="clear" w:color="auto" w:fill="auto"/>
          <w:lang w:val="en-US" w:eastAsia="zh-CN"/>
        </w:rPr>
        <w:t>23.31</w:t>
      </w:r>
      <w:r>
        <w:rPr>
          <w:rFonts w:hint="eastAsia" w:ascii="Times New Roman" w:hAnsi="Times New Roman" w:eastAsia="仿宋_GB2312" w:cs="仿宋_GB2312"/>
          <w:sz w:val="32"/>
          <w:szCs w:val="32"/>
          <w:highlight w:val="none"/>
          <w:shd w:val="clear" w:color="auto" w:fill="auto"/>
          <w:lang w:val="en-US" w:eastAsia="zh-CN"/>
        </w:rPr>
        <w:t>万元，202</w:t>
      </w:r>
      <w:r>
        <w:rPr>
          <w:rFonts w:hint="eastAsia" w:eastAsia="仿宋_GB2312" w:cs="仿宋_GB2312"/>
          <w:sz w:val="32"/>
          <w:szCs w:val="32"/>
          <w:highlight w:val="none"/>
          <w:shd w:val="clear" w:color="auto" w:fill="auto"/>
          <w:lang w:val="en-US" w:eastAsia="zh-CN"/>
        </w:rPr>
        <w:t>5</w:t>
      </w:r>
      <w:r>
        <w:rPr>
          <w:rFonts w:hint="eastAsia" w:ascii="Times New Roman" w:hAnsi="Times New Roman" w:eastAsia="仿宋_GB2312" w:cs="仿宋_GB2312"/>
          <w:sz w:val="32"/>
          <w:szCs w:val="32"/>
          <w:highlight w:val="none"/>
          <w:shd w:val="clear" w:color="auto" w:fill="auto"/>
          <w:lang w:val="en-US" w:eastAsia="zh-CN"/>
        </w:rPr>
        <w:t>年底交回财政。</w:t>
      </w:r>
    </w:p>
    <w:p w14:paraId="3AF7FD7D">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仿宋_GB2312"/>
          <w:sz w:val="32"/>
          <w:szCs w:val="32"/>
          <w:highlight w:val="none"/>
          <w:shd w:val="clear" w:color="auto" w:fill="auto"/>
          <w:lang w:val="en-US" w:eastAsia="zh-CN"/>
        </w:rPr>
      </w:pPr>
      <w:r>
        <w:rPr>
          <w:rFonts w:hint="eastAsia" w:ascii="Times New Roman" w:hAnsi="Times New Roman" w:eastAsia="仿宋_GB2312" w:cs="仿宋_GB2312"/>
          <w:sz w:val="32"/>
          <w:szCs w:val="32"/>
          <w:highlight w:val="none"/>
          <w:shd w:val="clear" w:color="auto" w:fill="auto"/>
          <w:lang w:val="en-US" w:eastAsia="zh-CN"/>
        </w:rPr>
        <w:t>具体明细如下：</w:t>
      </w:r>
    </w:p>
    <w:tbl>
      <w:tblPr>
        <w:tblStyle w:val="12"/>
        <w:tblW w:w="48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50"/>
        <w:gridCol w:w="1083"/>
        <w:gridCol w:w="1433"/>
        <w:gridCol w:w="1462"/>
        <w:gridCol w:w="1356"/>
        <w:gridCol w:w="1414"/>
      </w:tblGrid>
      <w:tr w14:paraId="1FAA2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1" w:type="pct"/>
            <w:vAlign w:val="center"/>
          </w:tcPr>
          <w:p w14:paraId="528749A6">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单位</w:t>
            </w:r>
          </w:p>
        </w:tc>
        <w:tc>
          <w:tcPr>
            <w:tcW w:w="595" w:type="pct"/>
            <w:vAlign w:val="center"/>
          </w:tcPr>
          <w:p w14:paraId="4792F881">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项目数</w:t>
            </w:r>
          </w:p>
        </w:tc>
        <w:tc>
          <w:tcPr>
            <w:tcW w:w="787" w:type="pct"/>
            <w:vAlign w:val="center"/>
          </w:tcPr>
          <w:p w14:paraId="58DEE0B8">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预算资金</w:t>
            </w:r>
          </w:p>
          <w:p w14:paraId="38DED9AB">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（万元）</w:t>
            </w:r>
          </w:p>
        </w:tc>
        <w:tc>
          <w:tcPr>
            <w:tcW w:w="803" w:type="pct"/>
            <w:vAlign w:val="center"/>
          </w:tcPr>
          <w:p w14:paraId="783770C6">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资金到位数</w:t>
            </w:r>
          </w:p>
          <w:p w14:paraId="3ED3CE7C">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（万元）</w:t>
            </w:r>
          </w:p>
        </w:tc>
        <w:tc>
          <w:tcPr>
            <w:tcW w:w="745" w:type="pct"/>
            <w:vAlign w:val="center"/>
          </w:tcPr>
          <w:p w14:paraId="1DBC47DC">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资金执行数（万元）</w:t>
            </w:r>
          </w:p>
        </w:tc>
        <w:tc>
          <w:tcPr>
            <w:tcW w:w="777" w:type="pct"/>
            <w:vAlign w:val="center"/>
          </w:tcPr>
          <w:p w14:paraId="03C4FBE4">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结余资金（万元）</w:t>
            </w:r>
          </w:p>
        </w:tc>
      </w:tr>
      <w:tr w14:paraId="50820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1" w:type="pct"/>
            <w:vAlign w:val="center"/>
          </w:tcPr>
          <w:p w14:paraId="490EDF29">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局机关</w:t>
            </w:r>
          </w:p>
        </w:tc>
        <w:tc>
          <w:tcPr>
            <w:tcW w:w="595" w:type="pct"/>
            <w:vAlign w:val="center"/>
          </w:tcPr>
          <w:p w14:paraId="14FC8FAB">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16</w:t>
            </w:r>
          </w:p>
        </w:tc>
        <w:tc>
          <w:tcPr>
            <w:tcW w:w="787" w:type="pct"/>
            <w:vAlign w:val="center"/>
          </w:tcPr>
          <w:p w14:paraId="17FAE200">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477.03</w:t>
            </w:r>
          </w:p>
        </w:tc>
        <w:tc>
          <w:tcPr>
            <w:tcW w:w="803" w:type="pct"/>
            <w:vAlign w:val="center"/>
          </w:tcPr>
          <w:p w14:paraId="3D0427FF">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477.03</w:t>
            </w:r>
          </w:p>
        </w:tc>
        <w:tc>
          <w:tcPr>
            <w:tcW w:w="745" w:type="pct"/>
            <w:vAlign w:val="center"/>
          </w:tcPr>
          <w:p w14:paraId="6948EBAD">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475.38</w:t>
            </w:r>
          </w:p>
        </w:tc>
        <w:tc>
          <w:tcPr>
            <w:tcW w:w="777" w:type="pct"/>
            <w:vAlign w:val="center"/>
          </w:tcPr>
          <w:p w14:paraId="1EC6BC25">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1.65</w:t>
            </w:r>
          </w:p>
        </w:tc>
      </w:tr>
      <w:tr w14:paraId="5E91A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1" w:type="pct"/>
            <w:vAlign w:val="center"/>
          </w:tcPr>
          <w:p w14:paraId="77514DA0">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石家庄市老年大学</w:t>
            </w:r>
          </w:p>
        </w:tc>
        <w:tc>
          <w:tcPr>
            <w:tcW w:w="595" w:type="pct"/>
            <w:vAlign w:val="center"/>
          </w:tcPr>
          <w:p w14:paraId="312AD9D6">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13</w:t>
            </w:r>
          </w:p>
        </w:tc>
        <w:tc>
          <w:tcPr>
            <w:tcW w:w="787" w:type="pct"/>
            <w:vAlign w:val="center"/>
          </w:tcPr>
          <w:p w14:paraId="0B181E63">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1979.34</w:t>
            </w:r>
          </w:p>
        </w:tc>
        <w:tc>
          <w:tcPr>
            <w:tcW w:w="803" w:type="pct"/>
            <w:vAlign w:val="center"/>
          </w:tcPr>
          <w:p w14:paraId="009970D9">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1979.34</w:t>
            </w:r>
          </w:p>
        </w:tc>
        <w:tc>
          <w:tcPr>
            <w:tcW w:w="745" w:type="pct"/>
            <w:vAlign w:val="center"/>
          </w:tcPr>
          <w:p w14:paraId="6903F479">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1968.85</w:t>
            </w:r>
          </w:p>
        </w:tc>
        <w:tc>
          <w:tcPr>
            <w:tcW w:w="777" w:type="pct"/>
            <w:vAlign w:val="center"/>
          </w:tcPr>
          <w:p w14:paraId="1CDB8FAE">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10.49</w:t>
            </w:r>
          </w:p>
        </w:tc>
      </w:tr>
      <w:tr w14:paraId="0EA03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1291" w:type="pct"/>
            <w:vAlign w:val="center"/>
          </w:tcPr>
          <w:p w14:paraId="5620FD2F">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老干部活动中心</w:t>
            </w:r>
          </w:p>
        </w:tc>
        <w:tc>
          <w:tcPr>
            <w:tcW w:w="595" w:type="pct"/>
            <w:vAlign w:val="center"/>
          </w:tcPr>
          <w:p w14:paraId="5DD4DCA5">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10</w:t>
            </w:r>
          </w:p>
        </w:tc>
        <w:tc>
          <w:tcPr>
            <w:tcW w:w="787" w:type="pct"/>
            <w:vAlign w:val="center"/>
          </w:tcPr>
          <w:p w14:paraId="781DFE00">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588.26</w:t>
            </w:r>
          </w:p>
        </w:tc>
        <w:tc>
          <w:tcPr>
            <w:tcW w:w="803" w:type="pct"/>
            <w:vAlign w:val="center"/>
          </w:tcPr>
          <w:p w14:paraId="4E2279AA">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588.26</w:t>
            </w:r>
          </w:p>
        </w:tc>
        <w:tc>
          <w:tcPr>
            <w:tcW w:w="745" w:type="pct"/>
            <w:vAlign w:val="center"/>
          </w:tcPr>
          <w:p w14:paraId="30EECAFF">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577.19</w:t>
            </w:r>
          </w:p>
        </w:tc>
        <w:tc>
          <w:tcPr>
            <w:tcW w:w="777" w:type="pct"/>
            <w:vAlign w:val="center"/>
          </w:tcPr>
          <w:p w14:paraId="0C54D528">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11.07</w:t>
            </w:r>
          </w:p>
        </w:tc>
      </w:tr>
      <w:tr w14:paraId="648B3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1" w:type="pct"/>
            <w:vAlign w:val="center"/>
          </w:tcPr>
          <w:p w14:paraId="35E0C0BE">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老干部休养所</w:t>
            </w:r>
          </w:p>
        </w:tc>
        <w:tc>
          <w:tcPr>
            <w:tcW w:w="595" w:type="pct"/>
            <w:vAlign w:val="center"/>
          </w:tcPr>
          <w:p w14:paraId="5424C3AF">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7</w:t>
            </w:r>
          </w:p>
        </w:tc>
        <w:tc>
          <w:tcPr>
            <w:tcW w:w="787" w:type="pct"/>
            <w:vAlign w:val="center"/>
          </w:tcPr>
          <w:p w14:paraId="36773DA9">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83.26</w:t>
            </w:r>
          </w:p>
        </w:tc>
        <w:tc>
          <w:tcPr>
            <w:tcW w:w="803" w:type="pct"/>
            <w:vAlign w:val="center"/>
          </w:tcPr>
          <w:p w14:paraId="439FD927">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83.26</w:t>
            </w:r>
          </w:p>
        </w:tc>
        <w:tc>
          <w:tcPr>
            <w:tcW w:w="745" w:type="pct"/>
            <w:vAlign w:val="center"/>
          </w:tcPr>
          <w:p w14:paraId="2817BF6A">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83.17</w:t>
            </w:r>
          </w:p>
        </w:tc>
        <w:tc>
          <w:tcPr>
            <w:tcW w:w="777" w:type="pct"/>
            <w:vAlign w:val="center"/>
          </w:tcPr>
          <w:p w14:paraId="700C0BAD">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0.09</w:t>
            </w:r>
          </w:p>
        </w:tc>
      </w:tr>
      <w:tr w14:paraId="4BD95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1" w:type="pct"/>
            <w:vAlign w:val="center"/>
          </w:tcPr>
          <w:p w14:paraId="34D4E15D">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合计</w:t>
            </w:r>
          </w:p>
        </w:tc>
        <w:tc>
          <w:tcPr>
            <w:tcW w:w="595" w:type="pct"/>
            <w:vAlign w:val="center"/>
          </w:tcPr>
          <w:p w14:paraId="40A7CF60">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b/>
                <w:bCs/>
                <w:sz w:val="24"/>
                <w:szCs w:val="24"/>
                <w:highlight w:val="none"/>
                <w:shd w:val="clear" w:color="auto" w:fill="auto"/>
                <w:vertAlign w:val="baseline"/>
                <w:lang w:val="en-US" w:eastAsia="zh-CN"/>
              </w:rPr>
            </w:pPr>
            <w:r>
              <w:rPr>
                <w:rFonts w:hint="eastAsia" w:ascii="仿宋" w:hAnsi="仿宋" w:eastAsia="仿宋" w:cs="仿宋"/>
                <w:b/>
                <w:bCs/>
                <w:sz w:val="24"/>
                <w:szCs w:val="24"/>
                <w:highlight w:val="none"/>
                <w:shd w:val="clear" w:color="auto" w:fill="auto"/>
                <w:vertAlign w:val="baseline"/>
                <w:lang w:val="en-US" w:eastAsia="zh-CN"/>
              </w:rPr>
              <w:t>46</w:t>
            </w:r>
          </w:p>
        </w:tc>
        <w:tc>
          <w:tcPr>
            <w:tcW w:w="787" w:type="pct"/>
            <w:vAlign w:val="center"/>
          </w:tcPr>
          <w:p w14:paraId="3B29F3E7">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b/>
                <w:bCs/>
                <w:sz w:val="24"/>
                <w:szCs w:val="24"/>
                <w:highlight w:val="none"/>
                <w:shd w:val="clear" w:color="auto" w:fill="auto"/>
                <w:vertAlign w:val="baseline"/>
                <w:lang w:val="en-US" w:eastAsia="zh-CN"/>
              </w:rPr>
            </w:pPr>
            <w:r>
              <w:rPr>
                <w:rFonts w:hint="eastAsia" w:ascii="仿宋" w:hAnsi="仿宋" w:eastAsia="仿宋" w:cs="仿宋"/>
                <w:b/>
                <w:bCs/>
                <w:sz w:val="24"/>
                <w:szCs w:val="24"/>
                <w:highlight w:val="none"/>
                <w:shd w:val="clear" w:color="auto" w:fill="auto"/>
                <w:vertAlign w:val="baseline"/>
                <w:lang w:val="en-US" w:eastAsia="zh-CN"/>
              </w:rPr>
              <w:t>3127.9</w:t>
            </w:r>
          </w:p>
        </w:tc>
        <w:tc>
          <w:tcPr>
            <w:tcW w:w="803" w:type="pct"/>
            <w:vAlign w:val="center"/>
          </w:tcPr>
          <w:p w14:paraId="4FE787DB">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b/>
                <w:bCs/>
                <w:sz w:val="24"/>
                <w:szCs w:val="24"/>
                <w:highlight w:val="none"/>
                <w:shd w:val="clear" w:color="auto" w:fill="auto"/>
                <w:vertAlign w:val="baseline"/>
                <w:lang w:val="en-US" w:eastAsia="zh-CN"/>
              </w:rPr>
            </w:pPr>
            <w:r>
              <w:rPr>
                <w:rFonts w:hint="eastAsia" w:ascii="仿宋" w:hAnsi="仿宋" w:eastAsia="仿宋" w:cs="仿宋"/>
                <w:b/>
                <w:bCs/>
                <w:sz w:val="24"/>
                <w:szCs w:val="24"/>
                <w:highlight w:val="none"/>
                <w:shd w:val="clear" w:color="auto" w:fill="auto"/>
                <w:vertAlign w:val="baseline"/>
                <w:lang w:val="en-US" w:eastAsia="zh-CN"/>
              </w:rPr>
              <w:t>3127.9</w:t>
            </w:r>
          </w:p>
        </w:tc>
        <w:tc>
          <w:tcPr>
            <w:tcW w:w="745" w:type="pct"/>
            <w:vAlign w:val="center"/>
          </w:tcPr>
          <w:p w14:paraId="53DF1CE0">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b/>
                <w:bCs/>
                <w:sz w:val="24"/>
                <w:szCs w:val="24"/>
                <w:highlight w:val="none"/>
                <w:shd w:val="clear" w:color="auto" w:fill="auto"/>
                <w:vertAlign w:val="baseline"/>
                <w:lang w:val="en-US" w:eastAsia="zh-CN"/>
              </w:rPr>
            </w:pPr>
            <w:r>
              <w:rPr>
                <w:rFonts w:hint="eastAsia" w:ascii="仿宋" w:hAnsi="仿宋" w:eastAsia="仿宋" w:cs="仿宋"/>
                <w:b/>
                <w:bCs/>
                <w:sz w:val="24"/>
                <w:szCs w:val="24"/>
                <w:highlight w:val="none"/>
                <w:shd w:val="clear" w:color="auto" w:fill="auto"/>
                <w:vertAlign w:val="baseline"/>
                <w:lang w:val="en-US" w:eastAsia="zh-CN"/>
              </w:rPr>
              <w:t>3104.59</w:t>
            </w:r>
          </w:p>
        </w:tc>
        <w:tc>
          <w:tcPr>
            <w:tcW w:w="777" w:type="pct"/>
            <w:vAlign w:val="center"/>
          </w:tcPr>
          <w:p w14:paraId="0FE25ECF">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b/>
                <w:bCs/>
                <w:sz w:val="24"/>
                <w:szCs w:val="24"/>
                <w:highlight w:val="none"/>
                <w:shd w:val="clear" w:color="auto" w:fill="auto"/>
                <w:vertAlign w:val="baseline"/>
                <w:lang w:val="en-US" w:eastAsia="zh-CN"/>
              </w:rPr>
            </w:pPr>
            <w:r>
              <w:rPr>
                <w:rFonts w:hint="eastAsia" w:ascii="仿宋" w:hAnsi="仿宋" w:eastAsia="仿宋" w:cs="仿宋"/>
                <w:b/>
                <w:bCs/>
                <w:sz w:val="24"/>
                <w:szCs w:val="24"/>
                <w:highlight w:val="none"/>
                <w:shd w:val="clear" w:color="auto" w:fill="auto"/>
                <w:vertAlign w:val="baseline"/>
                <w:lang w:val="en-US" w:eastAsia="zh-CN"/>
              </w:rPr>
              <w:t>23.31</w:t>
            </w:r>
          </w:p>
        </w:tc>
      </w:tr>
    </w:tbl>
    <w:p w14:paraId="7E0E505F">
      <w:pPr>
        <w:keepNext w:val="0"/>
        <w:keepLines w:val="0"/>
        <w:pageBreakBefore w:val="0"/>
        <w:widowControl w:val="0"/>
        <w:shd w:val="clear"/>
        <w:kinsoku/>
        <w:wordWrap/>
        <w:overflowPunct/>
        <w:topLinePunct w:val="0"/>
        <w:autoSpaceDE/>
        <w:autoSpaceDN/>
        <w:bidi w:val="0"/>
        <w:adjustRightInd/>
        <w:snapToGrid w:val="0"/>
        <w:spacing w:line="600" w:lineRule="exact"/>
        <w:textAlignment w:val="auto"/>
        <w:rPr>
          <w:rFonts w:hint="eastAsia" w:ascii="Times New Roman" w:hAnsi="Times New Roman" w:eastAsia="宋体" w:cs="宋体"/>
          <w:sz w:val="21"/>
          <w:szCs w:val="21"/>
          <w:highlight w:val="none"/>
          <w:shd w:val="clear" w:color="auto" w:fill="auto"/>
          <w:lang w:val="en-US" w:eastAsia="zh-CN"/>
        </w:rPr>
      </w:pPr>
      <w:r>
        <w:rPr>
          <w:rFonts w:hint="eastAsia" w:ascii="Times New Roman" w:hAnsi="Times New Roman" w:eastAsia="宋体" w:cs="宋体"/>
          <w:sz w:val="21"/>
          <w:szCs w:val="21"/>
          <w:highlight w:val="none"/>
          <w:shd w:val="clear" w:color="auto" w:fill="auto"/>
          <w:lang w:val="en-US" w:eastAsia="zh-CN"/>
        </w:rPr>
        <w:t>注：以上数据存在四舍五入。</w:t>
      </w:r>
    </w:p>
    <w:p w14:paraId="490103BC">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val="en-US" w:eastAsia="zh-CN"/>
        </w:rPr>
      </w:pPr>
      <w:bookmarkStart w:id="4" w:name="_Toc15552"/>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三</w:t>
      </w:r>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制度建设情况</w:t>
      </w:r>
      <w:bookmarkEnd w:id="4"/>
    </w:p>
    <w:p w14:paraId="0CAB0A2E">
      <w:pPr>
        <w:keepNext w:val="0"/>
        <w:keepLines w:val="0"/>
        <w:pageBreakBefore w:val="0"/>
        <w:widowControl w:val="0"/>
        <w:shd w:val="clear"/>
        <w:kinsoku/>
        <w:wordWrap/>
        <w:overflowPunct/>
        <w:topLinePunct w:val="0"/>
        <w:autoSpaceDE/>
        <w:autoSpaceDN/>
        <w:bidi w:val="0"/>
        <w:adjustRightInd/>
        <w:snapToGrid w:val="0"/>
        <w:spacing w:line="560" w:lineRule="exact"/>
        <w:ind w:left="0" w:firstLine="640" w:firstLineChars="200"/>
        <w:textAlignment w:val="auto"/>
        <w:rPr>
          <w:rFonts w:hint="eastAsia" w:ascii="Times New Roman" w:hAnsi="Times New Roman" w:eastAsia="仿宋_GB2312" w:cs="仿宋_GB2312"/>
          <w:sz w:val="32"/>
          <w:szCs w:val="32"/>
          <w:highlight w:val="none"/>
          <w:shd w:val="clear" w:color="auto" w:fill="auto"/>
        </w:rPr>
      </w:pPr>
      <w:r>
        <w:rPr>
          <w:rFonts w:hint="eastAsia" w:eastAsia="仿宋_GB2312" w:cs="仿宋_GB2312"/>
          <w:sz w:val="32"/>
          <w:szCs w:val="32"/>
          <w:highlight w:val="none"/>
          <w:shd w:val="clear" w:color="auto" w:fill="auto"/>
          <w:lang w:eastAsia="zh-CN"/>
        </w:rPr>
        <w:t>我部门</w:t>
      </w:r>
      <w:r>
        <w:rPr>
          <w:rFonts w:hint="eastAsia" w:ascii="Times New Roman" w:hAnsi="Times New Roman" w:eastAsia="仿宋_GB2312" w:cs="仿宋_GB2312"/>
          <w:sz w:val="32"/>
          <w:szCs w:val="32"/>
          <w:highlight w:val="none"/>
          <w:shd w:val="clear" w:color="auto" w:fill="auto"/>
        </w:rPr>
        <w:t>依照《中华人民共和国预算法》、《中华人民共和国会计法》</w:t>
      </w:r>
      <w:r>
        <w:rPr>
          <w:rFonts w:hint="eastAsia" w:ascii="Times New Roman" w:hAnsi="Times New Roman" w:eastAsia="仿宋_GB2312" w:cs="仿宋_GB2312"/>
          <w:sz w:val="32"/>
          <w:szCs w:val="32"/>
          <w:highlight w:val="none"/>
          <w:shd w:val="clear" w:color="auto" w:fill="auto"/>
          <w:lang w:eastAsia="zh-CN"/>
        </w:rPr>
        <w:t>、</w:t>
      </w:r>
      <w:r>
        <w:rPr>
          <w:rFonts w:hint="eastAsia" w:ascii="Times New Roman" w:hAnsi="Times New Roman" w:eastAsia="仿宋_GB2312" w:cs="仿宋_GB2312"/>
          <w:sz w:val="32"/>
          <w:szCs w:val="32"/>
          <w:highlight w:val="none"/>
          <w:shd w:val="clear" w:color="auto" w:fill="auto"/>
        </w:rPr>
        <w:t>《</w:t>
      </w:r>
      <w:r>
        <w:rPr>
          <w:rFonts w:hint="eastAsia" w:ascii="Times New Roman" w:hAnsi="Times New Roman" w:eastAsia="仿宋_GB2312" w:cs="仿宋_GB2312"/>
          <w:sz w:val="32"/>
          <w:szCs w:val="32"/>
          <w:highlight w:val="none"/>
          <w:shd w:val="clear" w:color="auto" w:fill="auto"/>
          <w:lang w:eastAsia="zh-CN"/>
        </w:rPr>
        <w:t>政府会计准则—基本准则</w:t>
      </w:r>
      <w:r>
        <w:rPr>
          <w:rFonts w:hint="eastAsia" w:ascii="Times New Roman" w:hAnsi="Times New Roman" w:eastAsia="仿宋_GB2312" w:cs="仿宋_GB2312"/>
          <w:sz w:val="32"/>
          <w:szCs w:val="32"/>
          <w:highlight w:val="none"/>
          <w:shd w:val="clear" w:color="auto" w:fill="auto"/>
        </w:rPr>
        <w:t>》等法律法规</w:t>
      </w:r>
      <w:r>
        <w:rPr>
          <w:rFonts w:hint="eastAsia" w:ascii="Times New Roman" w:hAnsi="Times New Roman" w:eastAsia="仿宋_GB2312" w:cs="仿宋_GB2312"/>
          <w:sz w:val="32"/>
          <w:szCs w:val="32"/>
          <w:highlight w:val="none"/>
          <w:shd w:val="clear" w:color="auto" w:fill="auto"/>
          <w:lang w:eastAsia="zh-CN"/>
        </w:rPr>
        <w:t>、规章制度</w:t>
      </w:r>
      <w:r>
        <w:rPr>
          <w:rFonts w:hint="eastAsia" w:ascii="Times New Roman" w:hAnsi="Times New Roman" w:eastAsia="仿宋_GB2312" w:cs="仿宋_GB2312"/>
          <w:sz w:val="32"/>
          <w:szCs w:val="32"/>
          <w:highlight w:val="none"/>
          <w:shd w:val="clear" w:color="auto" w:fill="auto"/>
        </w:rPr>
        <w:t>及</w:t>
      </w:r>
      <w:r>
        <w:rPr>
          <w:rFonts w:hint="eastAsia" w:ascii="Times New Roman" w:hAnsi="Times New Roman" w:eastAsia="仿宋_GB2312" w:cs="仿宋_GB2312"/>
          <w:sz w:val="32"/>
          <w:szCs w:val="32"/>
          <w:highlight w:val="none"/>
          <w:shd w:val="clear" w:color="auto" w:fill="auto"/>
          <w:lang w:val="en-US" w:eastAsia="zh-CN"/>
        </w:rPr>
        <w:t>局属单位的财务管理制度等</w:t>
      </w:r>
      <w:r>
        <w:rPr>
          <w:rFonts w:hint="eastAsia" w:ascii="Times New Roman" w:hAnsi="Times New Roman" w:eastAsia="仿宋_GB2312" w:cs="仿宋_GB2312"/>
          <w:sz w:val="32"/>
          <w:szCs w:val="32"/>
          <w:highlight w:val="none"/>
          <w:shd w:val="clear" w:color="auto" w:fill="auto"/>
        </w:rPr>
        <w:t>，加强</w:t>
      </w:r>
      <w:r>
        <w:rPr>
          <w:rFonts w:hint="eastAsia" w:ascii="Times New Roman" w:hAnsi="Times New Roman" w:eastAsia="仿宋_GB2312" w:cs="仿宋_GB2312"/>
          <w:sz w:val="32"/>
          <w:szCs w:val="32"/>
          <w:highlight w:val="none"/>
          <w:shd w:val="clear" w:color="auto" w:fill="auto"/>
          <w:lang w:val="en-US" w:eastAsia="zh-CN"/>
        </w:rPr>
        <w:t>了</w:t>
      </w:r>
      <w:r>
        <w:rPr>
          <w:rFonts w:hint="eastAsia" w:ascii="Times New Roman" w:hAnsi="Times New Roman" w:eastAsia="仿宋_GB2312" w:cs="仿宋_GB2312"/>
          <w:sz w:val="32"/>
          <w:szCs w:val="32"/>
          <w:highlight w:val="none"/>
          <w:shd w:val="clear" w:color="auto" w:fill="auto"/>
        </w:rPr>
        <w:t>资金支付审批管理，明确</w:t>
      </w:r>
      <w:r>
        <w:rPr>
          <w:rFonts w:hint="eastAsia" w:ascii="Times New Roman" w:hAnsi="Times New Roman" w:eastAsia="仿宋_GB2312" w:cs="仿宋_GB2312"/>
          <w:sz w:val="32"/>
          <w:szCs w:val="32"/>
          <w:highlight w:val="none"/>
          <w:shd w:val="clear" w:color="auto" w:fill="auto"/>
          <w:lang w:val="en-US" w:eastAsia="zh-CN"/>
        </w:rPr>
        <w:t>了</w:t>
      </w:r>
      <w:r>
        <w:rPr>
          <w:rFonts w:hint="eastAsia" w:ascii="Times New Roman" w:hAnsi="Times New Roman" w:eastAsia="仿宋_GB2312" w:cs="仿宋_GB2312"/>
          <w:sz w:val="32"/>
          <w:szCs w:val="32"/>
          <w:highlight w:val="none"/>
          <w:shd w:val="clear" w:color="auto" w:fill="auto"/>
        </w:rPr>
        <w:t>项目资金管理的原则，加强</w:t>
      </w:r>
      <w:r>
        <w:rPr>
          <w:rFonts w:hint="eastAsia" w:ascii="Times New Roman" w:hAnsi="Times New Roman" w:eastAsia="仿宋_GB2312" w:cs="仿宋_GB2312"/>
          <w:sz w:val="32"/>
          <w:szCs w:val="32"/>
          <w:highlight w:val="none"/>
          <w:shd w:val="clear" w:color="auto" w:fill="auto"/>
          <w:lang w:val="en-US" w:eastAsia="zh-CN"/>
        </w:rPr>
        <w:t>了</w:t>
      </w:r>
      <w:r>
        <w:rPr>
          <w:rFonts w:hint="eastAsia" w:ascii="Times New Roman" w:hAnsi="Times New Roman" w:eastAsia="仿宋_GB2312" w:cs="仿宋_GB2312"/>
          <w:sz w:val="32"/>
          <w:szCs w:val="32"/>
          <w:highlight w:val="none"/>
          <w:shd w:val="clear" w:color="auto" w:fill="auto"/>
        </w:rPr>
        <w:t>资金使用管理，定期监督检查资金使用合规性、支出进度，确保账面数字真实，资金使用规范化。</w:t>
      </w:r>
    </w:p>
    <w:p w14:paraId="72AB0E84">
      <w:pPr>
        <w:keepNext w:val="0"/>
        <w:keepLines w:val="0"/>
        <w:pageBreakBefore w:val="0"/>
        <w:widowControl w:val="0"/>
        <w:shd w:val="clear"/>
        <w:kinsoku/>
        <w:wordWrap/>
        <w:overflowPunct/>
        <w:topLinePunct w:val="0"/>
        <w:autoSpaceDE/>
        <w:autoSpaceDN/>
        <w:bidi w:val="0"/>
        <w:adjustRightInd/>
        <w:snapToGrid w:val="0"/>
        <w:spacing w:line="560" w:lineRule="exact"/>
        <w:ind w:left="0" w:firstLine="640" w:firstLineChars="200"/>
        <w:textAlignment w:val="auto"/>
        <w:rPr>
          <w:rFonts w:hint="eastAsia" w:ascii="Times New Roman" w:hAnsi="Times New Roman" w:eastAsia="仿宋_GB2312" w:cs="仿宋_GB2312"/>
          <w:highlight w:val="none"/>
          <w:shd w:val="clear" w:color="auto" w:fill="auto"/>
          <w:lang w:eastAsia="zh-CN"/>
        </w:rPr>
      </w:pPr>
      <w:r>
        <w:rPr>
          <w:rFonts w:hint="eastAsia" w:eastAsia="仿宋_GB2312" w:cs="仿宋_GB2312"/>
          <w:sz w:val="32"/>
          <w:szCs w:val="32"/>
          <w:highlight w:val="none"/>
          <w:shd w:val="clear" w:color="auto" w:fill="auto"/>
          <w:lang w:val="en-US" w:eastAsia="zh-CN"/>
        </w:rPr>
        <w:t>我部门</w:t>
      </w:r>
      <w:r>
        <w:rPr>
          <w:rFonts w:hint="eastAsia" w:ascii="Times New Roman" w:hAnsi="Times New Roman" w:eastAsia="仿宋_GB2312" w:cs="仿宋_GB2312"/>
          <w:sz w:val="32"/>
          <w:szCs w:val="32"/>
          <w:highlight w:val="none"/>
          <w:shd w:val="clear" w:color="auto" w:fill="auto"/>
          <w:lang w:val="en-US" w:eastAsia="zh-CN"/>
        </w:rPr>
        <w:t>秉承</w:t>
      </w:r>
      <w:r>
        <w:rPr>
          <w:rFonts w:hint="eastAsia" w:ascii="Times New Roman" w:hAnsi="Times New Roman" w:eastAsia="仿宋_GB2312" w:cs="仿宋_GB2312"/>
          <w:color w:val="000000"/>
          <w:sz w:val="32"/>
          <w:szCs w:val="32"/>
          <w:highlight w:val="none"/>
          <w:shd w:val="clear" w:color="auto" w:fill="auto"/>
        </w:rPr>
        <w:t>制度管人管事管钱</w:t>
      </w:r>
      <w:r>
        <w:rPr>
          <w:rFonts w:hint="eastAsia" w:ascii="Times New Roman" w:hAnsi="Times New Roman" w:eastAsia="仿宋_GB2312" w:cs="仿宋_GB2312"/>
          <w:color w:val="000000"/>
          <w:sz w:val="32"/>
          <w:szCs w:val="32"/>
          <w:highlight w:val="none"/>
          <w:shd w:val="clear" w:color="auto" w:fill="auto"/>
          <w:lang w:val="en-US" w:eastAsia="zh-CN"/>
        </w:rPr>
        <w:t>原则</w:t>
      </w:r>
      <w:r>
        <w:rPr>
          <w:rFonts w:hint="eastAsia" w:ascii="Times New Roman" w:hAnsi="Times New Roman" w:eastAsia="仿宋_GB2312" w:cs="仿宋_GB2312"/>
          <w:color w:val="000000"/>
          <w:sz w:val="32"/>
          <w:szCs w:val="32"/>
          <w:highlight w:val="none"/>
          <w:shd w:val="clear" w:color="auto" w:fill="auto"/>
        </w:rPr>
        <w:t>，</w:t>
      </w:r>
      <w:r>
        <w:rPr>
          <w:rFonts w:hint="eastAsia" w:ascii="Times New Roman" w:hAnsi="Times New Roman" w:eastAsia="仿宋_GB2312" w:cs="仿宋_GB2312"/>
          <w:color w:val="000000"/>
          <w:sz w:val="32"/>
          <w:szCs w:val="32"/>
          <w:highlight w:val="none"/>
          <w:shd w:val="clear" w:color="auto" w:fill="auto"/>
          <w:lang w:val="en-US" w:eastAsia="zh-CN"/>
        </w:rPr>
        <w:t>先后</w:t>
      </w:r>
      <w:r>
        <w:rPr>
          <w:rFonts w:hint="eastAsia" w:ascii="Times New Roman" w:hAnsi="Times New Roman" w:eastAsia="仿宋_GB2312" w:cs="仿宋_GB2312"/>
          <w:color w:val="000000"/>
          <w:sz w:val="32"/>
          <w:szCs w:val="32"/>
          <w:highlight w:val="none"/>
          <w:shd w:val="clear" w:color="auto" w:fill="auto"/>
        </w:rPr>
        <w:t>出台</w:t>
      </w:r>
      <w:r>
        <w:rPr>
          <w:rFonts w:hint="eastAsia" w:ascii="Times New Roman" w:hAnsi="Times New Roman" w:eastAsia="仿宋_GB2312" w:cs="仿宋_GB2312"/>
          <w:color w:val="000000"/>
          <w:sz w:val="32"/>
          <w:szCs w:val="32"/>
          <w:highlight w:val="none"/>
          <w:shd w:val="clear" w:color="auto" w:fill="auto"/>
          <w:lang w:val="en-US" w:eastAsia="zh-CN"/>
        </w:rPr>
        <w:t>了</w:t>
      </w:r>
      <w:r>
        <w:rPr>
          <w:rFonts w:hint="eastAsia" w:ascii="Times New Roman" w:hAnsi="Times New Roman" w:eastAsia="仿宋_GB2312" w:cs="仿宋_GB2312"/>
          <w:color w:val="auto"/>
          <w:sz w:val="32"/>
          <w:szCs w:val="32"/>
          <w:highlight w:val="none"/>
          <w:shd w:val="clear" w:color="auto" w:fill="auto"/>
        </w:rPr>
        <w:t>《内部审计工作制度》</w:t>
      </w:r>
      <w:r>
        <w:rPr>
          <w:rFonts w:hint="eastAsia" w:ascii="Times New Roman" w:hAnsi="Times New Roman" w:eastAsia="仿宋_GB2312" w:cs="仿宋_GB2312"/>
          <w:color w:val="auto"/>
          <w:sz w:val="32"/>
          <w:szCs w:val="32"/>
          <w:highlight w:val="none"/>
          <w:shd w:val="clear" w:color="auto" w:fill="auto"/>
          <w:lang w:eastAsia="zh-CN"/>
        </w:rPr>
        <w:t>、《市委老干部局工会财务制度》、</w:t>
      </w:r>
      <w:r>
        <w:rPr>
          <w:rFonts w:hint="eastAsia" w:ascii="Times New Roman" w:hAnsi="Times New Roman" w:eastAsia="仿宋_GB2312" w:cs="仿宋_GB2312"/>
          <w:color w:val="auto"/>
          <w:sz w:val="32"/>
          <w:szCs w:val="32"/>
          <w:highlight w:val="none"/>
          <w:shd w:val="clear" w:color="auto" w:fill="auto"/>
        </w:rPr>
        <w:t>《</w:t>
      </w:r>
      <w:r>
        <w:rPr>
          <w:rFonts w:hint="eastAsia" w:ascii="Times New Roman" w:hAnsi="Times New Roman" w:eastAsia="仿宋_GB2312" w:cs="仿宋_GB2312"/>
          <w:color w:val="auto"/>
          <w:sz w:val="32"/>
          <w:szCs w:val="32"/>
          <w:highlight w:val="none"/>
          <w:shd w:val="clear" w:color="auto" w:fill="auto"/>
          <w:lang w:eastAsia="zh-CN"/>
        </w:rPr>
        <w:t>值班工作制度</w:t>
      </w:r>
      <w:r>
        <w:rPr>
          <w:rFonts w:hint="eastAsia" w:ascii="Times New Roman" w:hAnsi="Times New Roman" w:eastAsia="仿宋_GB2312" w:cs="仿宋_GB2312"/>
          <w:color w:val="auto"/>
          <w:sz w:val="32"/>
          <w:szCs w:val="32"/>
          <w:highlight w:val="none"/>
          <w:shd w:val="clear" w:color="auto" w:fill="auto"/>
        </w:rPr>
        <w:t>》</w:t>
      </w:r>
      <w:r>
        <w:rPr>
          <w:rFonts w:hint="eastAsia" w:ascii="Times New Roman" w:hAnsi="Times New Roman" w:eastAsia="仿宋_GB2312" w:cs="仿宋_GB2312"/>
          <w:color w:val="000000"/>
          <w:sz w:val="32"/>
          <w:szCs w:val="32"/>
          <w:highlight w:val="none"/>
          <w:shd w:val="clear" w:color="auto" w:fill="auto"/>
        </w:rPr>
        <w:t>等制度规定，</w:t>
      </w:r>
      <w:r>
        <w:rPr>
          <w:rFonts w:hint="eastAsia" w:ascii="Times New Roman" w:hAnsi="Times New Roman" w:eastAsia="仿宋_GB2312" w:cs="仿宋_GB2312"/>
          <w:color w:val="000000"/>
          <w:sz w:val="32"/>
          <w:szCs w:val="32"/>
          <w:highlight w:val="none"/>
          <w:shd w:val="clear" w:color="auto" w:fill="auto"/>
          <w:lang w:val="en-US" w:eastAsia="zh-CN"/>
        </w:rPr>
        <w:t>促进了</w:t>
      </w:r>
      <w:r>
        <w:rPr>
          <w:rFonts w:hint="eastAsia" w:ascii="Times New Roman" w:hAnsi="Times New Roman" w:eastAsia="仿宋_GB2312" w:cs="仿宋_GB2312"/>
          <w:color w:val="000000"/>
          <w:sz w:val="32"/>
          <w:szCs w:val="32"/>
          <w:highlight w:val="none"/>
          <w:shd w:val="clear" w:color="auto" w:fill="auto"/>
        </w:rPr>
        <w:t>老干部工作规范化水平进一步提升</w:t>
      </w:r>
      <w:r>
        <w:rPr>
          <w:rFonts w:hint="eastAsia" w:ascii="Times New Roman" w:hAnsi="Times New Roman" w:eastAsia="仿宋_GB2312" w:cs="仿宋_GB2312"/>
          <w:color w:val="000000"/>
          <w:sz w:val="32"/>
          <w:szCs w:val="32"/>
          <w:highlight w:val="none"/>
          <w:shd w:val="clear" w:color="auto" w:fill="auto"/>
          <w:lang w:eastAsia="zh-CN"/>
        </w:rPr>
        <w:t>。</w:t>
      </w:r>
    </w:p>
    <w:p w14:paraId="418262C5">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0"/>
        <w:rPr>
          <w:rFonts w:hint="eastAsia" w:ascii="Times New Roman" w:hAnsi="Times New Roman" w:eastAsia="黑体" w:cs="黑体"/>
          <w:sz w:val="32"/>
          <w:szCs w:val="32"/>
          <w:highlight w:val="none"/>
          <w:shd w:val="clear" w:color="auto" w:fill="auto"/>
        </w:rPr>
      </w:pPr>
      <w:bookmarkStart w:id="5" w:name="_Toc3474"/>
      <w:r>
        <w:rPr>
          <w:rFonts w:hint="eastAsia" w:ascii="Times New Roman" w:hAnsi="Times New Roman" w:eastAsia="黑体" w:cs="黑体"/>
          <w:sz w:val="32"/>
          <w:szCs w:val="32"/>
          <w:highlight w:val="none"/>
          <w:shd w:val="clear" w:color="auto" w:fill="auto"/>
        </w:rPr>
        <w:t>二、绩效目标实现情况</w:t>
      </w:r>
      <w:bookmarkEnd w:id="5"/>
    </w:p>
    <w:p w14:paraId="3E1CD493">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eastAsia="zh-CN"/>
        </w:rPr>
      </w:pPr>
      <w:bookmarkStart w:id="6" w:name="_Toc20591"/>
      <w:bookmarkStart w:id="7" w:name="_Toc5428"/>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一</w:t>
      </w:r>
      <w:r>
        <w:rPr>
          <w:rFonts w:hint="eastAsia" w:ascii="Times New Roman" w:hAnsi="Times New Roman" w:eastAsia="楷体" w:cs="楷体"/>
          <w:sz w:val="32"/>
          <w:szCs w:val="32"/>
          <w:highlight w:val="none"/>
          <w:shd w:val="clear" w:color="auto" w:fill="auto"/>
          <w:lang w:eastAsia="zh-CN"/>
        </w:rPr>
        <w:t>）部门总体工作开展情况</w:t>
      </w:r>
      <w:bookmarkEnd w:id="6"/>
      <w:bookmarkEnd w:id="7"/>
    </w:p>
    <w:p w14:paraId="26FE8F5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Times New Roman" w:hAnsi="Times New Roman" w:eastAsia="仿宋_GB2312" w:cs="Times New Roman"/>
          <w:color w:val="auto"/>
          <w:sz w:val="32"/>
          <w:szCs w:val="32"/>
          <w:lang w:val="en-US" w:eastAsia="zh-CN"/>
        </w:rPr>
      </w:pPr>
      <w:bookmarkStart w:id="8" w:name="_Toc31691"/>
      <w:bookmarkStart w:id="9" w:name="_Toc8251"/>
      <w:r>
        <w:rPr>
          <w:rFonts w:hint="eastAsia" w:ascii="仿宋_GB2312" w:hAnsi="仿宋_GB2312" w:eastAsia="仿宋_GB2312" w:cs="仿宋_GB2312"/>
          <w:b/>
          <w:bCs/>
          <w:sz w:val="32"/>
          <w:szCs w:val="32"/>
          <w:lang w:val="en-US" w:eastAsia="zh-CN"/>
        </w:rPr>
        <w:t>1.抓牢思想政治建设。</w:t>
      </w:r>
      <w:r>
        <w:rPr>
          <w:rFonts w:hint="eastAsia" w:ascii="Times New Roman" w:hAnsi="Times New Roman" w:eastAsia="仿宋_GB2312" w:cs="Times New Roman"/>
          <w:color w:val="auto"/>
          <w:sz w:val="32"/>
          <w:szCs w:val="32"/>
          <w:lang w:val="en-US" w:eastAsia="zh-CN"/>
        </w:rPr>
        <w:t>扎实开展深入贯彻中央八项规定精神学习教育，与在职人员同部署，2次印发《工作提示》，确保离退休干部学习教育全覆盖。重点学习习近平新时代中国特色社会主义思想和党的二十届四中全会精神，通过离退休干部党支部书记培训班、老年大学“思政课堂”、观看警示教育片、红色教育实践等线上线下方式，推动党的创新理论入脑入心，2025年全市举办离退休干部专题培训班37期，累计培训1000余人次。</w:t>
      </w:r>
    </w:p>
    <w:p w14:paraId="37AC091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Times New Roman" w:hAnsi="Times New Roman" w:eastAsia="仿宋_GB2312" w:cs="Times New Roman"/>
          <w:color w:val="auto"/>
          <w:sz w:val="32"/>
          <w:szCs w:val="32"/>
          <w:lang w:val="en-US" w:eastAsia="zh-CN"/>
        </w:rPr>
      </w:pPr>
      <w:r>
        <w:rPr>
          <w:rFonts w:hint="eastAsia" w:ascii="仿宋_GB2312" w:hAnsi="仿宋_GB2312" w:eastAsia="仿宋_GB2312" w:cs="仿宋_GB2312"/>
          <w:b/>
          <w:bCs/>
          <w:sz w:val="32"/>
          <w:szCs w:val="32"/>
          <w:lang w:val="en-US" w:eastAsia="zh-CN"/>
        </w:rPr>
        <w:t>2.提升党组织建设规范化水平。</w:t>
      </w:r>
      <w:r>
        <w:rPr>
          <w:rFonts w:hint="eastAsia" w:ascii="Times New Roman" w:hAnsi="Times New Roman" w:eastAsia="仿宋_GB2312" w:cs="Times New Roman"/>
          <w:color w:val="auto"/>
          <w:sz w:val="32"/>
          <w:szCs w:val="32"/>
          <w:lang w:val="en-US" w:eastAsia="zh-CN"/>
        </w:rPr>
        <w:t>围绕“每县（市、区）不少于3个规范党支部”目标，以省、市级“示范党支部”为标杆</w:t>
      </w:r>
      <w:r>
        <w:rPr>
          <w:rFonts w:hint="eastAsia" w:ascii="仿宋_GB2312" w:hAnsi="仿宋_GB2312" w:eastAsia="仿宋_GB2312" w:cs="仿宋_GB2312"/>
          <w:sz w:val="32"/>
          <w:szCs w:val="32"/>
          <w:lang w:val="en-US" w:eastAsia="zh-CN"/>
        </w:rPr>
        <w:t>,系统督导、全面推动，全面实现目标</w:t>
      </w:r>
      <w:r>
        <w:rPr>
          <w:rFonts w:hint="eastAsia" w:ascii="Times New Roman" w:hAnsi="Times New Roman" w:eastAsia="仿宋_GB2312" w:cs="Times New Roman"/>
          <w:color w:val="auto"/>
          <w:sz w:val="32"/>
          <w:szCs w:val="32"/>
          <w:lang w:val="en-US" w:eastAsia="zh-CN"/>
        </w:rPr>
        <w:t>，</w:t>
      </w:r>
      <w:r>
        <w:rPr>
          <w:rFonts w:hint="eastAsia" w:ascii="仿宋_GB2312" w:hAnsi="仿宋_GB2312" w:eastAsia="仿宋_GB2312" w:cs="仿宋_GB2312"/>
          <w:sz w:val="32"/>
          <w:szCs w:val="32"/>
          <w:lang w:val="en-US" w:eastAsia="zh-CN"/>
        </w:rPr>
        <w:t>示范带动建成规范党支部</w:t>
      </w:r>
      <w:r>
        <w:rPr>
          <w:rFonts w:hint="default" w:ascii="Times New Roman" w:hAnsi="Times New Roman" w:eastAsia="仿宋_GB2312" w:cs="Times New Roman"/>
          <w:sz w:val="32"/>
          <w:szCs w:val="32"/>
          <w:lang w:val="en-US" w:eastAsia="zh-CN"/>
        </w:rPr>
        <w:t>86</w:t>
      </w:r>
      <w:r>
        <w:rPr>
          <w:rFonts w:hint="eastAsia" w:ascii="仿宋_GB2312" w:hAnsi="仿宋_GB2312" w:eastAsia="仿宋_GB2312" w:cs="仿宋_GB2312"/>
          <w:sz w:val="32"/>
          <w:szCs w:val="32"/>
          <w:lang w:val="en-US" w:eastAsia="zh-CN"/>
        </w:rPr>
        <w:t>个。拓展组织覆盖面，</w:t>
      </w:r>
      <w:r>
        <w:rPr>
          <w:rFonts w:hint="eastAsia" w:ascii="Times New Roman" w:hAnsi="Times New Roman" w:eastAsia="仿宋_GB2312" w:cs="Times New Roman"/>
          <w:color w:val="auto"/>
          <w:sz w:val="32"/>
          <w:szCs w:val="32"/>
          <w:lang w:val="en-US" w:eastAsia="zh-CN"/>
        </w:rPr>
        <w:t>探索“一方隶属、多重管理”机制，在社区网格、老年社团等建立功能型党组织，实现教育管理全覆盖、作用发挥常态化。提升“老党员驿站”质效，通过规范驿站标识、制度流程和服务标准，提升综合服务能力，全市建成“老党员驿站”167家，年服务老同志约3.6万人次。</w:t>
      </w:r>
    </w:p>
    <w:p w14:paraId="7128C94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Times New Roman" w:hAnsi="Times New Roman" w:eastAsia="仿宋_GB2312" w:cs="Times New Roman"/>
          <w:color w:val="auto"/>
          <w:sz w:val="32"/>
          <w:szCs w:val="32"/>
          <w:lang w:val="en-US" w:eastAsia="zh-CN"/>
        </w:rPr>
      </w:pPr>
      <w:r>
        <w:rPr>
          <w:rFonts w:hint="eastAsia" w:ascii="仿宋_GB2312" w:hAnsi="仿宋_GB2312" w:eastAsia="仿宋_GB2312" w:cs="仿宋_GB2312"/>
          <w:b/>
          <w:bCs/>
          <w:sz w:val="32"/>
          <w:szCs w:val="32"/>
          <w:lang w:val="en-US" w:eastAsia="zh-CN"/>
        </w:rPr>
        <w:t>3.推动党建制度落地落实。</w:t>
      </w:r>
      <w:r>
        <w:rPr>
          <w:rFonts w:hint="eastAsia" w:ascii="Times New Roman" w:hAnsi="Times New Roman" w:eastAsia="仿宋_GB2312" w:cs="Times New Roman"/>
          <w:color w:val="auto"/>
          <w:sz w:val="32"/>
          <w:szCs w:val="32"/>
          <w:lang w:val="en-US" w:eastAsia="zh-CN"/>
        </w:rPr>
        <w:t>局领导带队赴10余家单位开展专题调研和座谈推进会，推动制度落地见效。认真落实退休领导干部日常教育管理监督要求，结合日常走访慰问加强思想政治关怀，确保教育管理有力度、组织关爱有温度。巩固干部荣誉退休制度，规范仪式流程、丰富荣退形式，有效增强离退休干部的政治荣誉感、组织归属感，2025年全市累计举办荣退仪式800余场，覆盖老同志2200余人。</w:t>
      </w:r>
    </w:p>
    <w:p w14:paraId="71884C3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仿宋_GB2312" w:eastAsia="仿宋_GB2312"/>
          <w:sz w:val="32"/>
          <w:szCs w:val="32"/>
          <w:lang w:eastAsia="zh-CN"/>
        </w:rPr>
      </w:pPr>
      <w:r>
        <w:rPr>
          <w:rFonts w:hint="eastAsia" w:ascii="仿宋_GB2312" w:hAnsi="仿宋_GB2312" w:eastAsia="仿宋_GB2312" w:cs="仿宋_GB2312"/>
          <w:b/>
          <w:bCs/>
          <w:sz w:val="32"/>
          <w:szCs w:val="32"/>
          <w:lang w:val="en-US" w:eastAsia="zh-CN"/>
        </w:rPr>
        <w:t>4.充分保障离退休干部政治生活待遇。</w:t>
      </w:r>
      <w:r>
        <w:rPr>
          <w:rFonts w:hint="eastAsia" w:ascii="仿宋_GB2312" w:eastAsia="仿宋_GB2312"/>
          <w:sz w:val="32"/>
          <w:szCs w:val="32"/>
          <w:lang w:val="en-US" w:eastAsia="zh-CN"/>
        </w:rPr>
        <w:t>严格落实离休干部“一人一策”，开展待遇落实“拉网式”排查，</w:t>
      </w:r>
      <w:r>
        <w:rPr>
          <w:rFonts w:hint="eastAsia" w:ascii="仿宋_GB2312" w:eastAsia="仿宋_GB2312"/>
          <w:sz w:val="32"/>
          <w:szCs w:val="32"/>
          <w:lang w:eastAsia="zh-CN"/>
        </w:rPr>
        <w:t>确保各项政策落实到位。</w:t>
      </w:r>
      <w:r>
        <w:rPr>
          <w:rFonts w:hint="eastAsia" w:ascii="Times New Roman" w:hAnsi="Times New Roman" w:eastAsia="仿宋_GB2312" w:cs="Times New Roman"/>
          <w:sz w:val="32"/>
          <w:szCs w:val="32"/>
          <w:lang w:val="en-US" w:eastAsia="zh-CN"/>
        </w:rPr>
        <w:t>情况通报实现常态化，全年全市累计组织各类情况通报1500余次，覆盖老同志3.5万余人次。完善联络员制度，</w:t>
      </w:r>
      <w:r>
        <w:rPr>
          <w:rFonts w:hint="eastAsia" w:ascii="Times New Roman" w:hAnsi="Times New Roman" w:eastAsia="仿宋_GB2312" w:cs="Times New Roman"/>
          <w:color w:val="auto"/>
          <w:sz w:val="32"/>
          <w:szCs w:val="32"/>
          <w:lang w:val="en-US" w:eastAsia="zh-CN"/>
        </w:rPr>
        <w:t>全市</w:t>
      </w:r>
      <w:r>
        <w:rPr>
          <w:rFonts w:hint="eastAsia" w:ascii="仿宋_GB2312" w:eastAsia="仿宋_GB2312"/>
          <w:color w:val="auto"/>
          <w:sz w:val="32"/>
          <w:szCs w:val="32"/>
        </w:rPr>
        <w:t>配备联络员</w:t>
      </w:r>
      <w:r>
        <w:rPr>
          <w:rFonts w:hint="eastAsia" w:ascii="Times New Roman" w:hAnsi="Times New Roman" w:eastAsia="仿宋_GB2312"/>
          <w:color w:val="auto"/>
          <w:sz w:val="32"/>
          <w:szCs w:val="32"/>
        </w:rPr>
        <w:t>6419</w:t>
      </w:r>
      <w:r>
        <w:rPr>
          <w:rFonts w:hint="eastAsia" w:ascii="仿宋_GB2312" w:eastAsia="仿宋_GB2312"/>
          <w:color w:val="auto"/>
          <w:sz w:val="32"/>
          <w:szCs w:val="32"/>
        </w:rPr>
        <w:t>人，联系离退休干部</w:t>
      </w:r>
      <w:r>
        <w:rPr>
          <w:rFonts w:hint="eastAsia" w:ascii="Times New Roman" w:hAnsi="Times New Roman" w:eastAsia="仿宋_GB2312"/>
          <w:color w:val="auto"/>
          <w:sz w:val="32"/>
          <w:szCs w:val="32"/>
        </w:rPr>
        <w:t>68536</w:t>
      </w:r>
      <w:r>
        <w:rPr>
          <w:rFonts w:hint="eastAsia" w:ascii="仿宋_GB2312" w:eastAsia="仿宋_GB2312"/>
          <w:color w:val="auto"/>
          <w:sz w:val="32"/>
          <w:szCs w:val="32"/>
        </w:rPr>
        <w:t>人，累计联络</w:t>
      </w:r>
      <w:r>
        <w:rPr>
          <w:rFonts w:hint="eastAsia" w:ascii="Times New Roman" w:hAnsi="Times New Roman" w:eastAsia="仿宋_GB2312"/>
          <w:color w:val="auto"/>
          <w:sz w:val="32"/>
          <w:szCs w:val="32"/>
        </w:rPr>
        <w:t>2</w:t>
      </w:r>
      <w:r>
        <w:rPr>
          <w:rFonts w:hint="eastAsia" w:ascii="仿宋_GB2312" w:eastAsia="仿宋_GB2312"/>
          <w:color w:val="auto"/>
          <w:sz w:val="32"/>
          <w:szCs w:val="32"/>
        </w:rPr>
        <w:t>.</w:t>
      </w:r>
      <w:r>
        <w:rPr>
          <w:rFonts w:hint="eastAsia" w:ascii="Times New Roman" w:hAnsi="Times New Roman" w:eastAsia="仿宋_GB2312"/>
          <w:color w:val="auto"/>
          <w:sz w:val="32"/>
          <w:szCs w:val="32"/>
        </w:rPr>
        <w:t>5</w:t>
      </w:r>
      <w:r>
        <w:rPr>
          <w:rFonts w:hint="eastAsia" w:ascii="仿宋_GB2312" w:eastAsia="仿宋_GB2312"/>
          <w:color w:val="auto"/>
          <w:sz w:val="32"/>
          <w:szCs w:val="32"/>
        </w:rPr>
        <w:t>万余次。</w:t>
      </w:r>
      <w:r>
        <w:rPr>
          <w:rFonts w:hint="eastAsia" w:ascii="仿宋_GB2312" w:eastAsia="仿宋_GB2312"/>
          <w:sz w:val="32"/>
          <w:szCs w:val="32"/>
          <w:lang w:val="en-US" w:eastAsia="zh-CN"/>
        </w:rPr>
        <w:t>坚持“四必访”，</w:t>
      </w:r>
      <w:r>
        <w:rPr>
          <w:rFonts w:hint="eastAsia" w:ascii="仿宋_GB2312" w:eastAsia="仿宋_GB2312"/>
          <w:sz w:val="32"/>
          <w:szCs w:val="32"/>
        </w:rPr>
        <w:t>全市累计开展走访慰问</w:t>
      </w:r>
      <w:r>
        <w:rPr>
          <w:rFonts w:hint="eastAsia" w:ascii="Times New Roman" w:hAnsi="Times New Roman" w:eastAsia="仿宋_GB2312"/>
          <w:sz w:val="32"/>
          <w:szCs w:val="32"/>
        </w:rPr>
        <w:t>2800</w:t>
      </w:r>
      <w:r>
        <w:rPr>
          <w:rFonts w:hint="eastAsia" w:ascii="仿宋_GB2312" w:eastAsia="仿宋_GB2312"/>
          <w:sz w:val="32"/>
          <w:szCs w:val="32"/>
        </w:rPr>
        <w:t>余次，慰问老同志</w:t>
      </w:r>
      <w:r>
        <w:rPr>
          <w:rFonts w:hint="eastAsia" w:ascii="Times New Roman" w:hAnsi="Times New Roman" w:eastAsia="仿宋_GB2312"/>
          <w:sz w:val="32"/>
          <w:szCs w:val="32"/>
        </w:rPr>
        <w:t>6</w:t>
      </w:r>
      <w:r>
        <w:rPr>
          <w:rFonts w:hint="eastAsia" w:ascii="仿宋_GB2312" w:eastAsia="仿宋_GB2312"/>
          <w:sz w:val="32"/>
          <w:szCs w:val="32"/>
        </w:rPr>
        <w:t>.</w:t>
      </w:r>
      <w:r>
        <w:rPr>
          <w:rFonts w:hint="eastAsia" w:ascii="Times New Roman" w:hAnsi="Times New Roman" w:eastAsia="仿宋_GB2312"/>
          <w:sz w:val="32"/>
          <w:szCs w:val="32"/>
        </w:rPr>
        <w:t>5</w:t>
      </w:r>
      <w:r>
        <w:rPr>
          <w:rFonts w:hint="eastAsia" w:ascii="仿宋_GB2312" w:eastAsia="仿宋_GB2312"/>
          <w:sz w:val="32"/>
          <w:szCs w:val="32"/>
        </w:rPr>
        <w:t>万余人次。精准落地待遇帮扶</w:t>
      </w:r>
      <w:r>
        <w:rPr>
          <w:rFonts w:hint="eastAsia" w:ascii="仿宋_GB2312" w:eastAsia="仿宋_GB2312"/>
          <w:sz w:val="32"/>
          <w:szCs w:val="32"/>
          <w:lang w:eastAsia="zh-CN"/>
        </w:rPr>
        <w:t>，</w:t>
      </w:r>
      <w:r>
        <w:rPr>
          <w:rFonts w:hint="eastAsia" w:ascii="仿宋_GB2312" w:eastAsia="仿宋_GB2312"/>
          <w:sz w:val="32"/>
          <w:szCs w:val="32"/>
        </w:rPr>
        <w:t>全市累计帮扶特困离退休干部</w:t>
      </w:r>
      <w:r>
        <w:rPr>
          <w:rFonts w:hint="eastAsia" w:ascii="Times New Roman" w:hAnsi="Times New Roman" w:eastAsia="仿宋_GB2312"/>
          <w:sz w:val="32"/>
          <w:szCs w:val="32"/>
        </w:rPr>
        <w:t>899</w:t>
      </w:r>
      <w:r>
        <w:rPr>
          <w:rFonts w:hint="eastAsia" w:ascii="仿宋_GB2312" w:eastAsia="仿宋_GB2312"/>
          <w:sz w:val="32"/>
          <w:szCs w:val="32"/>
        </w:rPr>
        <w:t>人，</w:t>
      </w:r>
      <w:r>
        <w:rPr>
          <w:rFonts w:hint="eastAsia" w:ascii="仿宋_GB2312" w:eastAsia="仿宋_GB2312"/>
          <w:sz w:val="32"/>
          <w:szCs w:val="32"/>
          <w:lang w:eastAsia="zh-CN"/>
        </w:rPr>
        <w:t>拨付</w:t>
      </w:r>
      <w:r>
        <w:rPr>
          <w:rFonts w:hint="eastAsia" w:ascii="仿宋_GB2312" w:eastAsia="仿宋_GB2312"/>
          <w:sz w:val="32"/>
          <w:szCs w:val="32"/>
        </w:rPr>
        <w:t>帮扶资金</w:t>
      </w:r>
      <w:r>
        <w:rPr>
          <w:rFonts w:hint="eastAsia" w:ascii="Times New Roman" w:hAnsi="Times New Roman" w:eastAsia="仿宋_GB2312"/>
          <w:sz w:val="32"/>
          <w:szCs w:val="32"/>
        </w:rPr>
        <w:t>138</w:t>
      </w:r>
      <w:r>
        <w:rPr>
          <w:rFonts w:hint="eastAsia" w:ascii="仿宋_GB2312" w:eastAsia="仿宋_GB2312"/>
          <w:sz w:val="32"/>
          <w:szCs w:val="32"/>
        </w:rPr>
        <w:t>.</w:t>
      </w:r>
      <w:r>
        <w:rPr>
          <w:rFonts w:hint="eastAsia" w:ascii="Times New Roman" w:hAnsi="Times New Roman" w:eastAsia="仿宋_GB2312"/>
          <w:sz w:val="32"/>
          <w:szCs w:val="32"/>
        </w:rPr>
        <w:t>61</w:t>
      </w:r>
      <w:r>
        <w:rPr>
          <w:rFonts w:hint="eastAsia" w:ascii="仿宋_GB2312" w:eastAsia="仿宋_GB2312"/>
          <w:sz w:val="32"/>
          <w:szCs w:val="32"/>
        </w:rPr>
        <w:t>万元</w:t>
      </w:r>
      <w:r>
        <w:rPr>
          <w:rFonts w:hint="eastAsia" w:ascii="仿宋_GB2312" w:eastAsia="仿宋_GB2312"/>
          <w:sz w:val="32"/>
          <w:szCs w:val="32"/>
          <w:lang w:eastAsia="zh-CN"/>
        </w:rPr>
        <w:t>，为全市</w:t>
      </w:r>
      <w:r>
        <w:rPr>
          <w:rFonts w:hint="eastAsia" w:ascii="Times New Roman" w:hAnsi="Times New Roman" w:eastAsia="仿宋_GB2312" w:cs="Times New Roman"/>
          <w:sz w:val="32"/>
          <w:szCs w:val="32"/>
          <w:lang w:eastAsia="zh-CN"/>
        </w:rPr>
        <w:t>100</w:t>
      </w:r>
      <w:r>
        <w:rPr>
          <w:rFonts w:hint="eastAsia" w:ascii="仿宋_GB2312" w:eastAsia="仿宋_GB2312"/>
          <w:sz w:val="32"/>
          <w:szCs w:val="32"/>
          <w:lang w:eastAsia="zh-CN"/>
        </w:rPr>
        <w:t>名抗战时期及以前参加革命工作的离休干部发放中央一次性补助金</w:t>
      </w:r>
      <w:r>
        <w:rPr>
          <w:rFonts w:hint="default" w:ascii="Times New Roman" w:hAnsi="Times New Roman" w:eastAsia="仿宋_GB2312" w:cs="Times New Roman"/>
          <w:sz w:val="32"/>
          <w:szCs w:val="32"/>
          <w:lang w:eastAsia="zh-CN"/>
        </w:rPr>
        <w:t>150</w:t>
      </w:r>
      <w:r>
        <w:rPr>
          <w:rFonts w:hint="eastAsia" w:ascii="仿宋_GB2312" w:eastAsia="仿宋_GB2312"/>
          <w:sz w:val="32"/>
          <w:szCs w:val="32"/>
          <w:lang w:eastAsia="zh-CN"/>
        </w:rPr>
        <w:t>万元。</w:t>
      </w:r>
    </w:p>
    <w:p w14:paraId="37DDC2F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仿宋_GB2312" w:eastAsia="仿宋_GB2312"/>
          <w:sz w:val="32"/>
          <w:szCs w:val="32"/>
          <w:lang w:eastAsia="zh-CN"/>
        </w:rPr>
      </w:pPr>
      <w:r>
        <w:rPr>
          <w:rFonts w:hint="eastAsia" w:ascii="仿宋_GB2312" w:hAnsi="仿宋_GB2312" w:eastAsia="仿宋_GB2312" w:cs="仿宋_GB2312"/>
          <w:b/>
          <w:bCs/>
          <w:sz w:val="32"/>
          <w:szCs w:val="32"/>
          <w:lang w:val="en-US" w:eastAsia="zh-CN"/>
        </w:rPr>
        <w:t>5.不断提升离退休干部精准服务水平。</w:t>
      </w:r>
      <w:r>
        <w:rPr>
          <w:rFonts w:hint="eastAsia" w:ascii="仿宋_GB2312" w:eastAsia="仿宋_GB2312"/>
          <w:sz w:val="32"/>
          <w:szCs w:val="32"/>
          <w:lang w:val="en-US" w:eastAsia="zh-CN"/>
        </w:rPr>
        <w:t>完善敬老优待政策，协调市卫健委、轨道办等</w:t>
      </w:r>
      <w:r>
        <w:rPr>
          <w:rFonts w:hint="eastAsia" w:ascii="Times New Roman" w:hAnsi="Times New Roman" w:eastAsia="仿宋_GB2312" w:cs="Times New Roman"/>
          <w:sz w:val="32"/>
          <w:szCs w:val="32"/>
          <w:lang w:val="en-US" w:eastAsia="zh-CN"/>
        </w:rPr>
        <w:t>5</w:t>
      </w:r>
      <w:r>
        <w:rPr>
          <w:rFonts w:hint="eastAsia" w:ascii="仿宋_GB2312" w:eastAsia="仿宋_GB2312"/>
          <w:sz w:val="32"/>
          <w:szCs w:val="32"/>
          <w:lang w:val="en-US" w:eastAsia="zh-CN"/>
        </w:rPr>
        <w:t>部门，出台</w:t>
      </w:r>
      <w:r>
        <w:rPr>
          <w:rFonts w:hint="eastAsia" w:ascii="仿宋_GB2312" w:eastAsia="仿宋_GB2312"/>
          <w:sz w:val="32"/>
          <w:szCs w:val="32"/>
        </w:rPr>
        <w:t>《关于优待离退休干部的几项规定》</w:t>
      </w:r>
      <w:r>
        <w:rPr>
          <w:rFonts w:hint="eastAsia" w:ascii="仿宋_GB2312" w:eastAsia="仿宋_GB2312"/>
          <w:sz w:val="32"/>
          <w:szCs w:val="32"/>
          <w:lang w:eastAsia="zh-CN"/>
        </w:rPr>
        <w:t>，</w:t>
      </w:r>
      <w:r>
        <w:rPr>
          <w:rFonts w:hint="eastAsia" w:ascii="仿宋_GB2312" w:eastAsia="仿宋_GB2312"/>
          <w:sz w:val="32"/>
          <w:szCs w:val="32"/>
          <w:lang w:val="en-US" w:eastAsia="zh-CN"/>
        </w:rPr>
        <w:t>增加免费乘坐地铁和参观</w:t>
      </w:r>
      <w:r>
        <w:rPr>
          <w:rFonts w:hint="eastAsia" w:ascii="Times New Roman" w:hAnsi="Times New Roman" w:eastAsia="仿宋_GB2312" w:cs="Times New Roman"/>
          <w:sz w:val="32"/>
          <w:szCs w:val="32"/>
          <w:lang w:val="en-US" w:eastAsia="zh-CN"/>
        </w:rPr>
        <w:t>16</w:t>
      </w:r>
      <w:r>
        <w:rPr>
          <w:rFonts w:hint="eastAsia" w:ascii="仿宋_GB2312" w:eastAsia="仿宋_GB2312"/>
          <w:sz w:val="32"/>
          <w:szCs w:val="32"/>
          <w:lang w:val="en-US" w:eastAsia="zh-CN"/>
        </w:rPr>
        <w:t>个热门景点等内容，切实增强老同志获得感幸福感。</w:t>
      </w:r>
      <w:r>
        <w:rPr>
          <w:rFonts w:hint="eastAsia" w:ascii="仿宋_GB2312" w:eastAsia="仿宋_GB2312"/>
          <w:sz w:val="32"/>
          <w:szCs w:val="32"/>
          <w:lang w:eastAsia="zh-CN"/>
        </w:rPr>
        <w:t>拓展品牌赛事影响力，</w:t>
      </w:r>
      <w:r>
        <w:rPr>
          <w:rFonts w:hint="eastAsia" w:ascii="仿宋_GB2312" w:eastAsia="仿宋_GB2312"/>
          <w:sz w:val="32"/>
          <w:szCs w:val="32"/>
          <w:lang w:val="en-US" w:eastAsia="zh-CN"/>
        </w:rPr>
        <w:t>举办第二十八届市直机关离退休干部运动会，</w:t>
      </w:r>
      <w:r>
        <w:rPr>
          <w:rFonts w:hint="eastAsia" w:ascii="Times New Roman" w:hAnsi="Times New Roman" w:eastAsia="仿宋_GB2312" w:cs="Times New Roman"/>
          <w:sz w:val="32"/>
          <w:szCs w:val="32"/>
          <w:lang w:val="en-US" w:eastAsia="zh-CN"/>
        </w:rPr>
        <w:t>50</w:t>
      </w:r>
      <w:r>
        <w:rPr>
          <w:rFonts w:hint="eastAsia" w:ascii="仿宋_GB2312" w:eastAsia="仿宋_GB2312"/>
          <w:sz w:val="32"/>
          <w:szCs w:val="32"/>
          <w:lang w:val="en-US" w:eastAsia="zh-CN"/>
        </w:rPr>
        <w:t>余个市直部门</w:t>
      </w:r>
      <w:r>
        <w:rPr>
          <w:rFonts w:hint="eastAsia" w:ascii="Times New Roman" w:hAnsi="Times New Roman" w:eastAsia="仿宋_GB2312" w:cs="Times New Roman"/>
          <w:sz w:val="32"/>
          <w:szCs w:val="32"/>
          <w:lang w:val="en-US" w:eastAsia="zh-CN"/>
        </w:rPr>
        <w:t>3000</w:t>
      </w:r>
      <w:r>
        <w:rPr>
          <w:rFonts w:hint="eastAsia" w:ascii="仿宋_GB2312" w:eastAsia="仿宋_GB2312"/>
          <w:sz w:val="32"/>
          <w:szCs w:val="32"/>
          <w:lang w:val="en-US" w:eastAsia="zh-CN"/>
        </w:rPr>
        <w:t>余名老同志参赛。积极组织参观考察活动，</w:t>
      </w:r>
      <w:r>
        <w:rPr>
          <w:rFonts w:hint="eastAsia" w:ascii="仿宋_GB2312" w:eastAsia="仿宋_GB2312"/>
          <w:sz w:val="32"/>
          <w:szCs w:val="32"/>
        </w:rPr>
        <w:t>全市累计组织离退休干部参观考察活动</w:t>
      </w:r>
      <w:r>
        <w:rPr>
          <w:rFonts w:hint="eastAsia" w:ascii="Times New Roman" w:hAnsi="Times New Roman" w:eastAsia="仿宋_GB2312"/>
          <w:sz w:val="32"/>
          <w:szCs w:val="32"/>
        </w:rPr>
        <w:t>374</w:t>
      </w:r>
      <w:r>
        <w:rPr>
          <w:rFonts w:hint="eastAsia" w:ascii="仿宋_GB2312" w:eastAsia="仿宋_GB2312"/>
          <w:sz w:val="32"/>
          <w:szCs w:val="32"/>
        </w:rPr>
        <w:t>次</w:t>
      </w:r>
      <w:r>
        <w:rPr>
          <w:rFonts w:hint="eastAsia" w:ascii="仿宋_GB2312" w:eastAsia="仿宋_GB2312"/>
          <w:sz w:val="32"/>
          <w:szCs w:val="32"/>
          <w:lang w:val="en-US" w:eastAsia="zh-CN"/>
        </w:rPr>
        <w:t>。</w:t>
      </w:r>
      <w:r>
        <w:rPr>
          <w:rFonts w:hint="eastAsia" w:ascii="仿宋_GB2312" w:eastAsia="仿宋_GB2312"/>
          <w:sz w:val="32"/>
          <w:szCs w:val="32"/>
        </w:rPr>
        <w:t>完成易地安置（居住）离休干部的信息核查与建档工作，由局领导带队走访慰问了</w:t>
      </w:r>
      <w:r>
        <w:rPr>
          <w:rFonts w:hint="eastAsia" w:ascii="Times New Roman" w:hAnsi="Times New Roman" w:eastAsia="仿宋_GB2312"/>
          <w:sz w:val="32"/>
          <w:szCs w:val="32"/>
        </w:rPr>
        <w:t>20</w:t>
      </w:r>
      <w:r>
        <w:rPr>
          <w:rFonts w:hint="eastAsia" w:ascii="仿宋_GB2312" w:eastAsia="仿宋_GB2312"/>
          <w:sz w:val="32"/>
          <w:szCs w:val="32"/>
        </w:rPr>
        <w:t>名易地安置（居住）离休干部</w:t>
      </w:r>
      <w:r>
        <w:rPr>
          <w:rFonts w:hint="eastAsia" w:ascii="仿宋_GB2312" w:eastAsia="仿宋_GB2312"/>
          <w:sz w:val="32"/>
          <w:szCs w:val="32"/>
          <w:lang w:eastAsia="zh-CN"/>
        </w:rPr>
        <w:t>。</w:t>
      </w:r>
    </w:p>
    <w:p w14:paraId="36AA4B4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仿宋_GB2312" w:cs="Times New Roman"/>
          <w:i w:val="0"/>
          <w:iCs w:val="0"/>
          <w:color w:val="auto"/>
          <w:sz w:val="32"/>
          <w:szCs w:val="32"/>
          <w:lang w:val="en-US" w:eastAsia="zh-CN"/>
        </w:rPr>
      </w:pPr>
      <w:r>
        <w:rPr>
          <w:rFonts w:hint="eastAsia" w:ascii="仿宋_GB2312" w:hAnsi="仿宋_GB2312" w:eastAsia="仿宋_GB2312" w:cs="仿宋_GB2312"/>
          <w:b/>
          <w:bCs/>
          <w:sz w:val="32"/>
          <w:szCs w:val="32"/>
          <w:lang w:val="en-US" w:eastAsia="zh-CN"/>
        </w:rPr>
        <w:t>6.持续丰富离退休干部精神文化生活。</w:t>
      </w:r>
      <w:r>
        <w:rPr>
          <w:rFonts w:hint="eastAsia" w:ascii="Times New Roman" w:hAnsi="Times New Roman" w:eastAsia="仿宋_GB2312" w:cs="Times New Roman"/>
          <w:sz w:val="32"/>
          <w:szCs w:val="32"/>
          <w:lang w:val="en-US" w:eastAsia="zh-CN"/>
        </w:rPr>
        <w:t>积极</w:t>
      </w:r>
      <w:r>
        <w:rPr>
          <w:rFonts w:hint="eastAsia" w:ascii="仿宋_GB2312" w:eastAsia="仿宋_GB2312" w:cs="Times New Roman"/>
          <w:sz w:val="32"/>
          <w:szCs w:val="32"/>
          <w:lang w:val="en-US" w:eastAsia="zh-CN"/>
        </w:rPr>
        <w:t>推动县级老年大学、活动中心标准化建设，</w:t>
      </w:r>
      <w:r>
        <w:rPr>
          <w:rFonts w:hint="eastAsia" w:ascii="Times New Roman" w:hAnsi="Times New Roman" w:eastAsia="仿宋_GB2312" w:cs="Times New Roman"/>
          <w:i w:val="0"/>
          <w:iCs w:val="0"/>
          <w:color w:val="auto"/>
          <w:sz w:val="32"/>
          <w:szCs w:val="32"/>
          <w:lang w:val="en-US" w:eastAsia="zh-CN"/>
        </w:rPr>
        <w:t>发挥市级老年大学示范指导作用，</w:t>
      </w:r>
      <w:r>
        <w:rPr>
          <w:rFonts w:hint="default" w:ascii="Times New Roman" w:hAnsi="Times New Roman" w:eastAsia="仿宋_GB2312" w:cs="Times New Roman"/>
          <w:i w:val="0"/>
          <w:iCs w:val="0"/>
          <w:color w:val="auto"/>
          <w:sz w:val="32"/>
          <w:szCs w:val="32"/>
          <w:lang w:val="en-US" w:eastAsia="zh-CN"/>
        </w:rPr>
        <w:t>构建“2+4+N”老年教育格局，</w:t>
      </w:r>
      <w:r>
        <w:rPr>
          <w:rFonts w:hint="eastAsia" w:ascii="Times New Roman" w:hAnsi="Times New Roman" w:eastAsia="仿宋_GB2312" w:cs="Times New Roman"/>
          <w:i w:val="0"/>
          <w:iCs w:val="0"/>
          <w:color w:val="auto"/>
          <w:sz w:val="32"/>
          <w:szCs w:val="32"/>
          <w:lang w:val="en-US" w:eastAsia="zh-CN"/>
        </w:rPr>
        <w:t>全市</w:t>
      </w:r>
      <w:r>
        <w:rPr>
          <w:rFonts w:hint="default" w:ascii="Times New Roman" w:hAnsi="Times New Roman" w:eastAsia="仿宋_GB2312" w:cs="Times New Roman"/>
          <w:i w:val="0"/>
          <w:iCs w:val="0"/>
          <w:color w:val="auto"/>
          <w:sz w:val="32"/>
          <w:szCs w:val="32"/>
          <w:lang w:val="en-US" w:eastAsia="zh-CN"/>
        </w:rPr>
        <w:t>老年大学教学面积</w:t>
      </w:r>
      <w:r>
        <w:rPr>
          <w:rFonts w:hint="eastAsia" w:ascii="Times New Roman" w:hAnsi="Times New Roman" w:eastAsia="仿宋_GB2312" w:cs="Times New Roman"/>
          <w:i w:val="0"/>
          <w:iCs w:val="0"/>
          <w:color w:val="auto"/>
          <w:sz w:val="32"/>
          <w:szCs w:val="32"/>
          <w:lang w:val="en-US" w:eastAsia="zh-CN"/>
        </w:rPr>
        <w:t>近5</w:t>
      </w:r>
      <w:r>
        <w:rPr>
          <w:rFonts w:hint="default" w:ascii="Times New Roman" w:hAnsi="Times New Roman" w:eastAsia="仿宋_GB2312" w:cs="Times New Roman"/>
          <w:i w:val="0"/>
          <w:iCs w:val="0"/>
          <w:color w:val="auto"/>
          <w:sz w:val="32"/>
          <w:szCs w:val="32"/>
          <w:lang w:val="en-US" w:eastAsia="zh-CN"/>
        </w:rPr>
        <w:t>万平方米</w:t>
      </w:r>
      <w:r>
        <w:rPr>
          <w:rFonts w:hint="eastAsia" w:ascii="Times New Roman" w:hAnsi="Times New Roman" w:eastAsia="仿宋_GB2312" w:cs="Times New Roman"/>
          <w:i w:val="0"/>
          <w:iCs w:val="0"/>
          <w:color w:val="auto"/>
          <w:sz w:val="32"/>
          <w:szCs w:val="32"/>
          <w:lang w:val="en-US" w:eastAsia="zh-CN"/>
        </w:rPr>
        <w:t>。市</w:t>
      </w:r>
      <w:r>
        <w:rPr>
          <w:rFonts w:hint="default" w:ascii="Times New Roman" w:hAnsi="Times New Roman" w:eastAsia="仿宋_GB2312" w:cs="Times New Roman"/>
          <w:sz w:val="32"/>
          <w:szCs w:val="32"/>
          <w:lang w:val="en-US" w:eastAsia="zh-CN"/>
        </w:rPr>
        <w:t>老年大学教学规模稳步扩大</w:t>
      </w:r>
      <w:r>
        <w:rPr>
          <w:rFonts w:hint="eastAsia" w:ascii="Times New Roman" w:hAnsi="Times New Roman" w:eastAsia="仿宋_GB2312" w:cs="Times New Roman"/>
          <w:sz w:val="32"/>
          <w:szCs w:val="32"/>
          <w:lang w:val="en-US" w:eastAsia="zh-CN"/>
        </w:rPr>
        <w:t>，现</w:t>
      </w:r>
      <w:r>
        <w:rPr>
          <w:rFonts w:hint="default" w:ascii="Times New Roman" w:hAnsi="Times New Roman" w:eastAsia="仿宋_GB2312" w:cs="Times New Roman"/>
          <w:sz w:val="32"/>
          <w:szCs w:val="32"/>
          <w:lang w:val="en-US" w:eastAsia="zh-CN"/>
        </w:rPr>
        <w:t>开设47个专业、167门课程</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403个班级</w:t>
      </w:r>
      <w:r>
        <w:rPr>
          <w:rFonts w:hint="eastAsia" w:ascii="Times New Roman" w:hAnsi="Times New Roman" w:eastAsia="仿宋_GB2312" w:cs="Times New Roman"/>
          <w:sz w:val="32"/>
          <w:szCs w:val="32"/>
          <w:lang w:val="en-US" w:eastAsia="zh-CN"/>
        </w:rPr>
        <w:t>，在校</w:t>
      </w:r>
      <w:r>
        <w:rPr>
          <w:rFonts w:hint="default" w:ascii="Times New Roman" w:hAnsi="Times New Roman" w:eastAsia="仿宋_GB2312" w:cs="Times New Roman"/>
          <w:sz w:val="32"/>
          <w:szCs w:val="32"/>
          <w:lang w:val="en-US" w:eastAsia="zh-CN"/>
        </w:rPr>
        <w:t>学员万余人次</w:t>
      </w:r>
      <w:r>
        <w:rPr>
          <w:rFonts w:hint="eastAsia" w:ascii="Times New Roman" w:hAnsi="Times New Roman" w:eastAsia="仿宋_GB2312" w:cs="Times New Roman"/>
          <w:sz w:val="32"/>
          <w:szCs w:val="32"/>
          <w:lang w:val="en-US" w:eastAsia="zh-CN"/>
        </w:rPr>
        <w:t>，</w:t>
      </w:r>
      <w:r>
        <w:rPr>
          <w:rFonts w:hint="eastAsia" w:ascii="仿宋_GB2312" w:hAnsi="Calibri" w:eastAsia="仿宋_GB2312" w:cs="仿宋_GB2312"/>
          <w:kern w:val="2"/>
          <w:sz w:val="32"/>
          <w:szCs w:val="32"/>
          <w:highlight w:val="none"/>
          <w:lang w:val="en-US" w:eastAsia="zh-CN" w:bidi="ar-SA"/>
        </w:rPr>
        <w:t>荣获全国“</w:t>
      </w:r>
      <w:r>
        <w:rPr>
          <w:rFonts w:hint="default" w:ascii="Times New Roman" w:hAnsi="Times New Roman" w:eastAsia="仿宋_GB2312" w:cs="Times New Roman"/>
          <w:kern w:val="2"/>
          <w:sz w:val="32"/>
          <w:szCs w:val="32"/>
          <w:highlight w:val="none"/>
          <w:lang w:val="en-US" w:eastAsia="zh-CN" w:bidi="ar-SA"/>
        </w:rPr>
        <w:t>2025</w:t>
      </w:r>
      <w:r>
        <w:rPr>
          <w:rFonts w:hint="eastAsia" w:ascii="仿宋_GB2312" w:hAnsi="Calibri" w:eastAsia="仿宋_GB2312" w:cs="仿宋_GB2312"/>
          <w:kern w:val="2"/>
          <w:sz w:val="32"/>
          <w:szCs w:val="32"/>
          <w:highlight w:val="none"/>
          <w:lang w:val="en-US" w:eastAsia="zh-CN" w:bidi="ar-SA"/>
        </w:rPr>
        <w:t>年老年大学校园融媒体建设先进单位”</w:t>
      </w:r>
      <w:r>
        <w:rPr>
          <w:rFonts w:hint="default" w:ascii="Times New Roman" w:hAnsi="Times New Roman" w:eastAsia="仿宋_GB2312" w:cs="Times New Roman"/>
          <w:i w:val="0"/>
          <w:iCs w:val="0"/>
          <w:color w:val="auto"/>
          <w:sz w:val="32"/>
          <w:szCs w:val="32"/>
          <w:lang w:val="en-US" w:eastAsia="zh-CN"/>
        </w:rPr>
        <w:t>。</w:t>
      </w:r>
      <w:r>
        <w:rPr>
          <w:rFonts w:hint="default" w:ascii="Times New Roman" w:hAnsi="Times New Roman" w:eastAsia="仿宋_GB2312" w:cs="Times New Roman"/>
          <w:sz w:val="32"/>
          <w:szCs w:val="32"/>
          <w:lang w:val="en-US" w:eastAsia="zh-CN"/>
        </w:rPr>
        <w:t>市老干部活动中心</w:t>
      </w:r>
      <w:r>
        <w:rPr>
          <w:rFonts w:hint="eastAsia" w:ascii="Times New Roman" w:hAnsi="Times New Roman" w:eastAsia="仿宋_GB2312" w:cs="Times New Roman"/>
          <w:sz w:val="32"/>
          <w:szCs w:val="32"/>
          <w:lang w:val="en-US" w:eastAsia="zh-CN"/>
        </w:rPr>
        <w:t>持续深化“月月有活动”，</w:t>
      </w:r>
      <w:r>
        <w:rPr>
          <w:rFonts w:hint="default" w:ascii="Times New Roman" w:hAnsi="Times New Roman" w:eastAsia="仿宋_GB2312" w:cs="Times New Roman"/>
          <w:sz w:val="32"/>
          <w:szCs w:val="32"/>
          <w:lang w:val="en-US" w:eastAsia="zh-CN"/>
        </w:rPr>
        <w:t>全年组织</w:t>
      </w:r>
      <w:r>
        <w:rPr>
          <w:rFonts w:hint="eastAsia" w:ascii="Times New Roman" w:hAnsi="Times New Roman" w:eastAsia="仿宋_GB2312" w:cs="Times New Roman"/>
          <w:sz w:val="32"/>
          <w:szCs w:val="32"/>
          <w:lang w:val="en-US" w:eastAsia="zh-CN"/>
        </w:rPr>
        <w:t>赛事活动</w:t>
      </w:r>
      <w:r>
        <w:rPr>
          <w:rFonts w:hint="default" w:ascii="Times New Roman" w:hAnsi="Times New Roman" w:eastAsia="仿宋_GB2312" w:cs="Times New Roman"/>
          <w:kern w:val="2"/>
          <w:sz w:val="32"/>
          <w:szCs w:val="32"/>
          <w:highlight w:val="none"/>
          <w:lang w:val="en-US" w:eastAsia="zh-CN" w:bidi="ar-SA"/>
        </w:rPr>
        <w:t>17</w:t>
      </w:r>
      <w:r>
        <w:rPr>
          <w:rFonts w:hint="default" w:ascii="Times New Roman" w:hAnsi="Times New Roman" w:eastAsia="仿宋_GB2312" w:cs="Times New Roman"/>
          <w:sz w:val="32"/>
          <w:szCs w:val="32"/>
          <w:lang w:val="en-US" w:eastAsia="zh-CN"/>
        </w:rPr>
        <w:t>场，累计接待老干部活动15万人次。</w:t>
      </w:r>
    </w:p>
    <w:p w14:paraId="51ADB82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Times New Roman" w:hAnsi="Times New Roman" w:eastAsia="仿宋_GB2312" w:cs="Times New Roman"/>
          <w:b w:val="0"/>
          <w:bCs w:val="0"/>
          <w:color w:val="auto"/>
          <w:sz w:val="32"/>
          <w:szCs w:val="32"/>
          <w:lang w:val="en-US" w:eastAsia="zh-CN"/>
        </w:rPr>
      </w:pPr>
      <w:r>
        <w:rPr>
          <w:rFonts w:hint="eastAsia" w:ascii="仿宋_GB2312" w:hAnsi="仿宋_GB2312" w:eastAsia="仿宋_GB2312" w:cs="仿宋_GB2312"/>
          <w:b/>
          <w:bCs/>
          <w:sz w:val="32"/>
          <w:szCs w:val="32"/>
          <w:lang w:val="en-US" w:eastAsia="zh-CN"/>
        </w:rPr>
        <w:t>7.搭建多元平台。</w:t>
      </w:r>
      <w:r>
        <w:rPr>
          <w:rFonts w:hint="eastAsia" w:ascii="Times New Roman" w:hAnsi="Times New Roman" w:eastAsia="仿宋_GB2312" w:cs="Times New Roman"/>
          <w:sz w:val="32"/>
          <w:szCs w:val="32"/>
          <w:lang w:val="en-US" w:eastAsia="zh-CN"/>
        </w:rPr>
        <w:t>深化“增添正能量·共筑中国梦”活动，开展“学回信精神·助改革发展”专题调研，举办座谈会411场次，参与老同志10310人次。开展积极应对人口老龄化国家战略专题调研，系统梳理我市老干部参与积极应对人口老龄化国家战略基本情况。持续擦亮“影图文”平台，完成2025年《冀忆·永恒》10集，开展“城市是我家·我要爱我家”主题征文和摄影活动，共征集征文摄影百余篇（幅）。用好“燕赵红枫”系统，组织管理员业务培训，开展信息补录更新专项整治，</w:t>
      </w:r>
      <w:r>
        <w:rPr>
          <w:rFonts w:hint="eastAsia" w:ascii="仿宋_GB2312" w:hAnsi="仿宋_GB2312" w:eastAsia="仿宋_GB2312" w:cs="仿宋_GB2312"/>
          <w:sz w:val="32"/>
          <w:szCs w:val="32"/>
          <w:lang w:val="en-US" w:eastAsia="zh-CN"/>
        </w:rPr>
        <w:t>确保系统数据完整性、准确性和时效性。依托“石家庄老干部”《燕赵老年报》等平台</w:t>
      </w:r>
      <w:r>
        <w:rPr>
          <w:rFonts w:hint="eastAsia" w:ascii="Times New Roman" w:hAnsi="Times New Roman" w:eastAsia="仿宋_GB2312" w:cs="Times New Roman"/>
          <w:sz w:val="32"/>
          <w:szCs w:val="32"/>
          <w:lang w:val="en-US" w:eastAsia="zh-CN"/>
        </w:rPr>
        <w:t>大力宣传</w:t>
      </w:r>
      <w:r>
        <w:rPr>
          <w:rFonts w:hint="default" w:ascii="Times New Roman" w:hAnsi="Times New Roman" w:eastAsia="仿宋_GB2312" w:cs="Times New Roman"/>
          <w:b w:val="0"/>
          <w:bCs w:val="0"/>
          <w:color w:val="auto"/>
          <w:sz w:val="32"/>
          <w:szCs w:val="32"/>
          <w:lang w:val="en-US" w:eastAsia="zh-CN"/>
        </w:rPr>
        <w:t>我市老干部工作和离退休干部先进典型</w:t>
      </w:r>
      <w:r>
        <w:rPr>
          <w:rFonts w:hint="eastAsia" w:ascii="Times New Roman" w:hAnsi="Times New Roman" w:eastAsia="仿宋_GB2312" w:cs="Times New Roman"/>
          <w:b w:val="0"/>
          <w:bCs w:val="0"/>
          <w:color w:val="auto"/>
          <w:sz w:val="32"/>
          <w:szCs w:val="32"/>
          <w:lang w:val="en-US" w:eastAsia="zh-CN"/>
        </w:rPr>
        <w:t>事迹</w:t>
      </w:r>
      <w:r>
        <w:rPr>
          <w:rFonts w:hint="default" w:ascii="Times New Roman" w:hAnsi="Times New Roman" w:eastAsia="仿宋_GB2312" w:cs="Times New Roman"/>
          <w:b w:val="0"/>
          <w:bCs w:val="0"/>
          <w:color w:val="auto"/>
          <w:sz w:val="32"/>
          <w:szCs w:val="32"/>
          <w:lang w:val="en-US" w:eastAsia="zh-CN"/>
        </w:rPr>
        <w:t>，</w:t>
      </w:r>
      <w:r>
        <w:rPr>
          <w:rFonts w:hint="eastAsia" w:ascii="Times New Roman" w:hAnsi="Times New Roman" w:eastAsia="仿宋_GB2312" w:cs="Times New Roman"/>
          <w:b w:val="0"/>
          <w:bCs w:val="0"/>
          <w:color w:val="auto"/>
          <w:sz w:val="32"/>
          <w:szCs w:val="32"/>
          <w:lang w:val="en-US" w:eastAsia="zh-CN"/>
        </w:rPr>
        <w:t>2025年</w:t>
      </w:r>
      <w:r>
        <w:rPr>
          <w:rFonts w:hint="default" w:ascii="Times New Roman" w:hAnsi="Times New Roman" w:eastAsia="仿宋_GB2312" w:cs="Times New Roman"/>
          <w:b w:val="0"/>
          <w:bCs w:val="0"/>
          <w:color w:val="auto"/>
          <w:sz w:val="32"/>
          <w:szCs w:val="32"/>
          <w:lang w:val="en-US" w:eastAsia="zh-CN"/>
        </w:rPr>
        <w:t>发布</w:t>
      </w:r>
      <w:r>
        <w:rPr>
          <w:rFonts w:hint="eastAsia" w:ascii="Times New Roman" w:hAnsi="Times New Roman" w:eastAsia="仿宋_GB2312" w:cs="Times New Roman"/>
          <w:b w:val="0"/>
          <w:bCs w:val="0"/>
          <w:color w:val="auto"/>
          <w:sz w:val="32"/>
          <w:szCs w:val="32"/>
          <w:lang w:val="en-US" w:eastAsia="zh-CN"/>
        </w:rPr>
        <w:t>信息</w:t>
      </w:r>
      <w:r>
        <w:rPr>
          <w:rFonts w:hint="default" w:ascii="Times New Roman" w:hAnsi="Times New Roman" w:eastAsia="仿宋_GB2312" w:cs="Times New Roman"/>
          <w:b w:val="0"/>
          <w:bCs w:val="0"/>
          <w:color w:val="auto"/>
          <w:sz w:val="32"/>
          <w:szCs w:val="32"/>
          <w:lang w:val="en-US" w:eastAsia="zh-CN"/>
        </w:rPr>
        <w:t>1500条，国家级媒体采用6条，省级媒体采用185条</w:t>
      </w:r>
      <w:r>
        <w:rPr>
          <w:rFonts w:hint="eastAsia" w:ascii="Times New Roman" w:hAnsi="Times New Roman" w:eastAsia="仿宋_GB2312" w:cs="Times New Roman"/>
          <w:b w:val="0"/>
          <w:bCs w:val="0"/>
          <w:color w:val="auto"/>
          <w:sz w:val="32"/>
          <w:szCs w:val="32"/>
          <w:lang w:val="en-US" w:eastAsia="zh-CN"/>
        </w:rPr>
        <w:t>。</w:t>
      </w:r>
    </w:p>
    <w:p w14:paraId="4BD953E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bCs/>
          <w:color w:val="auto"/>
          <w:sz w:val="32"/>
          <w:szCs w:val="32"/>
          <w:lang w:val="en-US" w:eastAsia="zh-CN"/>
        </w:rPr>
        <w:t>8.激活银发动能。</w:t>
      </w:r>
      <w:r>
        <w:rPr>
          <w:rFonts w:hint="eastAsia" w:ascii="Times New Roman" w:hAnsi="Times New Roman" w:eastAsia="仿宋_GB2312" w:cs="Times New Roman"/>
          <w:sz w:val="32"/>
          <w:szCs w:val="32"/>
          <w:lang w:val="en-US" w:eastAsia="zh-CN"/>
        </w:rPr>
        <w:t>开展新一轮市级银发人才遴选工作，新增入库242人，现有市级银发人才374人，县级银发人才1576人，组织各类活动295场，3500余人次银发人才参与。发挥“五老”作用，深化“村史志+关心下一代”品牌，</w:t>
      </w:r>
      <w:r>
        <w:rPr>
          <w:rFonts w:hint="default" w:ascii="Times New Roman" w:hAnsi="Times New Roman" w:eastAsia="仿宋_GB2312" w:cs="Times New Roman"/>
          <w:sz w:val="32"/>
          <w:szCs w:val="32"/>
          <w:lang w:val="en-US" w:eastAsia="zh-CN"/>
        </w:rPr>
        <w:t>开展“省会关心下一代大讲堂”</w:t>
      </w:r>
      <w:r>
        <w:rPr>
          <w:rFonts w:hint="eastAsia" w:ascii="Times New Roman" w:hAnsi="Times New Roman" w:eastAsia="仿宋_GB2312" w:cs="Times New Roman"/>
          <w:sz w:val="32"/>
          <w:szCs w:val="32"/>
          <w:lang w:val="en-US" w:eastAsia="zh-CN"/>
        </w:rPr>
        <w:t>，讲好西柏坡故事、正定故事、石家庄故事，累计开展宣讲800余场次，受教育青少年18万人次，2025年</w:t>
      </w:r>
      <w:r>
        <w:rPr>
          <w:rFonts w:hint="eastAsia" w:ascii="仿宋_GB2312" w:hAnsi="仿宋_GB2312" w:eastAsia="仿宋_GB2312" w:cs="仿宋_GB2312"/>
          <w:b w:val="0"/>
          <w:bCs w:val="0"/>
          <w:kern w:val="2"/>
          <w:sz w:val="32"/>
          <w:szCs w:val="32"/>
          <w:highlight w:val="none"/>
          <w:lang w:val="en-US" w:eastAsia="zh-CN" w:bidi="ar-SA"/>
        </w:rPr>
        <w:t>市关工委、赞皇县关工委</w:t>
      </w:r>
      <w:r>
        <w:rPr>
          <w:rFonts w:hint="eastAsia" w:ascii="Times New Roman" w:hAnsi="Times New Roman" w:eastAsia="仿宋_GB2312" w:cs="Times New Roman"/>
          <w:b w:val="0"/>
          <w:bCs w:val="0"/>
          <w:kern w:val="2"/>
          <w:sz w:val="32"/>
          <w:szCs w:val="32"/>
          <w:highlight w:val="none"/>
          <w:lang w:val="en-US" w:eastAsia="zh-CN" w:bidi="ar-SA"/>
        </w:rPr>
        <w:t>获全国关心下一代工作</w:t>
      </w:r>
      <w:r>
        <w:rPr>
          <w:rFonts w:hint="eastAsia" w:ascii="仿宋_GB2312" w:hAnsi="仿宋_GB2312" w:eastAsia="仿宋_GB2312" w:cs="仿宋_GB2312"/>
          <w:b w:val="0"/>
          <w:bCs w:val="0"/>
          <w:kern w:val="2"/>
          <w:sz w:val="32"/>
          <w:szCs w:val="32"/>
          <w:highlight w:val="none"/>
          <w:lang w:val="en-US" w:eastAsia="zh-CN" w:bidi="ar-SA"/>
        </w:rPr>
        <w:t>先进集体，高梅淑</w:t>
      </w:r>
      <w:r>
        <w:rPr>
          <w:rFonts w:hint="eastAsia" w:eastAsia="仿宋_GB2312" w:cs="仿宋_GB2312"/>
          <w:b w:val="0"/>
          <w:bCs w:val="0"/>
          <w:kern w:val="2"/>
          <w:sz w:val="32"/>
          <w:szCs w:val="32"/>
          <w:highlight w:val="none"/>
          <w:lang w:val="en-US" w:eastAsia="zh-CN" w:bidi="ar-SA"/>
        </w:rPr>
        <w:t>等</w:t>
      </w:r>
      <w:r>
        <w:rPr>
          <w:rFonts w:hint="eastAsia" w:ascii="Times New Roman" w:hAnsi="Times New Roman" w:eastAsia="仿宋_GB2312" w:cs="Times New Roman"/>
          <w:b w:val="0"/>
          <w:bCs w:val="0"/>
          <w:kern w:val="2"/>
          <w:sz w:val="32"/>
          <w:szCs w:val="32"/>
          <w:highlight w:val="none"/>
          <w:lang w:val="en-US" w:eastAsia="zh-CN" w:bidi="ar-SA"/>
        </w:rPr>
        <w:t>4</w:t>
      </w:r>
      <w:r>
        <w:rPr>
          <w:rFonts w:hint="eastAsia" w:ascii="仿宋_GB2312" w:hAnsi="仿宋_GB2312" w:eastAsia="仿宋_GB2312" w:cs="仿宋_GB2312"/>
          <w:b w:val="0"/>
          <w:bCs w:val="0"/>
          <w:kern w:val="2"/>
          <w:sz w:val="32"/>
          <w:szCs w:val="32"/>
          <w:highlight w:val="none"/>
          <w:lang w:val="en-US" w:eastAsia="zh-CN" w:bidi="ar-SA"/>
        </w:rPr>
        <w:t>名</w:t>
      </w:r>
      <w:r>
        <w:rPr>
          <w:rFonts w:hint="eastAsia" w:eastAsia="仿宋_GB2312" w:cs="仿宋_GB2312"/>
          <w:b w:val="0"/>
          <w:bCs w:val="0"/>
          <w:kern w:val="2"/>
          <w:sz w:val="32"/>
          <w:szCs w:val="32"/>
          <w:highlight w:val="none"/>
          <w:lang w:val="en-US" w:eastAsia="zh-CN" w:bidi="ar-SA"/>
        </w:rPr>
        <w:t>同志获</w:t>
      </w:r>
      <w:r>
        <w:rPr>
          <w:rFonts w:hint="eastAsia" w:ascii="Times New Roman" w:hAnsi="Times New Roman" w:eastAsia="仿宋_GB2312" w:cs="Times New Roman"/>
          <w:b w:val="0"/>
          <w:bCs w:val="0"/>
          <w:kern w:val="2"/>
          <w:sz w:val="32"/>
          <w:szCs w:val="32"/>
          <w:highlight w:val="none"/>
          <w:lang w:val="en-US" w:eastAsia="zh-CN" w:bidi="ar-SA"/>
        </w:rPr>
        <w:t>全国关心下一代工作</w:t>
      </w:r>
      <w:r>
        <w:rPr>
          <w:rFonts w:hint="eastAsia" w:ascii="仿宋_GB2312" w:hAnsi="仿宋_GB2312" w:eastAsia="仿宋_GB2312" w:cs="仿宋_GB2312"/>
          <w:b w:val="0"/>
          <w:bCs w:val="0"/>
          <w:kern w:val="2"/>
          <w:sz w:val="32"/>
          <w:szCs w:val="32"/>
          <w:highlight w:val="none"/>
          <w:lang w:val="en-US" w:eastAsia="zh-CN" w:bidi="ar-SA"/>
        </w:rPr>
        <w:t>先进</w:t>
      </w:r>
      <w:r>
        <w:rPr>
          <w:rFonts w:hint="eastAsia" w:eastAsia="仿宋_GB2312" w:cs="仿宋_GB2312"/>
          <w:b w:val="0"/>
          <w:bCs w:val="0"/>
          <w:kern w:val="2"/>
          <w:sz w:val="32"/>
          <w:szCs w:val="32"/>
          <w:highlight w:val="none"/>
          <w:lang w:val="en-US" w:eastAsia="zh-CN" w:bidi="ar-SA"/>
        </w:rPr>
        <w:t>个人等荣誉</w:t>
      </w:r>
      <w:r>
        <w:rPr>
          <w:rFonts w:hint="eastAsia" w:ascii="仿宋_GB2312" w:hAnsi="仿宋_GB2312" w:eastAsia="仿宋_GB2312" w:cs="仿宋_GB2312"/>
          <w:b w:val="0"/>
          <w:bCs w:val="0"/>
          <w:kern w:val="2"/>
          <w:sz w:val="32"/>
          <w:szCs w:val="32"/>
          <w:highlight w:val="none"/>
          <w:lang w:val="en-US" w:eastAsia="zh-CN" w:bidi="ar-SA"/>
        </w:rPr>
        <w:t>。</w:t>
      </w:r>
    </w:p>
    <w:p w14:paraId="35B8817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Times New Roman" w:hAnsi="Times New Roman" w:eastAsia="仿宋_GB2312" w:cs="Times New Roman"/>
          <w:color w:val="auto"/>
          <w:sz w:val="32"/>
          <w:szCs w:val="32"/>
          <w:lang w:val="en-US" w:eastAsia="zh-CN"/>
        </w:rPr>
      </w:pPr>
      <w:r>
        <w:rPr>
          <w:rFonts w:hint="eastAsia" w:ascii="仿宋_GB2312" w:hAnsi="仿宋_GB2312" w:eastAsia="仿宋_GB2312" w:cs="仿宋_GB2312"/>
          <w:b/>
          <w:bCs/>
          <w:sz w:val="32"/>
          <w:szCs w:val="32"/>
          <w:lang w:val="en-US" w:eastAsia="zh-CN"/>
        </w:rPr>
        <w:t>9.培育老干部工作品牌。</w:t>
      </w:r>
      <w:r>
        <w:rPr>
          <w:rFonts w:hint="eastAsia" w:ascii="Times New Roman" w:hAnsi="Times New Roman" w:eastAsia="仿宋_GB2312" w:cs="Times New Roman"/>
          <w:sz w:val="32"/>
          <w:szCs w:val="32"/>
          <w:lang w:val="en-US" w:eastAsia="zh-CN"/>
        </w:rPr>
        <w:t>深化“银发献冀”品牌建设，围绕“银耀省城”品牌，打造“1+3+N”品牌矩阵（</w:t>
      </w:r>
      <w:r>
        <w:rPr>
          <w:rFonts w:hint="eastAsia" w:ascii="楷体_GB2312" w:hAnsi="楷体_GB2312" w:eastAsia="楷体_GB2312" w:cs="楷体_GB2312"/>
          <w:sz w:val="28"/>
          <w:szCs w:val="28"/>
          <w:lang w:val="en-US" w:eastAsia="zh-CN"/>
        </w:rPr>
        <w:t>以“银耀省城”为主品牌，“银心向党 一创双争”党建工作品牌、“实干兴石 助力添彩”发挥作用品牌、“心映红霞 情暖桑榆”服务管理品牌为支撑，县域“一县一品”特色品牌为补充的老干部工作品牌矩阵）</w:t>
      </w:r>
      <w:r>
        <w:rPr>
          <w:rFonts w:hint="eastAsia" w:ascii="Times New Roman" w:hAnsi="Times New Roman" w:eastAsia="仿宋_GB2312" w:cs="Times New Roman"/>
          <w:sz w:val="32"/>
          <w:szCs w:val="32"/>
          <w:lang w:val="en-US" w:eastAsia="zh-CN"/>
        </w:rPr>
        <w:t>，坚持一域一策，引导</w:t>
      </w:r>
      <w:r>
        <w:rPr>
          <w:rFonts w:hint="eastAsia" w:ascii="Times New Roman" w:hAnsi="Times New Roman" w:eastAsia="仿宋_GB2312" w:cs="Times New Roman"/>
          <w:color w:val="auto"/>
          <w:sz w:val="32"/>
          <w:szCs w:val="32"/>
          <w:lang w:val="en-US" w:eastAsia="zh-CN"/>
        </w:rPr>
        <w:t>各县（市、区）深入挖掘自身资源和老干部优势特长，从赓续红色血脉、助力志愿服务、投身基层治理、助力产业发展、传承地方文脉等方面找准融合点、切入点，培育了“常山晚晴”“红色平山”等10余个县域品牌，推动</w:t>
      </w:r>
      <w:r>
        <w:rPr>
          <w:rFonts w:hint="default" w:ascii="Times New Roman" w:hAnsi="Times New Roman" w:eastAsia="仿宋_GB2312" w:cs="Times New Roman"/>
          <w:sz w:val="32"/>
          <w:szCs w:val="32"/>
          <w:lang w:val="en-US" w:eastAsia="zh-CN"/>
        </w:rPr>
        <w:t>全市老干部工作高质量发展</w:t>
      </w:r>
      <w:r>
        <w:rPr>
          <w:rFonts w:hint="eastAsia" w:ascii="Times New Roman" w:hAnsi="Times New Roman" w:eastAsia="仿宋_GB2312" w:cs="Times New Roman"/>
          <w:color w:val="auto"/>
          <w:sz w:val="32"/>
          <w:szCs w:val="32"/>
          <w:lang w:val="en-US" w:eastAsia="zh-CN"/>
        </w:rPr>
        <w:t>。</w:t>
      </w:r>
    </w:p>
    <w:p w14:paraId="388E0FBF">
      <w:pPr>
        <w:pStyle w:val="3"/>
        <w:rPr>
          <w:rFonts w:hint="eastAsia"/>
          <w:lang w:val="en-US" w:eastAsia="zh-CN"/>
        </w:rPr>
      </w:pPr>
    </w:p>
    <w:p w14:paraId="05D7FB52">
      <w:pPr>
        <w:keepNext w:val="0"/>
        <w:keepLines w:val="0"/>
        <w:pageBreakBefore w:val="0"/>
        <w:widowControl w:val="0"/>
        <w:shd w:val="clear"/>
        <w:kinsoku/>
        <w:wordWrap/>
        <w:overflowPunct/>
        <w:topLinePunct w:val="0"/>
        <w:autoSpaceDE/>
        <w:autoSpaceDN/>
        <w:bidi w:val="0"/>
        <w:adjustRightInd/>
        <w:snapToGrid w:val="0"/>
        <w:spacing w:line="560" w:lineRule="exact"/>
        <w:ind w:left="0" w:firstLine="640" w:firstLineChars="200"/>
        <w:textAlignment w:val="auto"/>
        <w:rPr>
          <w:rFonts w:hint="eastAsia" w:ascii="Times New Roman" w:hAnsi="Times New Roman" w:eastAsia="楷体" w:cs="楷体"/>
          <w:sz w:val="32"/>
          <w:szCs w:val="32"/>
          <w:highlight w:val="none"/>
          <w:shd w:val="clear" w:color="auto" w:fill="auto"/>
          <w:lang w:val="en-US" w:eastAsia="zh-CN"/>
        </w:rPr>
      </w:pPr>
      <w:r>
        <w:rPr>
          <w:rFonts w:hint="eastAsia" w:ascii="Times New Roman" w:hAnsi="Times New Roman" w:eastAsia="楷体" w:cs="楷体"/>
          <w:sz w:val="32"/>
          <w:szCs w:val="32"/>
          <w:highlight w:val="none"/>
          <w:shd w:val="clear" w:color="auto" w:fill="auto"/>
          <w:lang w:val="en-US" w:eastAsia="zh-CN"/>
        </w:rPr>
        <w:t>（二）绩效目标完成情况</w:t>
      </w:r>
      <w:bookmarkEnd w:id="8"/>
      <w:bookmarkEnd w:id="9"/>
    </w:p>
    <w:p w14:paraId="18552438">
      <w:pPr>
        <w:keepNext w:val="0"/>
        <w:keepLines w:val="0"/>
        <w:pageBreakBefore w:val="0"/>
        <w:widowControl w:val="0"/>
        <w:shd w:val="clear"/>
        <w:kinsoku/>
        <w:wordWrap/>
        <w:overflowPunct w:val="0"/>
        <w:topLinePunct w:val="0"/>
        <w:autoSpaceDE/>
        <w:autoSpaceDN/>
        <w:bidi w:val="0"/>
        <w:adjustRightInd/>
        <w:snapToGrid w:val="0"/>
        <w:spacing w:after="157" w:afterLines="50" w:line="560" w:lineRule="exact"/>
        <w:ind w:left="0" w:firstLine="640" w:firstLineChars="200"/>
        <w:textAlignment w:val="auto"/>
        <w:rPr>
          <w:rFonts w:hint="eastAsia" w:ascii="Times New Roman" w:hAnsi="Times New Roman" w:eastAsia="仿宋_GB2312" w:cs="仿宋_GB2312"/>
          <w:sz w:val="32"/>
          <w:szCs w:val="32"/>
          <w:highlight w:val="none"/>
          <w:shd w:val="clear" w:color="auto" w:fill="auto"/>
          <w:lang w:val="en-US" w:eastAsia="zh-CN"/>
        </w:rPr>
      </w:pPr>
      <w:r>
        <w:rPr>
          <w:rFonts w:hint="eastAsia" w:ascii="Times New Roman" w:hAnsi="Times New Roman" w:eastAsia="仿宋_GB2312" w:cs="仿宋_GB2312"/>
          <w:sz w:val="32"/>
          <w:szCs w:val="32"/>
          <w:highlight w:val="none"/>
          <w:shd w:val="clear" w:color="auto" w:fill="auto"/>
          <w:lang w:val="en-US" w:eastAsia="zh-CN"/>
        </w:rPr>
        <w:t>本次评价的4</w:t>
      </w:r>
      <w:r>
        <w:rPr>
          <w:rFonts w:hint="eastAsia" w:eastAsia="仿宋_GB2312" w:cs="仿宋_GB2312"/>
          <w:sz w:val="32"/>
          <w:szCs w:val="32"/>
          <w:highlight w:val="none"/>
          <w:shd w:val="clear" w:color="auto" w:fill="auto"/>
          <w:lang w:val="en-US" w:eastAsia="zh-CN"/>
        </w:rPr>
        <w:t>6</w:t>
      </w:r>
      <w:r>
        <w:rPr>
          <w:rFonts w:hint="eastAsia" w:ascii="Times New Roman" w:hAnsi="Times New Roman" w:eastAsia="仿宋_GB2312" w:cs="仿宋_GB2312"/>
          <w:sz w:val="32"/>
          <w:szCs w:val="32"/>
          <w:highlight w:val="none"/>
          <w:shd w:val="clear" w:color="auto" w:fill="auto"/>
          <w:lang w:val="en-US" w:eastAsia="zh-CN"/>
        </w:rPr>
        <w:t>个项目具体绩效目标完成情况及评价结果如下：</w:t>
      </w:r>
    </w:p>
    <w:tbl>
      <w:tblPr>
        <w:tblStyle w:val="12"/>
        <w:tblW w:w="48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22"/>
        <w:gridCol w:w="958"/>
        <w:gridCol w:w="1012"/>
        <w:gridCol w:w="1084"/>
        <w:gridCol w:w="1250"/>
        <w:gridCol w:w="1275"/>
      </w:tblGrid>
      <w:tr w14:paraId="7C065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4675FBF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sz w:val="24"/>
                <w:szCs w:val="24"/>
                <w:highlight w:val="none"/>
                <w:shd w:val="clear" w:color="auto" w:fill="auto"/>
                <w:vertAlign w:val="baseline"/>
                <w:lang w:val="en-US" w:eastAsia="zh-CN"/>
              </w:rPr>
              <w:t>单位</w:t>
            </w:r>
          </w:p>
        </w:tc>
        <w:tc>
          <w:tcPr>
            <w:tcW w:w="532" w:type="pct"/>
            <w:vAlign w:val="center"/>
          </w:tcPr>
          <w:p w14:paraId="4114D9F8">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sz w:val="24"/>
                <w:szCs w:val="24"/>
                <w:highlight w:val="none"/>
                <w:shd w:val="clear" w:color="auto" w:fill="auto"/>
                <w:vertAlign w:val="baseline"/>
                <w:lang w:val="en-US" w:eastAsia="zh-CN"/>
              </w:rPr>
              <w:t>项目数</w:t>
            </w:r>
          </w:p>
        </w:tc>
        <w:tc>
          <w:tcPr>
            <w:tcW w:w="562" w:type="pct"/>
            <w:vAlign w:val="center"/>
          </w:tcPr>
          <w:p w14:paraId="0F7E77A7">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sz w:val="24"/>
                <w:szCs w:val="24"/>
                <w:highlight w:val="none"/>
                <w:shd w:val="clear" w:color="auto" w:fill="auto"/>
                <w:vertAlign w:val="baseline"/>
                <w:lang w:val="en-US" w:eastAsia="zh-CN"/>
              </w:rPr>
              <w:t>评优数</w:t>
            </w:r>
          </w:p>
        </w:tc>
        <w:tc>
          <w:tcPr>
            <w:tcW w:w="602" w:type="pct"/>
            <w:vAlign w:val="center"/>
          </w:tcPr>
          <w:p w14:paraId="7B85D90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i w:val="0"/>
                <w:iCs w:val="0"/>
                <w:color w:val="000000"/>
                <w:kern w:val="0"/>
                <w:sz w:val="24"/>
                <w:szCs w:val="24"/>
                <w:highlight w:val="none"/>
                <w:u w:val="none"/>
                <w:shd w:val="clear" w:color="auto" w:fill="auto"/>
                <w:lang w:val="en-US" w:eastAsia="zh-CN" w:bidi="ar"/>
              </w:rPr>
              <w:t>评良数</w:t>
            </w:r>
          </w:p>
        </w:tc>
        <w:tc>
          <w:tcPr>
            <w:tcW w:w="694" w:type="pct"/>
            <w:vAlign w:val="center"/>
          </w:tcPr>
          <w:p w14:paraId="05BCD1B2">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i w:val="0"/>
                <w:iCs w:val="0"/>
                <w:color w:val="000000"/>
                <w:kern w:val="0"/>
                <w:sz w:val="24"/>
                <w:szCs w:val="24"/>
                <w:highlight w:val="none"/>
                <w:u w:val="none"/>
                <w:shd w:val="clear" w:color="auto" w:fill="auto"/>
                <w:lang w:val="en-US" w:eastAsia="zh-CN" w:bidi="ar"/>
              </w:rPr>
              <w:t>评一般数</w:t>
            </w:r>
          </w:p>
        </w:tc>
        <w:tc>
          <w:tcPr>
            <w:tcW w:w="708" w:type="pct"/>
            <w:vAlign w:val="center"/>
          </w:tcPr>
          <w:p w14:paraId="05B07672">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i w:val="0"/>
                <w:iCs w:val="0"/>
                <w:color w:val="000000"/>
                <w:kern w:val="0"/>
                <w:sz w:val="24"/>
                <w:szCs w:val="24"/>
                <w:highlight w:val="none"/>
                <w:u w:val="none"/>
                <w:shd w:val="clear" w:color="auto" w:fill="auto"/>
                <w:lang w:val="en-US" w:eastAsia="zh-CN" w:bidi="ar"/>
              </w:rPr>
              <w:t>评较差数</w:t>
            </w:r>
          </w:p>
        </w:tc>
      </w:tr>
      <w:tr w14:paraId="45251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7C1A6BF6">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eastAsia="zh-CN"/>
              </w:rPr>
            </w:pPr>
            <w:r>
              <w:rPr>
                <w:rFonts w:hint="default" w:ascii="Times New Roman" w:hAnsi="Times New Roman" w:eastAsia="仿宋" w:cs="仿宋"/>
                <w:sz w:val="24"/>
                <w:szCs w:val="24"/>
                <w:highlight w:val="none"/>
                <w:shd w:val="clear" w:color="auto" w:fill="auto"/>
                <w:vertAlign w:val="baseline"/>
                <w:lang w:eastAsia="zh-CN"/>
              </w:rPr>
              <w:t>中共石家庄市委老干部局本级</w:t>
            </w:r>
          </w:p>
        </w:tc>
        <w:tc>
          <w:tcPr>
            <w:tcW w:w="532" w:type="pct"/>
            <w:vAlign w:val="center"/>
          </w:tcPr>
          <w:p w14:paraId="04DB927E">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16</w:t>
            </w:r>
          </w:p>
        </w:tc>
        <w:tc>
          <w:tcPr>
            <w:tcW w:w="562" w:type="pct"/>
            <w:shd w:val="clear" w:color="auto" w:fill="auto"/>
            <w:vAlign w:val="center"/>
          </w:tcPr>
          <w:p w14:paraId="77AA946A">
            <w:pPr>
              <w:keepNext w:val="0"/>
              <w:keepLines w:val="0"/>
              <w:pageBreakBefore w:val="0"/>
              <w:widowControl w:val="0"/>
              <w:shd w:val="clear"/>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仿宋"/>
                <w:kern w:val="2"/>
                <w:sz w:val="24"/>
                <w:szCs w:val="24"/>
                <w:highlight w:val="none"/>
                <w:shd w:val="clear" w:color="auto" w:fill="auto"/>
                <w:vertAlign w:val="baseline"/>
                <w:lang w:val="en-US" w:eastAsia="zh-CN" w:bidi="ar-SA"/>
              </w:rPr>
            </w:pPr>
            <w:r>
              <w:rPr>
                <w:rFonts w:hint="eastAsia" w:eastAsia="仿宋" w:cs="仿宋"/>
                <w:sz w:val="24"/>
                <w:szCs w:val="24"/>
                <w:highlight w:val="none"/>
                <w:shd w:val="clear" w:color="auto" w:fill="auto"/>
                <w:vertAlign w:val="baseline"/>
                <w:lang w:val="en-US" w:eastAsia="zh-CN"/>
              </w:rPr>
              <w:t>15</w:t>
            </w:r>
          </w:p>
        </w:tc>
        <w:tc>
          <w:tcPr>
            <w:tcW w:w="602" w:type="pct"/>
            <w:vAlign w:val="center"/>
          </w:tcPr>
          <w:p w14:paraId="6C45005B">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0</w:t>
            </w:r>
          </w:p>
        </w:tc>
        <w:tc>
          <w:tcPr>
            <w:tcW w:w="694" w:type="pct"/>
            <w:vAlign w:val="center"/>
          </w:tcPr>
          <w:p w14:paraId="6911738F">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708" w:type="pct"/>
            <w:vAlign w:val="center"/>
          </w:tcPr>
          <w:p w14:paraId="6A9B366E">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r>
      <w:tr w14:paraId="536E6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4852A580">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石家庄市老年大学</w:t>
            </w:r>
          </w:p>
        </w:tc>
        <w:tc>
          <w:tcPr>
            <w:tcW w:w="532" w:type="pct"/>
            <w:vAlign w:val="center"/>
          </w:tcPr>
          <w:p w14:paraId="6C374406">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13</w:t>
            </w:r>
          </w:p>
        </w:tc>
        <w:tc>
          <w:tcPr>
            <w:tcW w:w="562" w:type="pct"/>
            <w:shd w:val="clear" w:color="auto" w:fill="auto"/>
            <w:vAlign w:val="center"/>
          </w:tcPr>
          <w:p w14:paraId="539C37D0">
            <w:pPr>
              <w:keepNext w:val="0"/>
              <w:keepLines w:val="0"/>
              <w:pageBreakBefore w:val="0"/>
              <w:widowControl w:val="0"/>
              <w:shd w:val="clear"/>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仿宋"/>
                <w:kern w:val="2"/>
                <w:sz w:val="24"/>
                <w:szCs w:val="24"/>
                <w:highlight w:val="none"/>
                <w:shd w:val="clear" w:color="auto" w:fill="auto"/>
                <w:vertAlign w:val="baseline"/>
                <w:lang w:val="en-US" w:eastAsia="zh-CN" w:bidi="ar-SA"/>
              </w:rPr>
            </w:pPr>
            <w:r>
              <w:rPr>
                <w:rFonts w:hint="eastAsia" w:eastAsia="仿宋" w:cs="仿宋"/>
                <w:sz w:val="24"/>
                <w:szCs w:val="24"/>
                <w:highlight w:val="none"/>
                <w:shd w:val="clear" w:color="auto" w:fill="auto"/>
                <w:vertAlign w:val="baseline"/>
                <w:lang w:val="en-US" w:eastAsia="zh-CN"/>
              </w:rPr>
              <w:t>13</w:t>
            </w:r>
          </w:p>
        </w:tc>
        <w:tc>
          <w:tcPr>
            <w:tcW w:w="602" w:type="pct"/>
            <w:vAlign w:val="center"/>
          </w:tcPr>
          <w:p w14:paraId="28F4FDE8">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694" w:type="pct"/>
            <w:vAlign w:val="center"/>
          </w:tcPr>
          <w:p w14:paraId="00078406">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708" w:type="pct"/>
            <w:vAlign w:val="center"/>
          </w:tcPr>
          <w:p w14:paraId="28412703">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r>
      <w:tr w14:paraId="51899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585FB60B">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石家庄市老干部活动中心</w:t>
            </w:r>
          </w:p>
        </w:tc>
        <w:tc>
          <w:tcPr>
            <w:tcW w:w="532" w:type="pct"/>
            <w:vAlign w:val="center"/>
          </w:tcPr>
          <w:p w14:paraId="0317F312">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10</w:t>
            </w:r>
          </w:p>
        </w:tc>
        <w:tc>
          <w:tcPr>
            <w:tcW w:w="562" w:type="pct"/>
            <w:shd w:val="clear" w:color="auto" w:fill="auto"/>
            <w:vAlign w:val="center"/>
          </w:tcPr>
          <w:p w14:paraId="551B06FD">
            <w:pPr>
              <w:keepNext w:val="0"/>
              <w:keepLines w:val="0"/>
              <w:pageBreakBefore w:val="0"/>
              <w:widowControl w:val="0"/>
              <w:shd w:val="clear"/>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仿宋"/>
                <w:kern w:val="2"/>
                <w:sz w:val="24"/>
                <w:szCs w:val="24"/>
                <w:highlight w:val="none"/>
                <w:shd w:val="clear" w:color="auto" w:fill="auto"/>
                <w:vertAlign w:val="baseline"/>
                <w:lang w:val="en-US" w:eastAsia="zh-CN" w:bidi="ar-SA"/>
              </w:rPr>
            </w:pPr>
            <w:r>
              <w:rPr>
                <w:rFonts w:hint="eastAsia" w:eastAsia="仿宋" w:cs="仿宋"/>
                <w:sz w:val="24"/>
                <w:szCs w:val="24"/>
                <w:highlight w:val="none"/>
                <w:shd w:val="clear" w:color="auto" w:fill="auto"/>
                <w:vertAlign w:val="baseline"/>
                <w:lang w:val="en-US" w:eastAsia="zh-CN"/>
              </w:rPr>
              <w:t>10</w:t>
            </w:r>
          </w:p>
        </w:tc>
        <w:tc>
          <w:tcPr>
            <w:tcW w:w="602" w:type="pct"/>
            <w:vAlign w:val="center"/>
          </w:tcPr>
          <w:p w14:paraId="7C8617F3">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0</w:t>
            </w:r>
          </w:p>
        </w:tc>
        <w:tc>
          <w:tcPr>
            <w:tcW w:w="694" w:type="pct"/>
            <w:vAlign w:val="center"/>
          </w:tcPr>
          <w:p w14:paraId="08327CF9">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708" w:type="pct"/>
            <w:vAlign w:val="center"/>
          </w:tcPr>
          <w:p w14:paraId="5A5F23D4">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0</w:t>
            </w:r>
          </w:p>
        </w:tc>
      </w:tr>
      <w:tr w14:paraId="18A3C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46C9632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石家庄市老干部休养所</w:t>
            </w:r>
          </w:p>
        </w:tc>
        <w:tc>
          <w:tcPr>
            <w:tcW w:w="532" w:type="pct"/>
            <w:vAlign w:val="center"/>
          </w:tcPr>
          <w:p w14:paraId="09B500D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7</w:t>
            </w:r>
          </w:p>
        </w:tc>
        <w:tc>
          <w:tcPr>
            <w:tcW w:w="562" w:type="pct"/>
            <w:shd w:val="clear" w:color="auto" w:fill="auto"/>
            <w:vAlign w:val="center"/>
          </w:tcPr>
          <w:p w14:paraId="6B4F4600">
            <w:pPr>
              <w:keepNext w:val="0"/>
              <w:keepLines w:val="0"/>
              <w:pageBreakBefore w:val="0"/>
              <w:widowControl w:val="0"/>
              <w:shd w:val="clear"/>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仿宋"/>
                <w:kern w:val="2"/>
                <w:sz w:val="24"/>
                <w:szCs w:val="24"/>
                <w:highlight w:val="none"/>
                <w:shd w:val="clear" w:color="auto" w:fill="auto"/>
                <w:vertAlign w:val="baseline"/>
                <w:lang w:val="en-US" w:eastAsia="zh-CN" w:bidi="ar-SA"/>
              </w:rPr>
            </w:pPr>
            <w:r>
              <w:rPr>
                <w:rFonts w:hint="eastAsia" w:eastAsia="仿宋" w:cs="仿宋"/>
                <w:sz w:val="24"/>
                <w:szCs w:val="24"/>
                <w:highlight w:val="none"/>
                <w:shd w:val="clear" w:color="auto" w:fill="auto"/>
                <w:vertAlign w:val="baseline"/>
                <w:lang w:val="en-US" w:eastAsia="zh-CN"/>
              </w:rPr>
              <w:t>7</w:t>
            </w:r>
          </w:p>
        </w:tc>
        <w:tc>
          <w:tcPr>
            <w:tcW w:w="602" w:type="pct"/>
            <w:vAlign w:val="center"/>
          </w:tcPr>
          <w:p w14:paraId="7183409E">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694" w:type="pct"/>
            <w:vAlign w:val="center"/>
          </w:tcPr>
          <w:p w14:paraId="07A87245">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708" w:type="pct"/>
            <w:vAlign w:val="center"/>
          </w:tcPr>
          <w:p w14:paraId="496B24A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r>
      <w:tr w14:paraId="76C08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4C999709">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合计</w:t>
            </w:r>
          </w:p>
        </w:tc>
        <w:tc>
          <w:tcPr>
            <w:tcW w:w="532" w:type="pct"/>
            <w:vAlign w:val="center"/>
          </w:tcPr>
          <w:p w14:paraId="612721E6">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46</w:t>
            </w:r>
          </w:p>
        </w:tc>
        <w:tc>
          <w:tcPr>
            <w:tcW w:w="562" w:type="pct"/>
            <w:shd w:val="clear" w:color="auto" w:fill="auto"/>
            <w:vAlign w:val="center"/>
          </w:tcPr>
          <w:p w14:paraId="0FECB3CB">
            <w:pPr>
              <w:keepNext w:val="0"/>
              <w:keepLines w:val="0"/>
              <w:pageBreakBefore w:val="0"/>
              <w:widowControl w:val="0"/>
              <w:shd w:val="clear"/>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仿宋"/>
                <w:kern w:val="2"/>
                <w:sz w:val="24"/>
                <w:szCs w:val="24"/>
                <w:highlight w:val="none"/>
                <w:shd w:val="clear" w:color="auto" w:fill="auto"/>
                <w:vertAlign w:val="baseline"/>
                <w:lang w:val="en-US" w:eastAsia="zh-CN" w:bidi="ar-SA"/>
              </w:rPr>
            </w:pPr>
            <w:r>
              <w:rPr>
                <w:rFonts w:hint="eastAsia" w:eastAsia="仿宋" w:cs="仿宋"/>
                <w:sz w:val="24"/>
                <w:szCs w:val="24"/>
                <w:highlight w:val="none"/>
                <w:shd w:val="clear" w:color="auto" w:fill="auto"/>
                <w:vertAlign w:val="baseline"/>
                <w:lang w:val="en-US" w:eastAsia="zh-CN"/>
              </w:rPr>
              <w:t>45</w:t>
            </w:r>
          </w:p>
        </w:tc>
        <w:tc>
          <w:tcPr>
            <w:tcW w:w="602" w:type="pct"/>
            <w:vAlign w:val="center"/>
          </w:tcPr>
          <w:p w14:paraId="5909DA9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0</w:t>
            </w:r>
          </w:p>
        </w:tc>
        <w:tc>
          <w:tcPr>
            <w:tcW w:w="694" w:type="pct"/>
            <w:vAlign w:val="center"/>
          </w:tcPr>
          <w:p w14:paraId="13E6F8EB">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708" w:type="pct"/>
            <w:vAlign w:val="center"/>
          </w:tcPr>
          <w:p w14:paraId="6828B96A">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0</w:t>
            </w:r>
          </w:p>
        </w:tc>
      </w:tr>
    </w:tbl>
    <w:p w14:paraId="6C106E66">
      <w:pPr>
        <w:keepNext w:val="0"/>
        <w:keepLines w:val="0"/>
        <w:pageBreakBefore w:val="0"/>
        <w:widowControl w:val="0"/>
        <w:shd w:val="clear"/>
        <w:kinsoku/>
        <w:wordWrap/>
        <w:overflowPunct/>
        <w:topLinePunct w:val="0"/>
        <w:autoSpaceDE/>
        <w:autoSpaceDN/>
        <w:bidi w:val="0"/>
        <w:adjustRightInd/>
        <w:snapToGrid/>
        <w:spacing w:after="157" w:afterLines="50" w:line="560" w:lineRule="exact"/>
        <w:ind w:firstLine="640" w:firstLineChars="200"/>
        <w:textAlignment w:val="auto"/>
        <w:rPr>
          <w:rFonts w:hint="eastAsia" w:ascii="Times New Roman" w:hAnsi="Times New Roman" w:eastAsia="仿宋_GB2312" w:cs="仿宋_GB2312"/>
          <w:color w:val="auto"/>
          <w:sz w:val="32"/>
          <w:szCs w:val="32"/>
          <w:highlight w:val="none"/>
          <w:shd w:val="clear" w:color="auto" w:fill="auto"/>
          <w:lang w:val="en-US" w:eastAsia="zh-CN"/>
        </w:rPr>
      </w:pPr>
      <w:r>
        <w:rPr>
          <w:rFonts w:hint="eastAsia" w:ascii="Times New Roman" w:hAnsi="Times New Roman" w:eastAsia="仿宋_GB2312" w:cs="仿宋_GB2312"/>
          <w:sz w:val="32"/>
          <w:szCs w:val="32"/>
          <w:highlight w:val="none"/>
          <w:shd w:val="clear" w:color="auto" w:fill="auto"/>
          <w:lang w:eastAsia="zh-CN"/>
        </w:rPr>
        <w:t>参与本次评价的项目共计</w:t>
      </w:r>
      <w:r>
        <w:rPr>
          <w:rFonts w:hint="eastAsia" w:eastAsia="仿宋_GB2312" w:cs="仿宋_GB2312"/>
          <w:sz w:val="32"/>
          <w:szCs w:val="32"/>
          <w:highlight w:val="none"/>
          <w:shd w:val="clear" w:color="auto" w:fill="auto"/>
          <w:lang w:val="en-US" w:eastAsia="zh-CN"/>
        </w:rPr>
        <w:t>46</w:t>
      </w:r>
      <w:r>
        <w:rPr>
          <w:rFonts w:hint="eastAsia" w:ascii="Times New Roman" w:hAnsi="Times New Roman" w:eastAsia="仿宋_GB2312" w:cs="仿宋_GB2312"/>
          <w:sz w:val="32"/>
          <w:szCs w:val="32"/>
          <w:highlight w:val="none"/>
          <w:shd w:val="clear" w:color="auto" w:fill="auto"/>
          <w:lang w:eastAsia="zh-CN"/>
        </w:rPr>
        <w:t>个，绩效自评整体平均分数</w:t>
      </w:r>
      <w:r>
        <w:rPr>
          <w:rFonts w:hint="eastAsia" w:ascii="Times New Roman" w:hAnsi="Times New Roman" w:eastAsia="仿宋_GB2312" w:cs="仿宋_GB2312"/>
          <w:sz w:val="32"/>
          <w:szCs w:val="32"/>
          <w:highlight w:val="none"/>
          <w:shd w:val="clear" w:color="auto" w:fill="auto"/>
          <w:lang w:val="en-US" w:eastAsia="zh-CN"/>
        </w:rPr>
        <w:t>为</w:t>
      </w:r>
      <w:r>
        <w:rPr>
          <w:rFonts w:hint="eastAsia" w:eastAsia="仿宋_GB2312" w:cs="仿宋_GB2312"/>
          <w:sz w:val="32"/>
          <w:szCs w:val="32"/>
          <w:highlight w:val="none"/>
          <w:shd w:val="clear" w:color="auto" w:fill="auto"/>
          <w:lang w:val="en-US" w:eastAsia="zh-CN"/>
        </w:rPr>
        <w:t>99.78</w:t>
      </w:r>
      <w:r>
        <w:rPr>
          <w:rFonts w:hint="eastAsia" w:ascii="Times New Roman" w:hAnsi="Times New Roman" w:eastAsia="仿宋_GB2312" w:cs="仿宋_GB2312"/>
          <w:sz w:val="32"/>
          <w:szCs w:val="32"/>
          <w:highlight w:val="none"/>
          <w:shd w:val="clear" w:color="auto" w:fill="auto"/>
          <w:lang w:eastAsia="zh-CN"/>
        </w:rPr>
        <w:t>分。</w:t>
      </w:r>
      <w:r>
        <w:rPr>
          <w:rFonts w:hint="eastAsia" w:ascii="Times New Roman" w:hAnsi="Times New Roman" w:eastAsia="仿宋_GB2312" w:cs="仿宋_GB2312"/>
          <w:sz w:val="32"/>
          <w:szCs w:val="32"/>
          <w:highlight w:val="none"/>
          <w:shd w:val="clear" w:color="auto" w:fill="auto"/>
          <w:lang w:val="en-US" w:eastAsia="zh-CN"/>
        </w:rPr>
        <w:t>202</w:t>
      </w:r>
      <w:r>
        <w:rPr>
          <w:rFonts w:hint="eastAsia" w:eastAsia="仿宋_GB2312" w:cs="仿宋_GB2312"/>
          <w:sz w:val="32"/>
          <w:szCs w:val="32"/>
          <w:highlight w:val="none"/>
          <w:shd w:val="clear" w:color="auto" w:fill="auto"/>
          <w:lang w:val="en-US" w:eastAsia="zh-CN"/>
        </w:rPr>
        <w:t>5</w:t>
      </w:r>
      <w:bookmarkStart w:id="21" w:name="_GoBack"/>
      <w:bookmarkEnd w:id="21"/>
      <w:r>
        <w:rPr>
          <w:rFonts w:hint="eastAsia" w:ascii="Times New Roman" w:hAnsi="Times New Roman" w:eastAsia="仿宋_GB2312" w:cs="仿宋_GB2312"/>
          <w:sz w:val="32"/>
          <w:szCs w:val="32"/>
          <w:highlight w:val="none"/>
          <w:shd w:val="clear" w:color="auto" w:fill="auto"/>
          <w:lang w:val="en-US" w:eastAsia="zh-CN"/>
        </w:rPr>
        <w:t>年度</w:t>
      </w:r>
      <w:r>
        <w:rPr>
          <w:rFonts w:hint="eastAsia" w:eastAsia="仿宋_GB2312" w:cs="仿宋_GB2312"/>
          <w:color w:val="auto"/>
          <w:sz w:val="32"/>
          <w:szCs w:val="32"/>
          <w:highlight w:val="none"/>
          <w:shd w:val="clear" w:color="auto" w:fill="auto"/>
          <w:lang w:val="en-US" w:eastAsia="zh-CN"/>
        </w:rPr>
        <w:t>我部门</w:t>
      </w:r>
      <w:r>
        <w:rPr>
          <w:rFonts w:hint="eastAsia" w:ascii="Times New Roman" w:hAnsi="Times New Roman" w:eastAsia="仿宋_GB2312" w:cs="仿宋_GB2312"/>
          <w:color w:val="auto"/>
          <w:sz w:val="32"/>
          <w:szCs w:val="32"/>
          <w:highlight w:val="none"/>
          <w:shd w:val="clear" w:color="auto" w:fill="auto"/>
          <w:lang w:val="en-US" w:eastAsia="zh-CN"/>
        </w:rPr>
        <w:t>局机关及下属单位共同完成了全面加强新时代离退休干部党的建设、突出服务大局，积极引导广大离退休干部发挥作用、用心用情做好离退休干部服务管理工作等目标。绩效指标完成情况如下：</w:t>
      </w:r>
    </w:p>
    <w:tbl>
      <w:tblPr>
        <w:tblStyle w:val="11"/>
        <w:tblW w:w="85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59"/>
        <w:gridCol w:w="2346"/>
        <w:gridCol w:w="1947"/>
        <w:gridCol w:w="1365"/>
        <w:gridCol w:w="2233"/>
      </w:tblGrid>
      <w:tr w14:paraId="1C0D1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8C8CDE">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23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25129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主管部门</w:t>
            </w:r>
          </w:p>
        </w:tc>
        <w:tc>
          <w:tcPr>
            <w:tcW w:w="19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68325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73AC7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2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F570D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核查发现问题</w:t>
            </w:r>
          </w:p>
        </w:tc>
      </w:tr>
      <w:tr w14:paraId="5E958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trPr>
        <w:tc>
          <w:tcPr>
            <w:tcW w:w="6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0E526B">
            <w:pPr>
              <w:jc w:val="center"/>
              <w:rPr>
                <w:rFonts w:hint="eastAsia" w:ascii="仿宋" w:hAnsi="仿宋" w:eastAsia="仿宋" w:cs="仿宋"/>
                <w:i w:val="0"/>
                <w:iCs w:val="0"/>
                <w:color w:val="000000"/>
                <w:sz w:val="24"/>
                <w:szCs w:val="24"/>
                <w:u w:val="none"/>
              </w:rPr>
            </w:pPr>
          </w:p>
        </w:tc>
        <w:tc>
          <w:tcPr>
            <w:tcW w:w="23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0DCAC7">
            <w:pPr>
              <w:jc w:val="center"/>
              <w:rPr>
                <w:rFonts w:hint="eastAsia" w:ascii="仿宋" w:hAnsi="仿宋" w:eastAsia="仿宋" w:cs="仿宋"/>
                <w:i w:val="0"/>
                <w:iCs w:val="0"/>
                <w:color w:val="000000"/>
                <w:sz w:val="24"/>
                <w:szCs w:val="24"/>
                <w:u w:val="none"/>
              </w:rPr>
            </w:pPr>
          </w:p>
        </w:tc>
        <w:tc>
          <w:tcPr>
            <w:tcW w:w="1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DDD1B5">
            <w:pPr>
              <w:jc w:val="center"/>
              <w:rPr>
                <w:rFonts w:hint="eastAsia" w:ascii="仿宋" w:hAnsi="仿宋" w:eastAsia="仿宋" w:cs="仿宋"/>
                <w:i w:val="0"/>
                <w:iCs w:val="0"/>
                <w:color w:val="000000"/>
                <w:sz w:val="24"/>
                <w:szCs w:val="24"/>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A75AE0">
            <w:pPr>
              <w:jc w:val="center"/>
              <w:rPr>
                <w:rFonts w:hint="eastAsia" w:ascii="仿宋" w:hAnsi="仿宋" w:eastAsia="仿宋" w:cs="仿宋"/>
                <w:i w:val="0"/>
                <w:iCs w:val="0"/>
                <w:color w:val="000000"/>
                <w:sz w:val="24"/>
                <w:szCs w:val="24"/>
                <w:u w:val="none"/>
              </w:rPr>
            </w:pPr>
          </w:p>
        </w:tc>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272AC1">
            <w:pPr>
              <w:jc w:val="center"/>
              <w:rPr>
                <w:rFonts w:hint="eastAsia" w:ascii="仿宋" w:hAnsi="仿宋" w:eastAsia="仿宋" w:cs="仿宋"/>
                <w:i w:val="0"/>
                <w:iCs w:val="0"/>
                <w:color w:val="000000"/>
                <w:sz w:val="24"/>
                <w:szCs w:val="24"/>
                <w:u w:val="none"/>
              </w:rPr>
            </w:pPr>
          </w:p>
        </w:tc>
      </w:tr>
      <w:tr w14:paraId="0C024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A86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94D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F51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17B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97.94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F71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据实支付，结余资金已退回财政</w:t>
            </w:r>
          </w:p>
        </w:tc>
      </w:tr>
      <w:tr w14:paraId="0BAC4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045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71C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C08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F13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99.94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601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据实支付，结余资金已退回财政</w:t>
            </w:r>
          </w:p>
        </w:tc>
      </w:tr>
      <w:tr w14:paraId="3489B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398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B5D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FA4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法律顾问经费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751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248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883F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6C5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967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663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关工委工作经费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EA1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603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593C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471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A2D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3C5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抗战时期及以前参加工作离休干部补助</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2F3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33A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3A78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2B2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447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B74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困难离退休干部帮扶资金</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5CA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F77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1CAB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774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C10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C6A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困难事业单位离休干部离休费统筹外有关待遇经费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DF2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68B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2298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2CA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58C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C16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老干部工作保障经费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530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0CC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E746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E55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337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535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老干部工作保障经费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2C1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30D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CFE9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85A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26B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F22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老年书画研究会经费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DB6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70F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E092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9FF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04A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E03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离退休干部纪录片经费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68F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99.80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0F8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0073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06A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616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ED9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破产改制企业离休干部上收管理</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5F9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A92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6F11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BA3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0EF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735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文件资料印刷费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EF9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99.96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D7C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3472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46C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0F4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A48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784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039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28BD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C2E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BAA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DCA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业务培训费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864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99.84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C4A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C3F4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D1B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93B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EEF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4F9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96.21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79D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0778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51D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43D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86A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单位运行费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1EA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3AE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A313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424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C9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FA7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DED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F06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E688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F2B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FC2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3BA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电梯更换项目经费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BE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97.65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BED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6B0F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298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33A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000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活动中心工作保障经费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761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179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5010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2CE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798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F86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活动中心设备购置费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D45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334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C86E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B9C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88D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922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劳动聘用人员经费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C52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E09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EE8D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C7C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112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5BF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老干部赛事活动经费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6C0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626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29A4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675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771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6BF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物业管理费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7EC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33C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BC98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D53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1EE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C55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EA6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320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896D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0C9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348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A0D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E7B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A08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4C2EF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FB4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AB7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6D7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干休所工作保障经费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B41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99.99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2FF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5850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709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77C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C7A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劳动聘用人员经费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977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2D5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1F8E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9D3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B05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B70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老干部慰问经费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12F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99.94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9E2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2368A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037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2B4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448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物业管理费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B63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7EC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1166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317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18D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767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EE8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0CA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21D1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349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624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448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单位运行电费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E5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98.81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947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58EA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B24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342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86C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FFA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023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E837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0F5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12A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42B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教学成果展示经费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37A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99.99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719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422B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42E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0C5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8C3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教学工作保障经费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F4F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99.99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4B0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7468E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FEB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E5A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22A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劳动聘用人员经费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42B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184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6AD7B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8F1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22D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4E9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老年大学教师经费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B3B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513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32778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C1F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2B7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C65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老年大学世纪校区租赁费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826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92C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1443B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11B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8F4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12F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老年教育发展经费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EC8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1ED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5B4E2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EB6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C94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E37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文件资料印刷费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33C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555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AA30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61B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48C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33C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业务培训费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B48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5B7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r w14:paraId="06115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3F5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23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F0F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石家庄市委老干部局</w:t>
            </w:r>
          </w:p>
        </w:tc>
        <w:tc>
          <w:tcPr>
            <w:tcW w:w="1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8D8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物业管理费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C28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 </w:t>
            </w:r>
          </w:p>
        </w:tc>
        <w:tc>
          <w:tcPr>
            <w:tcW w:w="2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8F0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r>
    </w:tbl>
    <w:p w14:paraId="20425EA5">
      <w:pPr>
        <w:keepNext w:val="0"/>
        <w:keepLines w:val="0"/>
        <w:pageBreakBefore w:val="0"/>
        <w:widowControl w:val="0"/>
        <w:shd w:val="clear"/>
        <w:kinsoku/>
        <w:wordWrap/>
        <w:overflowPunct/>
        <w:topLinePunct w:val="0"/>
        <w:autoSpaceDE/>
        <w:autoSpaceDN/>
        <w:bidi w:val="0"/>
        <w:adjustRightInd/>
        <w:snapToGrid/>
        <w:spacing w:after="157" w:afterLines="50" w:line="560" w:lineRule="exact"/>
        <w:ind w:firstLine="640" w:firstLineChars="200"/>
        <w:textAlignment w:val="auto"/>
        <w:rPr>
          <w:rFonts w:hint="eastAsia" w:ascii="Times New Roman" w:hAnsi="Times New Roman" w:eastAsia="仿宋_GB2312" w:cs="仿宋_GB2312"/>
          <w:color w:val="auto"/>
          <w:sz w:val="32"/>
          <w:szCs w:val="32"/>
          <w:highlight w:val="none"/>
          <w:shd w:val="clear" w:color="auto" w:fill="auto"/>
          <w:lang w:val="en-US" w:eastAsia="zh-CN"/>
        </w:rPr>
      </w:pPr>
    </w:p>
    <w:p w14:paraId="35243FE4">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val="en-US" w:eastAsia="zh-CN"/>
        </w:rPr>
      </w:pPr>
      <w:bookmarkStart w:id="10" w:name="_Toc8716"/>
      <w:bookmarkStart w:id="11" w:name="_Toc24932"/>
      <w:r>
        <w:rPr>
          <w:rFonts w:hint="eastAsia" w:ascii="Times New Roman" w:hAnsi="Times New Roman" w:eastAsia="楷体" w:cs="楷体"/>
          <w:sz w:val="32"/>
          <w:szCs w:val="32"/>
          <w:highlight w:val="none"/>
          <w:shd w:val="clear" w:color="auto" w:fill="auto"/>
          <w:lang w:val="en-US" w:eastAsia="zh-CN"/>
        </w:rPr>
        <w:t>（三）存在的问题及原因</w:t>
      </w:r>
      <w:bookmarkEnd w:id="10"/>
      <w:bookmarkEnd w:id="11"/>
    </w:p>
    <w:p w14:paraId="5ECBAD3B">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黑体" w:cs="黑体"/>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lang w:val="en-US" w:eastAsia="zh-CN"/>
        </w:rPr>
        <w:t>本次参与的4</w:t>
      </w:r>
      <w:r>
        <w:rPr>
          <w:rFonts w:hint="eastAsia" w:eastAsia="仿宋_GB2312" w:cs="仿宋_GB2312"/>
          <w:sz w:val="32"/>
          <w:szCs w:val="32"/>
          <w:highlight w:val="none"/>
          <w:shd w:val="clear" w:color="auto" w:fill="auto"/>
          <w:lang w:val="en-US" w:eastAsia="zh-CN"/>
        </w:rPr>
        <w:t>6</w:t>
      </w:r>
      <w:r>
        <w:rPr>
          <w:rFonts w:hint="eastAsia" w:ascii="Times New Roman" w:hAnsi="Times New Roman" w:eastAsia="仿宋_GB2312" w:cs="仿宋_GB2312"/>
          <w:sz w:val="32"/>
          <w:szCs w:val="32"/>
          <w:highlight w:val="none"/>
          <w:shd w:val="clear" w:color="auto" w:fill="auto"/>
          <w:lang w:val="en-US" w:eastAsia="zh-CN"/>
        </w:rPr>
        <w:t>个项目</w:t>
      </w:r>
      <w:r>
        <w:rPr>
          <w:rFonts w:hint="eastAsia" w:eastAsia="仿宋_GB2312" w:cs="仿宋_GB2312"/>
          <w:sz w:val="32"/>
          <w:szCs w:val="32"/>
          <w:highlight w:val="none"/>
          <w:shd w:val="clear" w:color="auto" w:fill="auto"/>
          <w:lang w:val="en-US" w:eastAsia="zh-CN"/>
        </w:rPr>
        <w:t>,</w:t>
      </w:r>
      <w:r>
        <w:rPr>
          <w:rFonts w:hint="eastAsia" w:ascii="Times New Roman" w:hAnsi="Times New Roman" w:eastAsia="仿宋_GB2312" w:cs="仿宋_GB2312"/>
          <w:sz w:val="32"/>
          <w:szCs w:val="32"/>
          <w:highlight w:val="none"/>
          <w:shd w:val="clear" w:color="auto" w:fill="auto"/>
          <w:lang w:val="en-US" w:eastAsia="zh-CN"/>
        </w:rPr>
        <w:t>均较好的完成了预期绩效目标，评价结果为“优”</w:t>
      </w:r>
      <w:r>
        <w:rPr>
          <w:rFonts w:hint="eastAsia" w:eastAsia="仿宋_GB2312" w:cs="仿宋_GB2312"/>
          <w:sz w:val="32"/>
          <w:szCs w:val="32"/>
          <w:highlight w:val="none"/>
          <w:shd w:val="clear" w:color="auto" w:fill="auto"/>
          <w:lang w:val="en-US" w:eastAsia="zh-CN"/>
        </w:rPr>
        <w:t>。</w:t>
      </w:r>
    </w:p>
    <w:p w14:paraId="41C2C748">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0"/>
        <w:rPr>
          <w:rFonts w:hint="eastAsia" w:ascii="Times New Roman" w:hAnsi="Times New Roman" w:eastAsia="黑体" w:cs="黑体"/>
          <w:sz w:val="32"/>
          <w:szCs w:val="32"/>
          <w:highlight w:val="none"/>
          <w:shd w:val="clear" w:color="auto" w:fill="auto"/>
        </w:rPr>
      </w:pPr>
      <w:bookmarkStart w:id="12" w:name="_Toc27064"/>
      <w:r>
        <w:rPr>
          <w:rFonts w:hint="eastAsia" w:ascii="Times New Roman" w:hAnsi="Times New Roman" w:eastAsia="黑体" w:cs="黑体"/>
          <w:sz w:val="32"/>
          <w:szCs w:val="32"/>
          <w:highlight w:val="none"/>
          <w:shd w:val="clear" w:color="auto" w:fill="auto"/>
        </w:rPr>
        <w:t>三、绩效目标设定质量情况</w:t>
      </w:r>
      <w:bookmarkEnd w:id="12"/>
    </w:p>
    <w:p w14:paraId="442381A0">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rPr>
        <w:t>评价的项目通过绩效自评结果与年初绩效目标进行对比，对比结果反映在以下</w:t>
      </w:r>
      <w:r>
        <w:rPr>
          <w:rFonts w:hint="eastAsia" w:eastAsia="仿宋_GB2312" w:cs="仿宋_GB2312"/>
          <w:sz w:val="32"/>
          <w:szCs w:val="32"/>
          <w:highlight w:val="none"/>
          <w:shd w:val="clear" w:color="auto" w:fill="auto"/>
          <w:lang w:val="en-US" w:eastAsia="zh-CN"/>
        </w:rPr>
        <w:t>四</w:t>
      </w:r>
      <w:r>
        <w:rPr>
          <w:rFonts w:hint="eastAsia" w:ascii="Times New Roman" w:hAnsi="Times New Roman" w:eastAsia="仿宋_GB2312" w:cs="仿宋_GB2312"/>
          <w:sz w:val="32"/>
          <w:szCs w:val="32"/>
          <w:highlight w:val="none"/>
          <w:shd w:val="clear" w:color="auto" w:fill="auto"/>
        </w:rPr>
        <w:t>个方面：</w:t>
      </w:r>
    </w:p>
    <w:p w14:paraId="0B11E575">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3" w:firstLineChars="200"/>
        <w:textAlignment w:val="auto"/>
        <w:outlineLvl w:val="9"/>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b/>
          <w:bCs/>
          <w:sz w:val="32"/>
          <w:szCs w:val="32"/>
          <w:highlight w:val="none"/>
          <w:shd w:val="clear" w:color="auto" w:fill="auto"/>
        </w:rPr>
        <w:t>一是</w:t>
      </w:r>
      <w:r>
        <w:rPr>
          <w:rFonts w:hint="eastAsia" w:ascii="Times New Roman" w:hAnsi="Times New Roman" w:eastAsia="仿宋_GB2312" w:cs="仿宋_GB2312"/>
          <w:sz w:val="32"/>
          <w:szCs w:val="32"/>
          <w:highlight w:val="none"/>
          <w:shd w:val="clear" w:color="auto" w:fill="auto"/>
        </w:rPr>
        <w:t>绩效目标设定依据清晰准确，指向明确，能够清晰准确反映预算资金的预期产出和效果，并以相应的绩效指标从数量、质量、成本、时效等方面予以细化、量化。</w:t>
      </w:r>
    </w:p>
    <w:p w14:paraId="25EC07BF">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3" w:firstLineChars="200"/>
        <w:textAlignment w:val="auto"/>
        <w:outlineLvl w:val="9"/>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b/>
          <w:bCs/>
          <w:sz w:val="32"/>
          <w:szCs w:val="32"/>
          <w:highlight w:val="none"/>
          <w:shd w:val="clear" w:color="auto" w:fill="auto"/>
        </w:rPr>
        <w:t>二是</w:t>
      </w:r>
      <w:r>
        <w:rPr>
          <w:rFonts w:hint="eastAsia" w:ascii="Times New Roman" w:hAnsi="Times New Roman" w:eastAsia="仿宋_GB2312" w:cs="仿宋_GB2312"/>
          <w:sz w:val="32"/>
          <w:szCs w:val="32"/>
          <w:highlight w:val="none"/>
          <w:shd w:val="clear" w:color="auto" w:fill="auto"/>
        </w:rPr>
        <w:t>绩效指标能够围绕绩效目标来设定，从总体来看全面完整，科学合理，易于评价，能够反映被评价项目的实际情况。</w:t>
      </w:r>
    </w:p>
    <w:p w14:paraId="364691B6">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3" w:firstLineChars="200"/>
        <w:textAlignment w:val="auto"/>
        <w:outlineLvl w:val="9"/>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b/>
          <w:bCs/>
          <w:sz w:val="32"/>
          <w:szCs w:val="32"/>
          <w:highlight w:val="none"/>
          <w:shd w:val="clear" w:color="auto" w:fill="auto"/>
        </w:rPr>
        <w:t>三是</w:t>
      </w:r>
      <w:r>
        <w:rPr>
          <w:rFonts w:hint="eastAsia" w:ascii="Times New Roman" w:hAnsi="Times New Roman" w:eastAsia="仿宋_GB2312" w:cs="仿宋_GB2312"/>
          <w:sz w:val="32"/>
          <w:szCs w:val="32"/>
          <w:highlight w:val="none"/>
          <w:shd w:val="clear" w:color="auto" w:fill="auto"/>
        </w:rPr>
        <w:t>绩效标准切实可行，客观合理，能够实际执行或实现，大部分预算资金额与实际支出资金量相匹配。但是个别项目预算执行率不高，预算编制精准度尚待提高。</w:t>
      </w:r>
    </w:p>
    <w:p w14:paraId="3296FA47">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3" w:firstLineChars="200"/>
        <w:textAlignment w:val="auto"/>
        <w:outlineLvl w:val="9"/>
        <w:rPr>
          <w:rFonts w:hint="default" w:ascii="Times New Roman" w:hAnsi="Times New Roman" w:eastAsia="仿宋_GB2312" w:cs="仿宋_GB2312"/>
          <w:sz w:val="32"/>
          <w:szCs w:val="32"/>
          <w:highlight w:val="none"/>
          <w:shd w:val="clear" w:color="auto" w:fill="auto"/>
          <w:lang w:val="en-US" w:eastAsia="zh-CN"/>
        </w:rPr>
      </w:pPr>
      <w:r>
        <w:rPr>
          <w:rFonts w:hint="eastAsia" w:ascii="Times New Roman" w:hAnsi="Times New Roman" w:eastAsia="仿宋_GB2312" w:cs="仿宋_GB2312"/>
          <w:b/>
          <w:bCs/>
          <w:sz w:val="32"/>
          <w:szCs w:val="32"/>
          <w:highlight w:val="none"/>
          <w:shd w:val="clear" w:color="auto" w:fill="auto"/>
          <w:lang w:val="en-US" w:eastAsia="zh-CN"/>
        </w:rPr>
        <w:t>四是</w:t>
      </w:r>
      <w:r>
        <w:rPr>
          <w:rFonts w:hint="eastAsia" w:ascii="Times New Roman" w:hAnsi="Times New Roman" w:eastAsia="仿宋_GB2312" w:cs="仿宋_GB2312"/>
          <w:sz w:val="32"/>
          <w:szCs w:val="32"/>
          <w:highlight w:val="none"/>
          <w:shd w:val="clear" w:color="auto" w:fill="auto"/>
          <w:lang w:val="en-US" w:eastAsia="zh-CN"/>
        </w:rPr>
        <w:t>部分项目绩效指标设定不够</w:t>
      </w:r>
      <w:r>
        <w:rPr>
          <w:rFonts w:hint="eastAsia" w:eastAsia="仿宋_GB2312" w:cs="仿宋_GB2312"/>
          <w:sz w:val="32"/>
          <w:szCs w:val="32"/>
          <w:highlight w:val="none"/>
          <w:shd w:val="clear" w:color="auto" w:fill="auto"/>
          <w:lang w:val="en-US" w:eastAsia="zh-CN"/>
        </w:rPr>
        <w:t>全面，不能完全覆盖项目实施的各个方面、角度。</w:t>
      </w:r>
    </w:p>
    <w:p w14:paraId="562B64E6">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0"/>
        <w:rPr>
          <w:rFonts w:hint="eastAsia" w:ascii="Times New Roman" w:hAnsi="Times New Roman" w:eastAsia="黑体" w:cs="黑体"/>
          <w:sz w:val="32"/>
          <w:szCs w:val="32"/>
          <w:highlight w:val="none"/>
          <w:shd w:val="clear" w:color="auto" w:fill="auto"/>
        </w:rPr>
      </w:pPr>
      <w:bookmarkStart w:id="13" w:name="_Toc2331"/>
      <w:r>
        <w:rPr>
          <w:rFonts w:hint="eastAsia" w:ascii="Times New Roman" w:hAnsi="Times New Roman" w:eastAsia="黑体" w:cs="黑体"/>
          <w:sz w:val="32"/>
          <w:szCs w:val="32"/>
          <w:highlight w:val="none"/>
          <w:shd w:val="clear" w:color="auto" w:fill="auto"/>
        </w:rPr>
        <w:t>四、整改措施及结果应用</w:t>
      </w:r>
      <w:bookmarkEnd w:id="13"/>
    </w:p>
    <w:p w14:paraId="2DCF7B0A">
      <w:pPr>
        <w:keepNext w:val="0"/>
        <w:keepLines w:val="0"/>
        <w:pageBreakBefore w:val="0"/>
        <w:widowControl w:val="0"/>
        <w:shd w:val="clear"/>
        <w:kinsoku/>
        <w:wordWrap/>
        <w:overflowPunct/>
        <w:topLinePunct w:val="0"/>
        <w:autoSpaceDE/>
        <w:autoSpaceDN/>
        <w:bidi w:val="0"/>
        <w:adjustRightInd/>
        <w:snapToGrid w:val="0"/>
        <w:spacing w:line="560" w:lineRule="exact"/>
        <w:ind w:left="0" w:firstLine="640" w:firstLineChars="200"/>
        <w:textAlignment w:val="auto"/>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rPr>
        <w:t>整体看，</w:t>
      </w:r>
      <w:r>
        <w:rPr>
          <w:rFonts w:hint="eastAsia" w:eastAsia="仿宋_GB2312" w:cs="仿宋_GB2312"/>
          <w:sz w:val="32"/>
          <w:szCs w:val="32"/>
          <w:highlight w:val="none"/>
          <w:shd w:val="clear" w:color="auto" w:fill="auto"/>
          <w:lang w:val="en-US" w:eastAsia="zh-CN"/>
        </w:rPr>
        <w:t>我部门</w:t>
      </w:r>
      <w:r>
        <w:rPr>
          <w:rFonts w:hint="eastAsia" w:ascii="Times New Roman" w:hAnsi="Times New Roman" w:eastAsia="仿宋_GB2312" w:cs="仿宋_GB2312"/>
          <w:sz w:val="32"/>
          <w:szCs w:val="32"/>
          <w:highlight w:val="none"/>
          <w:shd w:val="clear" w:color="auto" w:fill="auto"/>
        </w:rPr>
        <w:t>此次评价项目评优率为</w:t>
      </w:r>
      <w:r>
        <w:rPr>
          <w:rFonts w:hint="eastAsia" w:eastAsia="仿宋_GB2312" w:cs="仿宋_GB2312"/>
          <w:sz w:val="32"/>
          <w:szCs w:val="32"/>
          <w:highlight w:val="none"/>
          <w:shd w:val="clear" w:color="auto" w:fill="auto"/>
          <w:lang w:val="en-US" w:eastAsia="zh-CN"/>
        </w:rPr>
        <w:t>99.78</w:t>
      </w:r>
      <w:r>
        <w:rPr>
          <w:rFonts w:hint="eastAsia" w:ascii="Times New Roman" w:hAnsi="Times New Roman" w:eastAsia="仿宋_GB2312" w:cs="仿宋_GB2312"/>
          <w:sz w:val="32"/>
          <w:szCs w:val="32"/>
          <w:highlight w:val="none"/>
          <w:shd w:val="clear" w:color="auto" w:fill="auto"/>
        </w:rPr>
        <w:t>%，</w:t>
      </w:r>
      <w:r>
        <w:rPr>
          <w:rFonts w:hint="eastAsia" w:ascii="Times New Roman" w:hAnsi="Times New Roman" w:eastAsia="仿宋_GB2312" w:cs="仿宋_GB2312"/>
          <w:sz w:val="32"/>
          <w:szCs w:val="32"/>
          <w:highlight w:val="none"/>
          <w:shd w:val="clear" w:color="auto" w:fill="auto"/>
          <w:lang w:val="en-US" w:eastAsia="zh-CN"/>
        </w:rPr>
        <w:t>预算执行</w:t>
      </w:r>
      <w:r>
        <w:rPr>
          <w:rFonts w:hint="eastAsia" w:ascii="Times New Roman" w:hAnsi="Times New Roman" w:eastAsia="仿宋_GB2312" w:cs="仿宋_GB2312"/>
          <w:sz w:val="32"/>
          <w:szCs w:val="32"/>
          <w:highlight w:val="none"/>
          <w:shd w:val="clear" w:color="auto" w:fill="auto"/>
        </w:rPr>
        <w:t>率为</w:t>
      </w:r>
      <w:r>
        <w:rPr>
          <w:rFonts w:hint="eastAsia" w:eastAsia="仿宋_GB2312" w:cs="仿宋_GB2312"/>
          <w:sz w:val="32"/>
          <w:szCs w:val="32"/>
          <w:highlight w:val="none"/>
          <w:shd w:val="clear" w:color="auto" w:fill="auto"/>
          <w:lang w:val="en-US" w:eastAsia="zh-CN"/>
        </w:rPr>
        <w:t>99.78</w:t>
      </w:r>
      <w:r>
        <w:rPr>
          <w:rFonts w:hint="eastAsia" w:ascii="Times New Roman" w:hAnsi="Times New Roman" w:eastAsia="仿宋_GB2312" w:cs="仿宋_GB2312"/>
          <w:sz w:val="32"/>
          <w:szCs w:val="32"/>
          <w:highlight w:val="none"/>
          <w:shd w:val="clear" w:color="auto" w:fill="auto"/>
          <w:lang w:val="en-US" w:eastAsia="zh-CN"/>
        </w:rPr>
        <w:t>%</w:t>
      </w:r>
      <w:r>
        <w:rPr>
          <w:rFonts w:hint="eastAsia" w:eastAsia="仿宋_GB2312" w:cs="仿宋_GB2312"/>
          <w:sz w:val="32"/>
          <w:szCs w:val="32"/>
          <w:highlight w:val="none"/>
          <w:shd w:val="clear" w:color="auto" w:fill="auto"/>
          <w:lang w:val="en-US" w:eastAsia="zh-CN"/>
        </w:rPr>
        <w:t>，</w:t>
      </w:r>
      <w:r>
        <w:rPr>
          <w:rFonts w:hint="eastAsia" w:ascii="Times New Roman" w:hAnsi="Times New Roman" w:eastAsia="仿宋_GB2312" w:cs="仿宋_GB2312"/>
          <w:sz w:val="32"/>
          <w:szCs w:val="32"/>
          <w:highlight w:val="none"/>
          <w:shd w:val="clear" w:color="auto" w:fill="auto"/>
        </w:rPr>
        <w:t>但评优项目尚有提升空间。</w:t>
      </w:r>
    </w:p>
    <w:p w14:paraId="6F4F3082">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val="en-US" w:eastAsia="zh-CN"/>
        </w:rPr>
      </w:pPr>
      <w:bookmarkStart w:id="14" w:name="_Toc30275"/>
      <w:bookmarkStart w:id="15" w:name="_Toc15002"/>
      <w:bookmarkStart w:id="16" w:name="_Toc5806"/>
      <w:bookmarkStart w:id="17" w:name="_Hlk40710041"/>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一</w:t>
      </w:r>
      <w:r>
        <w:rPr>
          <w:rFonts w:hint="eastAsia" w:ascii="Times New Roman" w:hAnsi="Times New Roman" w:eastAsia="楷体" w:cs="楷体"/>
          <w:sz w:val="32"/>
          <w:szCs w:val="32"/>
          <w:highlight w:val="none"/>
          <w:shd w:val="clear" w:color="auto" w:fill="auto"/>
          <w:lang w:eastAsia="zh-CN"/>
        </w:rPr>
        <w:t>）</w:t>
      </w:r>
      <w:bookmarkEnd w:id="14"/>
      <w:bookmarkEnd w:id="15"/>
      <w:r>
        <w:rPr>
          <w:rFonts w:hint="eastAsia" w:ascii="Times New Roman" w:hAnsi="Times New Roman" w:eastAsia="楷体" w:cs="楷体"/>
          <w:sz w:val="32"/>
          <w:szCs w:val="32"/>
          <w:highlight w:val="none"/>
          <w:shd w:val="clear" w:color="auto" w:fill="auto"/>
          <w:lang w:val="en-US" w:eastAsia="zh-CN"/>
        </w:rPr>
        <w:t>整改措施</w:t>
      </w:r>
      <w:bookmarkEnd w:id="16"/>
    </w:p>
    <w:p w14:paraId="7F934374">
      <w:pPr>
        <w:keepNext w:val="0"/>
        <w:keepLines w:val="0"/>
        <w:pageBreakBefore w:val="0"/>
        <w:widowControl w:val="0"/>
        <w:shd w:val="clear"/>
        <w:kinsoku/>
        <w:wordWrap/>
        <w:overflowPunct/>
        <w:topLinePunct w:val="0"/>
        <w:autoSpaceDE/>
        <w:autoSpaceDN/>
        <w:bidi w:val="0"/>
        <w:adjustRightInd/>
        <w:snapToGrid w:val="0"/>
        <w:spacing w:line="560" w:lineRule="exact"/>
        <w:ind w:firstLine="643" w:firstLineChars="200"/>
        <w:textAlignment w:val="auto"/>
        <w:outlineLvl w:val="2"/>
        <w:rPr>
          <w:rFonts w:hint="eastAsia" w:ascii="Times New Roman" w:hAnsi="Times New Roman" w:eastAsia="仿宋_GB2312" w:cs="仿宋_GB2312"/>
          <w:b/>
          <w:bCs/>
          <w:sz w:val="32"/>
          <w:szCs w:val="32"/>
          <w:highlight w:val="none"/>
          <w:shd w:val="clear" w:color="auto" w:fill="auto"/>
          <w:lang w:val="en-US" w:eastAsia="zh-CN"/>
        </w:rPr>
      </w:pPr>
      <w:r>
        <w:rPr>
          <w:rFonts w:hint="eastAsia" w:ascii="Times New Roman" w:hAnsi="Times New Roman" w:eastAsia="仿宋_GB2312" w:cs="仿宋_GB2312"/>
          <w:b/>
          <w:bCs/>
          <w:sz w:val="32"/>
          <w:szCs w:val="32"/>
          <w:highlight w:val="none"/>
          <w:shd w:val="clear" w:color="auto" w:fill="auto"/>
          <w:lang w:val="en-US" w:eastAsia="zh-CN"/>
        </w:rPr>
        <w:t>1.进一步提高资金使用效益</w:t>
      </w:r>
    </w:p>
    <w:p w14:paraId="559586BA">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仿宋_GB2312"/>
          <w:sz w:val="32"/>
          <w:szCs w:val="32"/>
          <w:highlight w:val="none"/>
          <w:shd w:val="clear" w:color="auto" w:fill="auto"/>
          <w:lang w:val="en-US" w:eastAsia="zh-CN"/>
        </w:rPr>
      </w:pPr>
      <w:r>
        <w:rPr>
          <w:rFonts w:hint="eastAsia" w:ascii="Times New Roman" w:hAnsi="Times New Roman" w:eastAsia="仿宋_GB2312" w:cs="仿宋_GB2312"/>
          <w:sz w:val="32"/>
          <w:szCs w:val="32"/>
          <w:highlight w:val="none"/>
          <w:shd w:val="clear" w:color="auto" w:fill="auto"/>
          <w:lang w:val="en-US" w:eastAsia="zh-CN"/>
        </w:rPr>
        <w:t>在编制预算时，充分考虑各种因素，根据客观条件和丰富的工作经验，科学合理的编制年初预算。在项目执行过程中，项目调整、市价变化、发生不可抗力因素等原因致使项目无法如期完成等情形造成无需支付资金时，及时与有关部门协调，调整或收回预算，避免资金闲置，提高资金使用效益。</w:t>
      </w:r>
    </w:p>
    <w:p w14:paraId="46A229DC">
      <w:pPr>
        <w:keepNext w:val="0"/>
        <w:keepLines w:val="0"/>
        <w:pageBreakBefore w:val="0"/>
        <w:widowControl w:val="0"/>
        <w:shd w:val="clear"/>
        <w:kinsoku/>
        <w:wordWrap/>
        <w:overflowPunct/>
        <w:topLinePunct w:val="0"/>
        <w:autoSpaceDE/>
        <w:autoSpaceDN/>
        <w:bidi w:val="0"/>
        <w:adjustRightInd/>
        <w:snapToGrid w:val="0"/>
        <w:spacing w:line="560" w:lineRule="exact"/>
        <w:ind w:firstLine="643" w:firstLineChars="200"/>
        <w:textAlignment w:val="auto"/>
        <w:outlineLvl w:val="2"/>
        <w:rPr>
          <w:rFonts w:hint="eastAsia" w:ascii="Times New Roman" w:hAnsi="Times New Roman" w:eastAsia="仿宋_GB2312" w:cs="仿宋_GB2312"/>
          <w:b/>
          <w:bCs/>
          <w:sz w:val="32"/>
          <w:szCs w:val="32"/>
          <w:highlight w:val="none"/>
          <w:shd w:val="clear" w:color="auto" w:fill="auto"/>
          <w:lang w:val="en-US" w:eastAsia="zh-CN"/>
        </w:rPr>
      </w:pPr>
      <w:r>
        <w:rPr>
          <w:rFonts w:hint="eastAsia" w:ascii="Times New Roman" w:hAnsi="Times New Roman" w:eastAsia="仿宋_GB2312" w:cs="仿宋_GB2312"/>
          <w:b/>
          <w:bCs/>
          <w:sz w:val="32"/>
          <w:szCs w:val="32"/>
          <w:highlight w:val="none"/>
          <w:shd w:val="clear" w:color="auto" w:fill="auto"/>
          <w:lang w:val="en-US" w:eastAsia="zh-CN"/>
        </w:rPr>
        <w:t>2.科学设置绩效指标</w:t>
      </w:r>
    </w:p>
    <w:p w14:paraId="785EAF9D">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rPr>
        <w:t>绩效指标设立要更加科学、合理、可衡量。在设立指标时候要充分考虑指标设定的可实施性，可考核性，要尽可能的量化，细化。</w:t>
      </w:r>
    </w:p>
    <w:bookmarkEnd w:id="17"/>
    <w:p w14:paraId="4844AE97">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eastAsia="zh-CN"/>
        </w:rPr>
      </w:pPr>
      <w:bookmarkStart w:id="18" w:name="_Toc32244"/>
      <w:bookmarkStart w:id="19" w:name="_Toc4864"/>
      <w:bookmarkStart w:id="20" w:name="_Toc29892"/>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二</w:t>
      </w:r>
      <w:r>
        <w:rPr>
          <w:rFonts w:hint="eastAsia" w:ascii="Times New Roman" w:hAnsi="Times New Roman" w:eastAsia="楷体" w:cs="楷体"/>
          <w:sz w:val="32"/>
          <w:szCs w:val="32"/>
          <w:highlight w:val="none"/>
          <w:shd w:val="clear" w:color="auto" w:fill="auto"/>
          <w:lang w:eastAsia="zh-CN"/>
        </w:rPr>
        <w:t>）结果运用</w:t>
      </w:r>
      <w:bookmarkEnd w:id="18"/>
      <w:bookmarkEnd w:id="19"/>
      <w:bookmarkEnd w:id="20"/>
    </w:p>
    <w:p w14:paraId="33F243B7">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rPr>
        <w:t>进一步完善预算管理机制，增强支出责任，规范资金使用，强化监督检查，</w:t>
      </w:r>
      <w:r>
        <w:rPr>
          <w:rFonts w:hint="eastAsia" w:ascii="Times New Roman" w:hAnsi="Times New Roman" w:eastAsia="仿宋_GB2312" w:cs="仿宋_GB2312"/>
          <w:sz w:val="32"/>
          <w:szCs w:val="32"/>
          <w:highlight w:val="none"/>
          <w:shd w:val="clear" w:color="auto" w:fill="auto"/>
          <w:lang w:eastAsia="zh-CN"/>
        </w:rPr>
        <w:t>强化财政资金管理</w:t>
      </w:r>
      <w:r>
        <w:rPr>
          <w:rFonts w:hint="eastAsia" w:ascii="Times New Roman" w:hAnsi="Times New Roman" w:eastAsia="仿宋_GB2312" w:cs="仿宋_GB2312"/>
          <w:sz w:val="32"/>
          <w:szCs w:val="32"/>
          <w:highlight w:val="none"/>
          <w:shd w:val="clear" w:color="auto" w:fill="auto"/>
        </w:rPr>
        <w:t>水平</w:t>
      </w:r>
      <w:r>
        <w:rPr>
          <w:rFonts w:hint="eastAsia" w:ascii="Times New Roman" w:hAnsi="Times New Roman" w:eastAsia="仿宋_GB2312" w:cs="仿宋_GB2312"/>
          <w:sz w:val="32"/>
          <w:szCs w:val="32"/>
          <w:highlight w:val="none"/>
          <w:shd w:val="clear" w:color="auto" w:fill="auto"/>
          <w:lang w:eastAsia="zh-CN"/>
        </w:rPr>
        <w:t>，提高财政资金使用效益</w:t>
      </w:r>
      <w:r>
        <w:rPr>
          <w:rFonts w:hint="eastAsia" w:ascii="Times New Roman" w:hAnsi="Times New Roman" w:eastAsia="仿宋_GB2312" w:cs="仿宋_GB2312"/>
          <w:sz w:val="32"/>
          <w:szCs w:val="32"/>
          <w:highlight w:val="none"/>
          <w:shd w:val="clear" w:color="auto" w:fill="auto"/>
        </w:rPr>
        <w:t>，为预算资金使用效益的提高提供基础保障。</w:t>
      </w:r>
    </w:p>
    <w:p w14:paraId="20800358">
      <w:pPr>
        <w:pageBreakBefore w:val="0"/>
        <w:widowControl w:val="0"/>
        <w:tabs>
          <w:tab w:val="left" w:pos="1151"/>
        </w:tabs>
        <w:kinsoku/>
        <w:wordWrap/>
        <w:overflowPunct/>
        <w:topLinePunct w:val="0"/>
        <w:autoSpaceDE/>
        <w:autoSpaceDN/>
        <w:bidi w:val="0"/>
        <w:adjustRightInd/>
        <w:snapToGrid/>
        <w:textAlignment w:val="auto"/>
        <w:outlineLvl w:val="9"/>
        <w:rPr>
          <w:rFonts w:hint="eastAsia" w:ascii="Times New Roman" w:hAnsi="Times New Roman" w:eastAsia="仿宋_GB2312" w:cs="仿宋_GB2312"/>
          <w:sz w:val="32"/>
          <w:szCs w:val="32"/>
          <w:highlight w:val="none"/>
          <w:shd w:val="clear" w:color="FFFFFF" w:fill="D9D9D9"/>
        </w:rPr>
      </w:pPr>
    </w:p>
    <w:p w14:paraId="256A6026">
      <w:pPr>
        <w:pageBreakBefore w:val="0"/>
        <w:widowControl w:val="0"/>
        <w:kinsoku/>
        <w:wordWrap/>
        <w:overflowPunct/>
        <w:topLinePunct w:val="0"/>
        <w:autoSpaceDE/>
        <w:autoSpaceDN/>
        <w:bidi w:val="0"/>
        <w:adjustRightInd/>
        <w:snapToGrid/>
        <w:spacing w:line="560" w:lineRule="exact"/>
        <w:ind w:left="0"/>
        <w:jc w:val="right"/>
        <w:textAlignment w:val="auto"/>
        <w:outlineLvl w:val="9"/>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中共石家庄市委老干部局</w:t>
      </w:r>
    </w:p>
    <w:p w14:paraId="4B8366FC">
      <w:pPr>
        <w:pageBreakBefore w:val="0"/>
        <w:widowControl w:val="0"/>
        <w:tabs>
          <w:tab w:val="left" w:pos="1151"/>
        </w:tabs>
        <w:kinsoku/>
        <w:wordWrap/>
        <w:overflowPunct/>
        <w:topLinePunct w:val="0"/>
        <w:autoSpaceDE/>
        <w:autoSpaceDN/>
        <w:bidi w:val="0"/>
        <w:adjustRightInd/>
        <w:snapToGrid/>
        <w:spacing w:before="0" w:after="0" w:line="560" w:lineRule="exact"/>
        <w:ind w:left="0"/>
        <w:jc w:val="center"/>
        <w:textAlignment w:val="auto"/>
        <w:outlineLvl w:val="9"/>
        <w:rPr>
          <w:rFonts w:hint="eastAsia"/>
        </w:rPr>
      </w:pPr>
      <w:r>
        <w:rPr>
          <w:rFonts w:hint="eastAsia" w:ascii="Times New Roman" w:hAnsi="Times New Roman" w:eastAsia="仿宋_GB2312" w:cs="仿宋_GB2312"/>
          <w:b w:val="0"/>
          <w:bCs w:val="0"/>
          <w:kern w:val="2"/>
          <w:sz w:val="32"/>
          <w:szCs w:val="32"/>
          <w:highlight w:val="none"/>
          <w:lang w:val="en-US" w:eastAsia="zh-CN" w:bidi="ar-SA"/>
        </w:rPr>
        <w:t xml:space="preserve">                                         202</w:t>
      </w:r>
      <w:r>
        <w:rPr>
          <w:rFonts w:hint="eastAsia" w:eastAsia="仿宋_GB2312" w:cs="仿宋_GB2312"/>
          <w:b w:val="0"/>
          <w:bCs w:val="0"/>
          <w:kern w:val="2"/>
          <w:sz w:val="32"/>
          <w:szCs w:val="32"/>
          <w:highlight w:val="none"/>
          <w:lang w:val="en-US" w:eastAsia="zh-CN" w:bidi="ar-SA"/>
        </w:rPr>
        <w:t>6</w:t>
      </w:r>
      <w:r>
        <w:rPr>
          <w:rFonts w:hint="eastAsia" w:ascii="Times New Roman" w:hAnsi="Times New Roman" w:eastAsia="仿宋_GB2312" w:cs="仿宋_GB2312"/>
          <w:b w:val="0"/>
          <w:bCs w:val="0"/>
          <w:kern w:val="2"/>
          <w:sz w:val="32"/>
          <w:szCs w:val="32"/>
          <w:highlight w:val="none"/>
          <w:lang w:val="en-US" w:eastAsia="zh-CN" w:bidi="ar-SA"/>
        </w:rPr>
        <w:t>年</w:t>
      </w:r>
      <w:r>
        <w:rPr>
          <w:rFonts w:hint="eastAsia" w:eastAsia="仿宋_GB2312" w:cs="仿宋_GB2312"/>
          <w:b w:val="0"/>
          <w:bCs w:val="0"/>
          <w:kern w:val="2"/>
          <w:sz w:val="32"/>
          <w:szCs w:val="32"/>
          <w:highlight w:val="none"/>
          <w:lang w:val="en-US" w:eastAsia="zh-CN" w:bidi="ar-SA"/>
        </w:rPr>
        <w:t>4</w:t>
      </w:r>
      <w:r>
        <w:rPr>
          <w:rFonts w:hint="eastAsia" w:ascii="Times New Roman" w:hAnsi="Times New Roman" w:eastAsia="仿宋_GB2312" w:cs="仿宋_GB2312"/>
          <w:b w:val="0"/>
          <w:bCs w:val="0"/>
          <w:kern w:val="2"/>
          <w:sz w:val="32"/>
          <w:szCs w:val="32"/>
          <w:highlight w:val="none"/>
          <w:lang w:val="en-US" w:eastAsia="zh-CN" w:bidi="ar-SA"/>
        </w:rPr>
        <w:t>月2</w:t>
      </w:r>
      <w:r>
        <w:rPr>
          <w:rFonts w:hint="eastAsia" w:eastAsia="仿宋_GB2312" w:cs="仿宋_GB2312"/>
          <w:b w:val="0"/>
          <w:bCs w:val="0"/>
          <w:kern w:val="2"/>
          <w:sz w:val="32"/>
          <w:szCs w:val="32"/>
          <w:highlight w:val="none"/>
          <w:lang w:val="en-US" w:eastAsia="zh-CN" w:bidi="ar-SA"/>
        </w:rPr>
        <w:t>9</w:t>
      </w:r>
      <w:r>
        <w:rPr>
          <w:rFonts w:hint="eastAsia" w:ascii="Times New Roman" w:hAnsi="Times New Roman" w:eastAsia="仿宋_GB2312" w:cs="仿宋_GB2312"/>
          <w:b w:val="0"/>
          <w:bCs w:val="0"/>
          <w:kern w:val="2"/>
          <w:sz w:val="32"/>
          <w:szCs w:val="32"/>
          <w:highlight w:val="none"/>
          <w:lang w:val="en-US" w:eastAsia="zh-CN" w:bidi="ar-SA"/>
        </w:rPr>
        <w:t>日</w:t>
      </w:r>
    </w:p>
    <w:sectPr>
      <w:footerReference r:id="rId6" w:type="default"/>
      <w:pgSz w:w="11906" w:h="16838"/>
      <w:pgMar w:top="2041" w:right="1304" w:bottom="1701" w:left="1531" w:header="851" w:footer="992" w:gutter="0"/>
      <w:pgNumType w:fmt="numberInDash"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altName w:val="黑体"/>
    <w:panose1 w:val="02000000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BFAF9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E0840F"/>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86E0DE">
    <w:pPr>
      <w:pStyle w:val="7"/>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BB1C5">
    <w:pPr>
      <w:pStyle w:val="7"/>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EzOTVlMTNmMTM3ODk1NDJjMjZlZDc4M2I0ZTVjZDk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1527EDF"/>
    <w:rsid w:val="016679CC"/>
    <w:rsid w:val="025D6B3C"/>
    <w:rsid w:val="055B525F"/>
    <w:rsid w:val="05FF78F6"/>
    <w:rsid w:val="063C71A5"/>
    <w:rsid w:val="07A806B1"/>
    <w:rsid w:val="084F6F27"/>
    <w:rsid w:val="0DAD0977"/>
    <w:rsid w:val="0DB12071"/>
    <w:rsid w:val="0DD12D7E"/>
    <w:rsid w:val="10005AE4"/>
    <w:rsid w:val="110305F8"/>
    <w:rsid w:val="111331E7"/>
    <w:rsid w:val="113D2867"/>
    <w:rsid w:val="11D87F8D"/>
    <w:rsid w:val="122E55EB"/>
    <w:rsid w:val="12B409FA"/>
    <w:rsid w:val="13B61930"/>
    <w:rsid w:val="13C07CB7"/>
    <w:rsid w:val="17030337"/>
    <w:rsid w:val="195F5317"/>
    <w:rsid w:val="1C0C0DBD"/>
    <w:rsid w:val="1DA11B7B"/>
    <w:rsid w:val="1E366BAE"/>
    <w:rsid w:val="20276775"/>
    <w:rsid w:val="20B4686A"/>
    <w:rsid w:val="21556F04"/>
    <w:rsid w:val="22910410"/>
    <w:rsid w:val="22B039A5"/>
    <w:rsid w:val="23840702"/>
    <w:rsid w:val="245F0F97"/>
    <w:rsid w:val="248D05F2"/>
    <w:rsid w:val="256974AA"/>
    <w:rsid w:val="264067C7"/>
    <w:rsid w:val="270B6938"/>
    <w:rsid w:val="284C6040"/>
    <w:rsid w:val="29804017"/>
    <w:rsid w:val="2A770F9A"/>
    <w:rsid w:val="2DB80F46"/>
    <w:rsid w:val="31144702"/>
    <w:rsid w:val="32DB132C"/>
    <w:rsid w:val="34864A58"/>
    <w:rsid w:val="34F12F90"/>
    <w:rsid w:val="35494B7A"/>
    <w:rsid w:val="3A301DA7"/>
    <w:rsid w:val="3AEF6FE7"/>
    <w:rsid w:val="3C4B742A"/>
    <w:rsid w:val="3DCA7B9B"/>
    <w:rsid w:val="3DEA7071"/>
    <w:rsid w:val="3E014244"/>
    <w:rsid w:val="3E3F4D6C"/>
    <w:rsid w:val="3EF142B8"/>
    <w:rsid w:val="43B47DBF"/>
    <w:rsid w:val="43CC0E50"/>
    <w:rsid w:val="440700DA"/>
    <w:rsid w:val="451231DA"/>
    <w:rsid w:val="45A33E32"/>
    <w:rsid w:val="47B45F56"/>
    <w:rsid w:val="48D10CB7"/>
    <w:rsid w:val="492D2391"/>
    <w:rsid w:val="493B718D"/>
    <w:rsid w:val="49881EC2"/>
    <w:rsid w:val="49E50EBD"/>
    <w:rsid w:val="4A8C7F5A"/>
    <w:rsid w:val="4CDB6F75"/>
    <w:rsid w:val="4D1746C0"/>
    <w:rsid w:val="4F082F58"/>
    <w:rsid w:val="506139EF"/>
    <w:rsid w:val="50BE5FC4"/>
    <w:rsid w:val="510F48D0"/>
    <w:rsid w:val="523E1A6F"/>
    <w:rsid w:val="53603363"/>
    <w:rsid w:val="53A42ADD"/>
    <w:rsid w:val="55656BEC"/>
    <w:rsid w:val="56F63560"/>
    <w:rsid w:val="59B368E2"/>
    <w:rsid w:val="5A625C12"/>
    <w:rsid w:val="5B444D55"/>
    <w:rsid w:val="5BB42718"/>
    <w:rsid w:val="616B1851"/>
    <w:rsid w:val="627167A0"/>
    <w:rsid w:val="63027F93"/>
    <w:rsid w:val="63CF306B"/>
    <w:rsid w:val="64850E7B"/>
    <w:rsid w:val="6663343E"/>
    <w:rsid w:val="66650F64"/>
    <w:rsid w:val="66A6332B"/>
    <w:rsid w:val="674A63AC"/>
    <w:rsid w:val="68F640F6"/>
    <w:rsid w:val="6A1C4030"/>
    <w:rsid w:val="6AE44CFC"/>
    <w:rsid w:val="6B5670CE"/>
    <w:rsid w:val="6B694E5D"/>
    <w:rsid w:val="6BAA7419"/>
    <w:rsid w:val="6D9201D0"/>
    <w:rsid w:val="6F356DB4"/>
    <w:rsid w:val="6F4364C5"/>
    <w:rsid w:val="6F7739C3"/>
    <w:rsid w:val="70C614AD"/>
    <w:rsid w:val="71B27028"/>
    <w:rsid w:val="735938B2"/>
    <w:rsid w:val="74D15BAF"/>
    <w:rsid w:val="7600059F"/>
    <w:rsid w:val="760B4F58"/>
    <w:rsid w:val="76AC673B"/>
    <w:rsid w:val="76DE4A7D"/>
    <w:rsid w:val="785E5813"/>
    <w:rsid w:val="78C13027"/>
    <w:rsid w:val="78E977D3"/>
    <w:rsid w:val="7A8258A3"/>
    <w:rsid w:val="7AE4603B"/>
    <w:rsid w:val="7DB0621B"/>
    <w:rsid w:val="7F2E23E3"/>
    <w:rsid w:val="7FDF6C8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0" w:semiHidden="0"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qFormat="1"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9"/>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autoRedefine/>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paragraph" w:styleId="4">
    <w:name w:val="heading 6"/>
    <w:basedOn w:val="1"/>
    <w:next w:val="1"/>
    <w:autoRedefine/>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3">
    <w:name w:val="Default Paragraph Font"/>
    <w:autoRedefine/>
    <w:unhideWhenUsed/>
    <w:qFormat/>
    <w:uiPriority w:val="1"/>
  </w:style>
  <w:style w:type="table" w:default="1" w:styleId="11">
    <w:name w:val="Normal Table"/>
    <w:autoRedefine/>
    <w:unhideWhenUsed/>
    <w:qFormat/>
    <w:uiPriority w:val="99"/>
    <w:tblPr>
      <w:tblCellMar>
        <w:top w:w="0" w:type="dxa"/>
        <w:left w:w="108" w:type="dxa"/>
        <w:bottom w:w="0" w:type="dxa"/>
        <w:right w:w="108" w:type="dxa"/>
      </w:tblCellMar>
    </w:tblPr>
  </w:style>
  <w:style w:type="paragraph" w:styleId="5">
    <w:name w:val="annotation text"/>
    <w:basedOn w:val="1"/>
    <w:autoRedefine/>
    <w:semiHidden/>
    <w:unhideWhenUsed/>
    <w:qFormat/>
    <w:uiPriority w:val="0"/>
    <w:pPr>
      <w:jc w:val="left"/>
    </w:pPr>
  </w:style>
  <w:style w:type="paragraph" w:styleId="6">
    <w:name w:val="footer"/>
    <w:basedOn w:val="1"/>
    <w:link w:val="15"/>
    <w:autoRedefine/>
    <w:unhideWhenUsed/>
    <w:qFormat/>
    <w:uiPriority w:val="99"/>
    <w:pPr>
      <w:tabs>
        <w:tab w:val="center" w:pos="4153"/>
        <w:tab w:val="right" w:pos="8306"/>
      </w:tabs>
      <w:snapToGrid w:val="0"/>
      <w:jc w:val="left"/>
    </w:pPr>
    <w:rPr>
      <w:sz w:val="18"/>
      <w:szCs w:val="18"/>
    </w:rPr>
  </w:style>
  <w:style w:type="paragraph" w:styleId="7">
    <w:name w:val="header"/>
    <w:basedOn w:val="1"/>
    <w:link w:val="1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autoRedefine/>
    <w:semiHidden/>
    <w:unhideWhenUsed/>
    <w:qFormat/>
    <w:uiPriority w:val="39"/>
  </w:style>
  <w:style w:type="paragraph" w:styleId="9">
    <w:name w:val="toc 2"/>
    <w:basedOn w:val="1"/>
    <w:next w:val="1"/>
    <w:autoRedefine/>
    <w:semiHidden/>
    <w:unhideWhenUsed/>
    <w:qFormat/>
    <w:uiPriority w:val="39"/>
    <w:pPr>
      <w:ind w:left="420" w:leftChars="200"/>
    </w:pPr>
  </w:style>
  <w:style w:type="paragraph" w:styleId="10">
    <w:name w:val="Normal (Web)"/>
    <w:qFormat/>
    <w:uiPriority w:val="0"/>
    <w:pPr>
      <w:widowControl w:val="0"/>
      <w:spacing w:before="100" w:beforeAutospacing="1" w:after="100" w:afterAutospacing="1"/>
      <w:ind w:left="0" w:right="0"/>
      <w:jc w:val="left"/>
    </w:pPr>
    <w:rPr>
      <w:rFonts w:ascii="Calibri" w:hAnsi="Calibri" w:eastAsia="宋体" w:cs="Times New Roman"/>
      <w:kern w:val="0"/>
      <w:sz w:val="24"/>
      <w:szCs w:val="24"/>
      <w:lang w:val="en-US" w:eastAsia="zh-CN" w:bidi="ar"/>
    </w:rPr>
  </w:style>
  <w:style w:type="table" w:styleId="12">
    <w:name w:val="Table Grid"/>
    <w:basedOn w:val="11"/>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4">
    <w:name w:val="页眉 Char"/>
    <w:basedOn w:val="13"/>
    <w:link w:val="7"/>
    <w:autoRedefine/>
    <w:qFormat/>
    <w:uiPriority w:val="99"/>
    <w:rPr>
      <w:sz w:val="18"/>
      <w:szCs w:val="18"/>
    </w:rPr>
  </w:style>
  <w:style w:type="character" w:customStyle="1" w:styleId="15">
    <w:name w:val="页脚 Char"/>
    <w:basedOn w:val="13"/>
    <w:link w:val="6"/>
    <w:autoRedefine/>
    <w:qFormat/>
    <w:uiPriority w:val="99"/>
    <w:rPr>
      <w:sz w:val="18"/>
      <w:szCs w:val="18"/>
    </w:rPr>
  </w:style>
  <w:style w:type="paragraph" w:customStyle="1" w:styleId="16">
    <w:name w:val="WPSOffice手动目录 1"/>
    <w:autoRedefine/>
    <w:qFormat/>
    <w:uiPriority w:val="0"/>
    <w:pPr>
      <w:ind w:leftChars="0"/>
    </w:pPr>
    <w:rPr>
      <w:rFonts w:ascii="Times New Roman" w:hAnsi="Times New Roman" w:eastAsia="宋体" w:cs="Times New Roman"/>
      <w:sz w:val="20"/>
      <w:szCs w:val="20"/>
    </w:rPr>
  </w:style>
  <w:style w:type="paragraph" w:customStyle="1" w:styleId="17">
    <w:name w:val="WPSOffice手动目录 2"/>
    <w:autoRedefine/>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14</Pages>
  <Words>3570</Words>
  <Characters>3867</Characters>
  <Lines>3</Lines>
  <Paragraphs>1</Paragraphs>
  <TotalTime>4</TotalTime>
  <ScaleCrop>false</ScaleCrop>
  <LinksUpToDate>false</LinksUpToDate>
  <CharactersWithSpaces>3907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亚茹</cp:lastModifiedBy>
  <cp:lastPrinted>2025-03-28T03:12:00Z</cp:lastPrinted>
  <dcterms:modified xsi:type="dcterms:W3CDTF">2026-05-20T02:53:34Z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7FCCE51906BF44AABF17E7BC6D2736ED_13</vt:lpwstr>
  </property>
  <property fmtid="{D5CDD505-2E9C-101B-9397-08002B2CF9AE}" pid="4" name="KSOTemplateDocerSaveRecord">
    <vt:lpwstr>eyJoZGlkIjoiMjI1YzNkZjBmYzA5MjU5Y2NhMDAzMGI5MzRiODdmOTYiLCJ1c2VySWQiOiI4MzQ4MTc5MDEifQ==</vt:lpwstr>
  </property>
</Properties>
</file>