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96"/>
          <w:szCs w:val="44"/>
          <w:lang w:val="en-US" w:eastAsia="zh-CN"/>
        </w:rPr>
      </w:pPr>
      <w:bookmarkStart w:id="0" w:name="_Toc_4_4_0000000001"/>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 xml:space="preserve">2026年度 </w:t>
      </w:r>
    </w:p>
    <w:p>
      <w:pPr>
        <w:spacing w:before="0" w:after="0" w:line="240" w:lineRule="auto"/>
        <w:ind w:firstLine="0"/>
        <w:jc w:val="center"/>
        <w:outlineLvl w:val="0"/>
        <w:rPr>
          <w:rFonts w:hint="eastAsia" w:ascii="黑体" w:hAnsi="黑体" w:eastAsia="黑体" w:cs="黑体"/>
          <w:b/>
          <w:color w:val="000000"/>
          <w:sz w:val="96"/>
          <w:szCs w:val="44"/>
          <w:lang w:val="en-US" w:eastAsia="zh-CN"/>
        </w:rPr>
      </w:pPr>
      <w:r>
        <w:rPr>
          <w:rFonts w:hint="eastAsia" w:ascii="黑体" w:hAnsi="黑体" w:eastAsia="黑体" w:cs="黑体"/>
          <w:b/>
          <w:color w:val="000000"/>
          <w:sz w:val="96"/>
          <w:szCs w:val="44"/>
          <w:lang w:val="en-US" w:eastAsia="zh-CN"/>
        </w:rPr>
        <w:t>石家庄广播电视台单位预算</w:t>
      </w:r>
    </w:p>
    <w:p>
      <w:pPr>
        <w:spacing w:before="0" w:after="0" w:line="240" w:lineRule="auto"/>
        <w:ind w:firstLine="0"/>
        <w:jc w:val="center"/>
        <w:outlineLvl w:val="0"/>
        <w:rPr>
          <w:rFonts w:hint="eastAsia" w:ascii="黑体" w:hAnsi="黑体" w:eastAsia="黑体" w:cs="黑体"/>
          <w:b/>
          <w:color w:val="000000"/>
          <w:sz w:val="96"/>
          <w:szCs w:val="44"/>
          <w:lang w:val="en-US" w:eastAsia="zh-CN"/>
        </w:rPr>
        <w:sectPr>
          <w:pgSz w:w="16840" w:h="11900" w:orient="landscape"/>
          <w:pgMar w:top="1587" w:right="1134" w:bottom="1361" w:left="1134" w:header="720" w:footer="720" w:gutter="0"/>
          <w:pgNumType w:start="1"/>
          <w:cols w:space="720" w:num="1"/>
        </w:sectPr>
      </w:pPr>
      <w:r>
        <w:rPr>
          <w:rFonts w:hint="eastAsia" w:ascii="黑体" w:hAnsi="黑体" w:eastAsia="黑体" w:cs="黑体"/>
          <w:b/>
          <w:color w:val="000000"/>
          <w:sz w:val="96"/>
          <w:szCs w:val="44"/>
          <w:lang w:val="en-US" w:eastAsia="zh-CN"/>
        </w:rPr>
        <w:t>公开信息</w:t>
      </w:r>
    </w:p>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2"/>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2"/>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6</w:t>
      </w:r>
    </w:p>
    <w:p>
      <w:pPr>
        <w:pStyle w:val="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7</w:t>
      </w:r>
      <w:r>
        <w:fldChar w:fldCharType="end"/>
      </w:r>
      <w:r>
        <w:fldChar w:fldCharType="end"/>
      </w:r>
    </w:p>
    <w:p>
      <w:pPr>
        <w:pStyle w:val="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r>
        <w:rPr>
          <w:rFonts w:ascii="方正小标宋_GBK" w:hAnsi="方正小标宋_GBK" w:eastAsia="方正小标宋_GBK" w:cs="方正小标宋_GBK"/>
          <w:b w:val="0"/>
          <w:color w:val="000000"/>
          <w:sz w:val="44"/>
        </w:rPr>
        <w:t>一、石家庄广播电视台本级收支预算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359001石家庄广播电视台本级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10721.29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136.81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7940.18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2369.94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10858.10</w:t>
            </w:r>
          </w:p>
        </w:tc>
        <w:tc>
          <w:tcPr>
            <w:tcW w:w="4535" w:type="dxa"/>
            <w:vAlign w:val="center"/>
          </w:tcPr>
          <w:p>
            <w:pPr>
              <w:pStyle w:val="14"/>
            </w:pPr>
            <w:r>
              <w:t>本年支出合计</w:t>
            </w:r>
          </w:p>
        </w:tc>
        <w:tc>
          <w:tcPr>
            <w:tcW w:w="2126" w:type="dxa"/>
            <w:vAlign w:val="center"/>
          </w:tcPr>
          <w:p>
            <w:pPr>
              <w:pStyle w:val="15"/>
            </w:pPr>
            <w:r>
              <w:t>10858.10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10858.10</w:t>
            </w:r>
          </w:p>
        </w:tc>
        <w:tc>
          <w:tcPr>
            <w:tcW w:w="4535" w:type="dxa"/>
            <w:vAlign w:val="center"/>
          </w:tcPr>
          <w:p>
            <w:pPr>
              <w:pStyle w:val="14"/>
            </w:pPr>
            <w:r>
              <w:t>支出总计</w:t>
            </w:r>
          </w:p>
        </w:tc>
        <w:tc>
          <w:tcPr>
            <w:tcW w:w="2126" w:type="dxa"/>
            <w:vAlign w:val="center"/>
          </w:tcPr>
          <w:p>
            <w:pPr>
              <w:pStyle w:val="15"/>
            </w:pPr>
            <w:r>
              <w:t>10858.10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359001石家庄广播电视台本级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10858.10</w:t>
            </w:r>
          </w:p>
        </w:tc>
        <w:tc>
          <w:tcPr>
            <w:tcW w:w="1134" w:type="dxa"/>
            <w:vAlign w:val="center"/>
          </w:tcPr>
          <w:p>
            <w:pPr>
              <w:pStyle w:val="15"/>
            </w:pPr>
            <w:r>
              <w:t>10858.10</w:t>
            </w:r>
          </w:p>
        </w:tc>
        <w:tc>
          <w:tcPr>
            <w:tcW w:w="1134" w:type="dxa"/>
            <w:vAlign w:val="center"/>
          </w:tcPr>
          <w:p>
            <w:pPr>
              <w:pStyle w:val="15"/>
            </w:pPr>
            <w:r>
              <w:t>10858.10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7940.18</w:t>
            </w:r>
          </w:p>
        </w:tc>
        <w:tc>
          <w:tcPr>
            <w:tcW w:w="1134" w:type="dxa"/>
            <w:vAlign w:val="center"/>
          </w:tcPr>
          <w:p>
            <w:pPr>
              <w:pStyle w:val="11"/>
            </w:pPr>
            <w:r>
              <w:t>7940.18</w:t>
            </w:r>
          </w:p>
        </w:tc>
        <w:tc>
          <w:tcPr>
            <w:tcW w:w="1134" w:type="dxa"/>
            <w:vAlign w:val="center"/>
          </w:tcPr>
          <w:p>
            <w:pPr>
              <w:pStyle w:val="11"/>
            </w:pPr>
            <w:r>
              <w:t>7940.18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7866.98</w:t>
            </w:r>
          </w:p>
        </w:tc>
        <w:tc>
          <w:tcPr>
            <w:tcW w:w="1134" w:type="dxa"/>
            <w:vAlign w:val="center"/>
          </w:tcPr>
          <w:p>
            <w:pPr>
              <w:pStyle w:val="11"/>
            </w:pPr>
            <w:r>
              <w:t>7866.98</w:t>
            </w:r>
          </w:p>
        </w:tc>
        <w:tc>
          <w:tcPr>
            <w:tcW w:w="1134" w:type="dxa"/>
            <w:vAlign w:val="center"/>
          </w:tcPr>
          <w:p>
            <w:pPr>
              <w:pStyle w:val="11"/>
            </w:pPr>
            <w:r>
              <w:t>7866.98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5420.00</w:t>
            </w:r>
          </w:p>
        </w:tc>
        <w:tc>
          <w:tcPr>
            <w:tcW w:w="1134" w:type="dxa"/>
            <w:vAlign w:val="center"/>
          </w:tcPr>
          <w:p>
            <w:pPr>
              <w:pStyle w:val="11"/>
            </w:pPr>
            <w:r>
              <w:t>5420.00</w:t>
            </w:r>
          </w:p>
        </w:tc>
        <w:tc>
          <w:tcPr>
            <w:tcW w:w="1134" w:type="dxa"/>
            <w:vAlign w:val="center"/>
          </w:tcPr>
          <w:p>
            <w:pPr>
              <w:pStyle w:val="11"/>
            </w:pPr>
            <w:r>
              <w:t>5420.00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2070899</w:t>
            </w:r>
          </w:p>
        </w:tc>
        <w:tc>
          <w:tcPr>
            <w:tcW w:w="1559" w:type="dxa"/>
            <w:vAlign w:val="center"/>
          </w:tcPr>
          <w:p>
            <w:pPr>
              <w:pStyle w:val="12"/>
            </w:pPr>
            <w:r>
              <w:t>其他广播电视支出</w:t>
            </w:r>
          </w:p>
        </w:tc>
        <w:tc>
          <w:tcPr>
            <w:tcW w:w="1134" w:type="dxa"/>
            <w:vAlign w:val="center"/>
          </w:tcPr>
          <w:p>
            <w:pPr>
              <w:pStyle w:val="11"/>
            </w:pPr>
            <w:r>
              <w:t>2446.98</w:t>
            </w:r>
          </w:p>
        </w:tc>
        <w:tc>
          <w:tcPr>
            <w:tcW w:w="1134" w:type="dxa"/>
            <w:vAlign w:val="center"/>
          </w:tcPr>
          <w:p>
            <w:pPr>
              <w:pStyle w:val="11"/>
            </w:pPr>
            <w:r>
              <w:t>2446.98</w:t>
            </w:r>
          </w:p>
        </w:tc>
        <w:tc>
          <w:tcPr>
            <w:tcW w:w="1134" w:type="dxa"/>
            <w:vAlign w:val="center"/>
          </w:tcPr>
          <w:p>
            <w:pPr>
              <w:pStyle w:val="11"/>
            </w:pPr>
            <w:r>
              <w:t>2446.98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73.20</w:t>
            </w:r>
          </w:p>
        </w:tc>
        <w:tc>
          <w:tcPr>
            <w:tcW w:w="1134" w:type="dxa"/>
            <w:vAlign w:val="center"/>
          </w:tcPr>
          <w:p>
            <w:pPr>
              <w:pStyle w:val="11"/>
            </w:pPr>
            <w:r>
              <w:t>73.20</w:t>
            </w:r>
          </w:p>
        </w:tc>
        <w:tc>
          <w:tcPr>
            <w:tcW w:w="1134" w:type="dxa"/>
            <w:vAlign w:val="center"/>
          </w:tcPr>
          <w:p>
            <w:pPr>
              <w:pStyle w:val="11"/>
            </w:pPr>
            <w:r>
              <w:t>73.20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73.20</w:t>
            </w:r>
          </w:p>
        </w:tc>
        <w:tc>
          <w:tcPr>
            <w:tcW w:w="1134" w:type="dxa"/>
            <w:vAlign w:val="center"/>
          </w:tcPr>
          <w:p>
            <w:pPr>
              <w:pStyle w:val="11"/>
            </w:pPr>
            <w:r>
              <w:t>73.20</w:t>
            </w:r>
          </w:p>
        </w:tc>
        <w:tc>
          <w:tcPr>
            <w:tcW w:w="1134" w:type="dxa"/>
            <w:vAlign w:val="center"/>
          </w:tcPr>
          <w:p>
            <w:pPr>
              <w:pStyle w:val="11"/>
            </w:pPr>
            <w:r>
              <w:t>73.20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2369.94</w:t>
            </w:r>
          </w:p>
        </w:tc>
        <w:tc>
          <w:tcPr>
            <w:tcW w:w="1134" w:type="dxa"/>
            <w:vAlign w:val="center"/>
          </w:tcPr>
          <w:p>
            <w:pPr>
              <w:pStyle w:val="11"/>
            </w:pPr>
            <w:r>
              <w:t>2369.94</w:t>
            </w:r>
          </w:p>
        </w:tc>
        <w:tc>
          <w:tcPr>
            <w:tcW w:w="1134" w:type="dxa"/>
            <w:vAlign w:val="center"/>
          </w:tcPr>
          <w:p>
            <w:pPr>
              <w:pStyle w:val="11"/>
            </w:pPr>
            <w:r>
              <w:t>2369.94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2347.14</w:t>
            </w:r>
          </w:p>
        </w:tc>
        <w:tc>
          <w:tcPr>
            <w:tcW w:w="1134" w:type="dxa"/>
            <w:vAlign w:val="center"/>
          </w:tcPr>
          <w:p>
            <w:pPr>
              <w:pStyle w:val="11"/>
            </w:pPr>
            <w:r>
              <w:t>2347.14</w:t>
            </w:r>
          </w:p>
        </w:tc>
        <w:tc>
          <w:tcPr>
            <w:tcW w:w="1134" w:type="dxa"/>
            <w:vAlign w:val="center"/>
          </w:tcPr>
          <w:p>
            <w:pPr>
              <w:pStyle w:val="11"/>
            </w:pPr>
            <w:r>
              <w:t>2347.14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1891.00</w:t>
            </w:r>
          </w:p>
        </w:tc>
        <w:tc>
          <w:tcPr>
            <w:tcW w:w="1134" w:type="dxa"/>
            <w:vAlign w:val="center"/>
          </w:tcPr>
          <w:p>
            <w:pPr>
              <w:pStyle w:val="11"/>
            </w:pPr>
            <w:r>
              <w:t>1891.00</w:t>
            </w:r>
          </w:p>
        </w:tc>
        <w:tc>
          <w:tcPr>
            <w:tcW w:w="1134" w:type="dxa"/>
            <w:vAlign w:val="center"/>
          </w:tcPr>
          <w:p>
            <w:pPr>
              <w:pStyle w:val="11"/>
            </w:pPr>
            <w:r>
              <w:t>1891.00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304.09</w:t>
            </w:r>
          </w:p>
        </w:tc>
        <w:tc>
          <w:tcPr>
            <w:tcW w:w="1134" w:type="dxa"/>
            <w:vAlign w:val="center"/>
          </w:tcPr>
          <w:p>
            <w:pPr>
              <w:pStyle w:val="11"/>
            </w:pPr>
            <w:r>
              <w:t>304.09</w:t>
            </w:r>
          </w:p>
        </w:tc>
        <w:tc>
          <w:tcPr>
            <w:tcW w:w="1134" w:type="dxa"/>
            <w:vAlign w:val="center"/>
          </w:tcPr>
          <w:p>
            <w:pPr>
              <w:pStyle w:val="11"/>
            </w:pPr>
            <w:r>
              <w:t>304.09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152.05</w:t>
            </w:r>
          </w:p>
        </w:tc>
        <w:tc>
          <w:tcPr>
            <w:tcW w:w="1134" w:type="dxa"/>
            <w:vAlign w:val="center"/>
          </w:tcPr>
          <w:p>
            <w:pPr>
              <w:pStyle w:val="11"/>
            </w:pPr>
            <w:r>
              <w:t>152.05</w:t>
            </w:r>
          </w:p>
        </w:tc>
        <w:tc>
          <w:tcPr>
            <w:tcW w:w="1134" w:type="dxa"/>
            <w:vAlign w:val="center"/>
          </w:tcPr>
          <w:p>
            <w:pPr>
              <w:pStyle w:val="11"/>
            </w:pPr>
            <w:r>
              <w:t>152.05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r>
              <w:t>22.80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154.26</w:t>
            </w:r>
          </w:p>
        </w:tc>
        <w:tc>
          <w:tcPr>
            <w:tcW w:w="1134" w:type="dxa"/>
            <w:vAlign w:val="center"/>
          </w:tcPr>
          <w:p>
            <w:pPr>
              <w:pStyle w:val="11"/>
            </w:pPr>
            <w:r>
              <w:t>154.26</w:t>
            </w:r>
          </w:p>
        </w:tc>
        <w:tc>
          <w:tcPr>
            <w:tcW w:w="1134" w:type="dxa"/>
            <w:vAlign w:val="center"/>
          </w:tcPr>
          <w:p>
            <w:pPr>
              <w:pStyle w:val="11"/>
            </w:pPr>
            <w:r>
              <w:t>154.26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154.26</w:t>
            </w:r>
          </w:p>
        </w:tc>
        <w:tc>
          <w:tcPr>
            <w:tcW w:w="1134" w:type="dxa"/>
            <w:vAlign w:val="center"/>
          </w:tcPr>
          <w:p>
            <w:pPr>
              <w:pStyle w:val="11"/>
            </w:pPr>
            <w:r>
              <w:t>154.26</w:t>
            </w:r>
          </w:p>
        </w:tc>
        <w:tc>
          <w:tcPr>
            <w:tcW w:w="1134" w:type="dxa"/>
            <w:vAlign w:val="center"/>
          </w:tcPr>
          <w:p>
            <w:pPr>
              <w:pStyle w:val="11"/>
            </w:pPr>
            <w:r>
              <w:t>154.26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154.26</w:t>
            </w:r>
          </w:p>
        </w:tc>
        <w:tc>
          <w:tcPr>
            <w:tcW w:w="1134" w:type="dxa"/>
            <w:vAlign w:val="center"/>
          </w:tcPr>
          <w:p>
            <w:pPr>
              <w:pStyle w:val="11"/>
            </w:pPr>
            <w:r>
              <w:t>154.26</w:t>
            </w:r>
          </w:p>
        </w:tc>
        <w:tc>
          <w:tcPr>
            <w:tcW w:w="1134" w:type="dxa"/>
            <w:vAlign w:val="center"/>
          </w:tcPr>
          <w:p>
            <w:pPr>
              <w:pStyle w:val="11"/>
            </w:pPr>
            <w:r>
              <w:t>154.26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256.91</w:t>
            </w:r>
          </w:p>
        </w:tc>
        <w:tc>
          <w:tcPr>
            <w:tcW w:w="1134" w:type="dxa"/>
            <w:vAlign w:val="center"/>
          </w:tcPr>
          <w:p>
            <w:pPr>
              <w:pStyle w:val="11"/>
            </w:pPr>
            <w:r>
              <w:t>256.91</w:t>
            </w:r>
          </w:p>
        </w:tc>
        <w:tc>
          <w:tcPr>
            <w:tcW w:w="1134" w:type="dxa"/>
            <w:vAlign w:val="center"/>
          </w:tcPr>
          <w:p>
            <w:pPr>
              <w:pStyle w:val="11"/>
            </w:pPr>
            <w:r>
              <w:t>256.91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256.91</w:t>
            </w:r>
          </w:p>
        </w:tc>
        <w:tc>
          <w:tcPr>
            <w:tcW w:w="1134" w:type="dxa"/>
            <w:vAlign w:val="center"/>
          </w:tcPr>
          <w:p>
            <w:pPr>
              <w:pStyle w:val="11"/>
            </w:pPr>
            <w:r>
              <w:t>256.91</w:t>
            </w:r>
          </w:p>
        </w:tc>
        <w:tc>
          <w:tcPr>
            <w:tcW w:w="1134" w:type="dxa"/>
            <w:vAlign w:val="center"/>
          </w:tcPr>
          <w:p>
            <w:pPr>
              <w:pStyle w:val="11"/>
            </w:pPr>
            <w:r>
              <w:t>256.91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256.91</w:t>
            </w:r>
          </w:p>
        </w:tc>
        <w:tc>
          <w:tcPr>
            <w:tcW w:w="1134" w:type="dxa"/>
            <w:vAlign w:val="center"/>
          </w:tcPr>
          <w:p>
            <w:pPr>
              <w:pStyle w:val="11"/>
            </w:pPr>
            <w:r>
              <w:t>256.91</w:t>
            </w:r>
          </w:p>
        </w:tc>
        <w:tc>
          <w:tcPr>
            <w:tcW w:w="1134" w:type="dxa"/>
            <w:vAlign w:val="center"/>
          </w:tcPr>
          <w:p>
            <w:pPr>
              <w:pStyle w:val="11"/>
            </w:pPr>
            <w:r>
              <w:t>256.91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136.80</w:t>
            </w:r>
          </w:p>
        </w:tc>
        <w:tc>
          <w:tcPr>
            <w:tcW w:w="1134" w:type="dxa"/>
            <w:vAlign w:val="center"/>
          </w:tcPr>
          <w:p>
            <w:pPr>
              <w:pStyle w:val="11"/>
            </w:pPr>
            <w:r>
              <w:t>136.80</w:t>
            </w:r>
          </w:p>
        </w:tc>
        <w:tc>
          <w:tcPr>
            <w:tcW w:w="1134" w:type="dxa"/>
            <w:vAlign w:val="center"/>
          </w:tcPr>
          <w:p>
            <w:pPr>
              <w:pStyle w:val="11"/>
            </w:pPr>
            <w:r>
              <w:t>136.80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136.80</w:t>
            </w:r>
          </w:p>
        </w:tc>
        <w:tc>
          <w:tcPr>
            <w:tcW w:w="1134" w:type="dxa"/>
            <w:vAlign w:val="center"/>
          </w:tcPr>
          <w:p>
            <w:pPr>
              <w:pStyle w:val="11"/>
            </w:pPr>
            <w:r>
              <w:t>136.80</w:t>
            </w:r>
          </w:p>
        </w:tc>
        <w:tc>
          <w:tcPr>
            <w:tcW w:w="1134" w:type="dxa"/>
            <w:vAlign w:val="center"/>
          </w:tcPr>
          <w:p>
            <w:pPr>
              <w:pStyle w:val="11"/>
            </w:pPr>
            <w:r>
              <w:t>136.80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136.80</w:t>
            </w:r>
          </w:p>
        </w:tc>
        <w:tc>
          <w:tcPr>
            <w:tcW w:w="1134" w:type="dxa"/>
            <w:vAlign w:val="center"/>
          </w:tcPr>
          <w:p>
            <w:pPr>
              <w:pStyle w:val="11"/>
            </w:pPr>
            <w:r>
              <w:t>136.80</w:t>
            </w:r>
          </w:p>
        </w:tc>
        <w:tc>
          <w:tcPr>
            <w:tcW w:w="1134" w:type="dxa"/>
            <w:vAlign w:val="center"/>
          </w:tcPr>
          <w:p>
            <w:pPr>
              <w:pStyle w:val="11"/>
            </w:pPr>
            <w:r>
              <w:t>136.80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2330498</w:t>
            </w:r>
          </w:p>
        </w:tc>
        <w:tc>
          <w:tcPr>
            <w:tcW w:w="1559" w:type="dxa"/>
            <w:vAlign w:val="center"/>
          </w:tcPr>
          <w:p>
            <w:pPr>
              <w:pStyle w:val="12"/>
            </w:pPr>
            <w:r>
              <w:t>其他地方自行试点项目收益专项债券发行费用支出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10858.10</w:t>
            </w:r>
          </w:p>
        </w:tc>
        <w:tc>
          <w:tcPr>
            <w:tcW w:w="1361" w:type="dxa"/>
            <w:vAlign w:val="center"/>
          </w:tcPr>
          <w:p>
            <w:pPr>
              <w:pStyle w:val="15"/>
            </w:pPr>
            <w:r>
              <w:t>5228.09</w:t>
            </w:r>
          </w:p>
        </w:tc>
        <w:tc>
          <w:tcPr>
            <w:tcW w:w="1361" w:type="dxa"/>
            <w:vAlign w:val="center"/>
          </w:tcPr>
          <w:p>
            <w:pPr>
              <w:pStyle w:val="15"/>
            </w:pPr>
            <w:r>
              <w:t>5630.01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7940.18</w:t>
            </w:r>
          </w:p>
        </w:tc>
        <w:tc>
          <w:tcPr>
            <w:tcW w:w="1361" w:type="dxa"/>
            <w:vAlign w:val="center"/>
          </w:tcPr>
          <w:p>
            <w:pPr>
              <w:pStyle w:val="11"/>
            </w:pPr>
            <w:r>
              <w:t>2446.98</w:t>
            </w:r>
          </w:p>
        </w:tc>
        <w:tc>
          <w:tcPr>
            <w:tcW w:w="1361" w:type="dxa"/>
            <w:vAlign w:val="center"/>
          </w:tcPr>
          <w:p>
            <w:pPr>
              <w:pStyle w:val="11"/>
            </w:pPr>
            <w:r>
              <w:t>5493.20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7866.98</w:t>
            </w:r>
          </w:p>
        </w:tc>
        <w:tc>
          <w:tcPr>
            <w:tcW w:w="1361" w:type="dxa"/>
            <w:vAlign w:val="center"/>
          </w:tcPr>
          <w:p>
            <w:pPr>
              <w:pStyle w:val="11"/>
            </w:pPr>
            <w:r>
              <w:t>2446.98</w:t>
            </w:r>
          </w:p>
        </w:tc>
        <w:tc>
          <w:tcPr>
            <w:tcW w:w="1361" w:type="dxa"/>
            <w:vAlign w:val="center"/>
          </w:tcPr>
          <w:p>
            <w:pPr>
              <w:pStyle w:val="11"/>
            </w:pPr>
            <w:r>
              <w:t>5420.00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5420.00</w:t>
            </w:r>
          </w:p>
        </w:tc>
        <w:tc>
          <w:tcPr>
            <w:tcW w:w="1361" w:type="dxa"/>
            <w:vAlign w:val="center"/>
          </w:tcPr>
          <w:p>
            <w:pPr>
              <w:pStyle w:val="11"/>
            </w:pPr>
          </w:p>
        </w:tc>
        <w:tc>
          <w:tcPr>
            <w:tcW w:w="1361" w:type="dxa"/>
            <w:vAlign w:val="center"/>
          </w:tcPr>
          <w:p>
            <w:pPr>
              <w:pStyle w:val="11"/>
            </w:pPr>
            <w:r>
              <w:t>5420.00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2070899</w:t>
            </w:r>
          </w:p>
        </w:tc>
        <w:tc>
          <w:tcPr>
            <w:tcW w:w="4535" w:type="dxa"/>
            <w:vAlign w:val="center"/>
          </w:tcPr>
          <w:p>
            <w:pPr>
              <w:pStyle w:val="12"/>
            </w:pPr>
            <w:r>
              <w:t>其他广播电视支出</w:t>
            </w:r>
          </w:p>
        </w:tc>
        <w:tc>
          <w:tcPr>
            <w:tcW w:w="1361" w:type="dxa"/>
            <w:vAlign w:val="center"/>
          </w:tcPr>
          <w:p>
            <w:pPr>
              <w:pStyle w:val="11"/>
            </w:pPr>
            <w:r>
              <w:t>2446.98</w:t>
            </w:r>
          </w:p>
        </w:tc>
        <w:tc>
          <w:tcPr>
            <w:tcW w:w="1361" w:type="dxa"/>
            <w:vAlign w:val="center"/>
          </w:tcPr>
          <w:p>
            <w:pPr>
              <w:pStyle w:val="11"/>
            </w:pPr>
            <w:r>
              <w:t>2446.98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73.20</w:t>
            </w:r>
          </w:p>
        </w:tc>
        <w:tc>
          <w:tcPr>
            <w:tcW w:w="1361" w:type="dxa"/>
            <w:vAlign w:val="center"/>
          </w:tcPr>
          <w:p>
            <w:pPr>
              <w:pStyle w:val="11"/>
            </w:pPr>
          </w:p>
        </w:tc>
        <w:tc>
          <w:tcPr>
            <w:tcW w:w="1361" w:type="dxa"/>
            <w:vAlign w:val="center"/>
          </w:tcPr>
          <w:p>
            <w:pPr>
              <w:pStyle w:val="11"/>
            </w:pPr>
            <w:r>
              <w:t>73.20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73.20</w:t>
            </w:r>
          </w:p>
        </w:tc>
        <w:tc>
          <w:tcPr>
            <w:tcW w:w="1361" w:type="dxa"/>
            <w:vAlign w:val="center"/>
          </w:tcPr>
          <w:p>
            <w:pPr>
              <w:pStyle w:val="11"/>
            </w:pPr>
          </w:p>
        </w:tc>
        <w:tc>
          <w:tcPr>
            <w:tcW w:w="1361" w:type="dxa"/>
            <w:vAlign w:val="center"/>
          </w:tcPr>
          <w:p>
            <w:pPr>
              <w:pStyle w:val="11"/>
            </w:pPr>
            <w:r>
              <w:t>73.20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2369.94</w:t>
            </w:r>
          </w:p>
        </w:tc>
        <w:tc>
          <w:tcPr>
            <w:tcW w:w="1361" w:type="dxa"/>
            <w:vAlign w:val="center"/>
          </w:tcPr>
          <w:p>
            <w:pPr>
              <w:pStyle w:val="11"/>
            </w:pPr>
            <w:r>
              <w:t>2369.94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2347.14</w:t>
            </w:r>
          </w:p>
        </w:tc>
        <w:tc>
          <w:tcPr>
            <w:tcW w:w="1361" w:type="dxa"/>
            <w:vAlign w:val="center"/>
          </w:tcPr>
          <w:p>
            <w:pPr>
              <w:pStyle w:val="11"/>
            </w:pPr>
            <w:r>
              <w:t>2347.14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1891.00</w:t>
            </w:r>
          </w:p>
        </w:tc>
        <w:tc>
          <w:tcPr>
            <w:tcW w:w="1361" w:type="dxa"/>
            <w:vAlign w:val="center"/>
          </w:tcPr>
          <w:p>
            <w:pPr>
              <w:pStyle w:val="11"/>
            </w:pPr>
            <w:r>
              <w:t>1891.00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304.09</w:t>
            </w:r>
          </w:p>
        </w:tc>
        <w:tc>
          <w:tcPr>
            <w:tcW w:w="1361" w:type="dxa"/>
            <w:vAlign w:val="center"/>
          </w:tcPr>
          <w:p>
            <w:pPr>
              <w:pStyle w:val="11"/>
            </w:pPr>
            <w:r>
              <w:t>304.09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152.05</w:t>
            </w:r>
          </w:p>
        </w:tc>
        <w:tc>
          <w:tcPr>
            <w:tcW w:w="1361" w:type="dxa"/>
            <w:vAlign w:val="center"/>
          </w:tcPr>
          <w:p>
            <w:pPr>
              <w:pStyle w:val="11"/>
            </w:pPr>
            <w:r>
              <w:t>152.05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22.80</w:t>
            </w:r>
          </w:p>
        </w:tc>
        <w:tc>
          <w:tcPr>
            <w:tcW w:w="1361" w:type="dxa"/>
            <w:vAlign w:val="center"/>
          </w:tcPr>
          <w:p>
            <w:pPr>
              <w:pStyle w:val="11"/>
            </w:pPr>
            <w:r>
              <w:t>22.80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22.80</w:t>
            </w:r>
          </w:p>
        </w:tc>
        <w:tc>
          <w:tcPr>
            <w:tcW w:w="1361" w:type="dxa"/>
            <w:vAlign w:val="center"/>
          </w:tcPr>
          <w:p>
            <w:pPr>
              <w:pStyle w:val="11"/>
            </w:pPr>
            <w:r>
              <w:t>22.80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154.26</w:t>
            </w:r>
          </w:p>
        </w:tc>
        <w:tc>
          <w:tcPr>
            <w:tcW w:w="1361" w:type="dxa"/>
            <w:vAlign w:val="center"/>
          </w:tcPr>
          <w:p>
            <w:pPr>
              <w:pStyle w:val="11"/>
            </w:pPr>
            <w:r>
              <w:t>154.26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154.26</w:t>
            </w:r>
          </w:p>
        </w:tc>
        <w:tc>
          <w:tcPr>
            <w:tcW w:w="1361" w:type="dxa"/>
            <w:vAlign w:val="center"/>
          </w:tcPr>
          <w:p>
            <w:pPr>
              <w:pStyle w:val="11"/>
            </w:pPr>
            <w:r>
              <w:t>154.26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154.26</w:t>
            </w:r>
          </w:p>
        </w:tc>
        <w:tc>
          <w:tcPr>
            <w:tcW w:w="1361" w:type="dxa"/>
            <w:vAlign w:val="center"/>
          </w:tcPr>
          <w:p>
            <w:pPr>
              <w:pStyle w:val="11"/>
            </w:pPr>
            <w:r>
              <w:t>154.26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256.91</w:t>
            </w:r>
          </w:p>
        </w:tc>
        <w:tc>
          <w:tcPr>
            <w:tcW w:w="1361" w:type="dxa"/>
            <w:vAlign w:val="center"/>
          </w:tcPr>
          <w:p>
            <w:pPr>
              <w:pStyle w:val="11"/>
            </w:pPr>
            <w:r>
              <w:t>256.91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256.91</w:t>
            </w:r>
          </w:p>
        </w:tc>
        <w:tc>
          <w:tcPr>
            <w:tcW w:w="1361" w:type="dxa"/>
            <w:vAlign w:val="center"/>
          </w:tcPr>
          <w:p>
            <w:pPr>
              <w:pStyle w:val="11"/>
            </w:pPr>
            <w:r>
              <w:t>256.91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256.91</w:t>
            </w:r>
          </w:p>
        </w:tc>
        <w:tc>
          <w:tcPr>
            <w:tcW w:w="1361" w:type="dxa"/>
            <w:vAlign w:val="center"/>
          </w:tcPr>
          <w:p>
            <w:pPr>
              <w:pStyle w:val="11"/>
            </w:pPr>
            <w:r>
              <w:t>256.91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136.80</w:t>
            </w:r>
          </w:p>
        </w:tc>
        <w:tc>
          <w:tcPr>
            <w:tcW w:w="1361" w:type="dxa"/>
            <w:vAlign w:val="center"/>
          </w:tcPr>
          <w:p>
            <w:pPr>
              <w:pStyle w:val="11"/>
            </w:pPr>
          </w:p>
        </w:tc>
        <w:tc>
          <w:tcPr>
            <w:tcW w:w="1361" w:type="dxa"/>
            <w:vAlign w:val="center"/>
          </w:tcPr>
          <w:p>
            <w:pPr>
              <w:pStyle w:val="11"/>
            </w:pPr>
            <w:r>
              <w:t>136.80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136.80</w:t>
            </w:r>
          </w:p>
        </w:tc>
        <w:tc>
          <w:tcPr>
            <w:tcW w:w="1361" w:type="dxa"/>
            <w:vAlign w:val="center"/>
          </w:tcPr>
          <w:p>
            <w:pPr>
              <w:pStyle w:val="11"/>
            </w:pPr>
          </w:p>
        </w:tc>
        <w:tc>
          <w:tcPr>
            <w:tcW w:w="1361" w:type="dxa"/>
            <w:vAlign w:val="center"/>
          </w:tcPr>
          <w:p>
            <w:pPr>
              <w:pStyle w:val="11"/>
            </w:pPr>
            <w:r>
              <w:t>136.80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136.80</w:t>
            </w:r>
          </w:p>
        </w:tc>
        <w:tc>
          <w:tcPr>
            <w:tcW w:w="1361" w:type="dxa"/>
            <w:vAlign w:val="center"/>
          </w:tcPr>
          <w:p>
            <w:pPr>
              <w:pStyle w:val="11"/>
            </w:pPr>
          </w:p>
        </w:tc>
        <w:tc>
          <w:tcPr>
            <w:tcW w:w="1361" w:type="dxa"/>
            <w:vAlign w:val="center"/>
          </w:tcPr>
          <w:p>
            <w:pPr>
              <w:pStyle w:val="11"/>
            </w:pPr>
            <w:r>
              <w:t>136.80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2330498</w:t>
            </w:r>
          </w:p>
        </w:tc>
        <w:tc>
          <w:tcPr>
            <w:tcW w:w="4535" w:type="dxa"/>
            <w:vAlign w:val="center"/>
          </w:tcPr>
          <w:p>
            <w:pPr>
              <w:pStyle w:val="12"/>
            </w:pPr>
            <w:r>
              <w:t>其他地方自行试点项目收益专项债券发行费用支出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10721.29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136.81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7940.18</w:t>
            </w:r>
          </w:p>
        </w:tc>
        <w:tc>
          <w:tcPr>
            <w:tcW w:w="1474" w:type="dxa"/>
            <w:vAlign w:val="center"/>
          </w:tcPr>
          <w:p>
            <w:pPr>
              <w:pStyle w:val="11"/>
            </w:pPr>
            <w:r>
              <w:t>7940.18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2369.94</w:t>
            </w:r>
          </w:p>
        </w:tc>
        <w:tc>
          <w:tcPr>
            <w:tcW w:w="1474" w:type="dxa"/>
            <w:vAlign w:val="center"/>
          </w:tcPr>
          <w:p>
            <w:pPr>
              <w:pStyle w:val="11"/>
            </w:pPr>
            <w:r>
              <w:t>2369.94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154.26</w:t>
            </w:r>
          </w:p>
        </w:tc>
        <w:tc>
          <w:tcPr>
            <w:tcW w:w="1474" w:type="dxa"/>
            <w:vAlign w:val="center"/>
          </w:tcPr>
          <w:p>
            <w:pPr>
              <w:pStyle w:val="11"/>
            </w:pPr>
            <w:r>
              <w:t>154.26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256.91</w:t>
            </w:r>
          </w:p>
        </w:tc>
        <w:tc>
          <w:tcPr>
            <w:tcW w:w="1474" w:type="dxa"/>
            <w:vAlign w:val="center"/>
          </w:tcPr>
          <w:p>
            <w:pPr>
              <w:pStyle w:val="11"/>
            </w:pPr>
            <w:r>
              <w:t>256.91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136.80</w:t>
            </w:r>
          </w:p>
        </w:tc>
        <w:tc>
          <w:tcPr>
            <w:tcW w:w="1474" w:type="dxa"/>
            <w:vAlign w:val="center"/>
          </w:tcPr>
          <w:p>
            <w:pPr>
              <w:pStyle w:val="11"/>
            </w:pPr>
          </w:p>
        </w:tc>
        <w:tc>
          <w:tcPr>
            <w:tcW w:w="1474" w:type="dxa"/>
            <w:vAlign w:val="center"/>
          </w:tcPr>
          <w:p>
            <w:pPr>
              <w:pStyle w:val="11"/>
            </w:pPr>
            <w:r>
              <w:t>136.80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0.01</w:t>
            </w:r>
          </w:p>
        </w:tc>
        <w:tc>
          <w:tcPr>
            <w:tcW w:w="1474" w:type="dxa"/>
            <w:vAlign w:val="center"/>
          </w:tcPr>
          <w:p>
            <w:pPr>
              <w:pStyle w:val="11"/>
            </w:pPr>
          </w:p>
        </w:tc>
        <w:tc>
          <w:tcPr>
            <w:tcW w:w="1474" w:type="dxa"/>
            <w:vAlign w:val="center"/>
          </w:tcPr>
          <w:p>
            <w:pPr>
              <w:pStyle w:val="11"/>
            </w:pPr>
            <w:r>
              <w:t>0.01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10858.10</w:t>
            </w:r>
          </w:p>
        </w:tc>
        <w:tc>
          <w:tcPr>
            <w:tcW w:w="3402" w:type="dxa"/>
            <w:vAlign w:val="center"/>
          </w:tcPr>
          <w:p>
            <w:pPr>
              <w:pStyle w:val="14"/>
            </w:pPr>
            <w:r>
              <w:t>本年支出合计</w:t>
            </w:r>
          </w:p>
        </w:tc>
        <w:tc>
          <w:tcPr>
            <w:tcW w:w="1474" w:type="dxa"/>
            <w:vAlign w:val="center"/>
          </w:tcPr>
          <w:p>
            <w:pPr>
              <w:pStyle w:val="15"/>
            </w:pPr>
            <w:r>
              <w:t>10858.10</w:t>
            </w:r>
          </w:p>
        </w:tc>
        <w:tc>
          <w:tcPr>
            <w:tcW w:w="1474" w:type="dxa"/>
            <w:vAlign w:val="center"/>
          </w:tcPr>
          <w:p>
            <w:pPr>
              <w:pStyle w:val="15"/>
            </w:pPr>
            <w:r>
              <w:t>10721.29</w:t>
            </w:r>
          </w:p>
        </w:tc>
        <w:tc>
          <w:tcPr>
            <w:tcW w:w="1474" w:type="dxa"/>
            <w:vAlign w:val="center"/>
          </w:tcPr>
          <w:p>
            <w:pPr>
              <w:pStyle w:val="15"/>
            </w:pPr>
            <w:r>
              <w:t>136.81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10858.10</w:t>
            </w:r>
          </w:p>
        </w:tc>
        <w:tc>
          <w:tcPr>
            <w:tcW w:w="3402" w:type="dxa"/>
            <w:vAlign w:val="center"/>
          </w:tcPr>
          <w:p>
            <w:pPr>
              <w:pStyle w:val="14"/>
            </w:pPr>
            <w:r>
              <w:t>支出总计</w:t>
            </w:r>
          </w:p>
        </w:tc>
        <w:tc>
          <w:tcPr>
            <w:tcW w:w="1474" w:type="dxa"/>
            <w:vAlign w:val="center"/>
          </w:tcPr>
          <w:p>
            <w:pPr>
              <w:pStyle w:val="15"/>
            </w:pPr>
            <w:r>
              <w:t>10858.10</w:t>
            </w:r>
          </w:p>
        </w:tc>
        <w:tc>
          <w:tcPr>
            <w:tcW w:w="1474" w:type="dxa"/>
            <w:vAlign w:val="center"/>
          </w:tcPr>
          <w:p>
            <w:pPr>
              <w:pStyle w:val="15"/>
            </w:pPr>
            <w:r>
              <w:t>10721.29</w:t>
            </w:r>
          </w:p>
        </w:tc>
        <w:tc>
          <w:tcPr>
            <w:tcW w:w="1474" w:type="dxa"/>
            <w:vAlign w:val="center"/>
          </w:tcPr>
          <w:p>
            <w:pPr>
              <w:pStyle w:val="15"/>
            </w:pPr>
            <w:r>
              <w:t>136.81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10721.29</w:t>
            </w:r>
          </w:p>
        </w:tc>
        <w:tc>
          <w:tcPr>
            <w:tcW w:w="2551" w:type="dxa"/>
            <w:vAlign w:val="center"/>
          </w:tcPr>
          <w:p>
            <w:pPr>
              <w:pStyle w:val="15"/>
            </w:pPr>
            <w:r>
              <w:t>5228.09</w:t>
            </w:r>
          </w:p>
        </w:tc>
        <w:tc>
          <w:tcPr>
            <w:tcW w:w="2551" w:type="dxa"/>
            <w:vAlign w:val="center"/>
          </w:tcPr>
          <w:p>
            <w:pPr>
              <w:pStyle w:val="15"/>
            </w:pPr>
            <w:r>
              <w:t>5493.20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7940.18</w:t>
            </w:r>
          </w:p>
        </w:tc>
        <w:tc>
          <w:tcPr>
            <w:tcW w:w="2551" w:type="dxa"/>
            <w:vAlign w:val="center"/>
          </w:tcPr>
          <w:p>
            <w:pPr>
              <w:pStyle w:val="11"/>
            </w:pPr>
            <w:r>
              <w:t>2446.98</w:t>
            </w:r>
          </w:p>
        </w:tc>
        <w:tc>
          <w:tcPr>
            <w:tcW w:w="2551" w:type="dxa"/>
            <w:vAlign w:val="center"/>
          </w:tcPr>
          <w:p>
            <w:pPr>
              <w:pStyle w:val="11"/>
            </w:pPr>
            <w:r>
              <w:t>5493.20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7866.98</w:t>
            </w:r>
          </w:p>
        </w:tc>
        <w:tc>
          <w:tcPr>
            <w:tcW w:w="2551" w:type="dxa"/>
            <w:vAlign w:val="center"/>
          </w:tcPr>
          <w:p>
            <w:pPr>
              <w:pStyle w:val="11"/>
            </w:pPr>
            <w:r>
              <w:t>2446.98</w:t>
            </w:r>
          </w:p>
        </w:tc>
        <w:tc>
          <w:tcPr>
            <w:tcW w:w="2551" w:type="dxa"/>
            <w:vAlign w:val="center"/>
          </w:tcPr>
          <w:p>
            <w:pPr>
              <w:pStyle w:val="11"/>
            </w:pPr>
            <w:r>
              <w:t>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5420.00</w:t>
            </w:r>
          </w:p>
        </w:tc>
        <w:tc>
          <w:tcPr>
            <w:tcW w:w="2551" w:type="dxa"/>
            <w:vAlign w:val="center"/>
          </w:tcPr>
          <w:p>
            <w:pPr>
              <w:pStyle w:val="11"/>
            </w:pPr>
          </w:p>
        </w:tc>
        <w:tc>
          <w:tcPr>
            <w:tcW w:w="2551" w:type="dxa"/>
            <w:vAlign w:val="center"/>
          </w:tcPr>
          <w:p>
            <w:pPr>
              <w:pStyle w:val="11"/>
            </w:pPr>
            <w:r>
              <w:t>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2070899</w:t>
            </w:r>
          </w:p>
        </w:tc>
        <w:tc>
          <w:tcPr>
            <w:tcW w:w="4535" w:type="dxa"/>
            <w:vAlign w:val="center"/>
          </w:tcPr>
          <w:p>
            <w:pPr>
              <w:pStyle w:val="12"/>
            </w:pPr>
            <w:r>
              <w:t>其他广播电视支出</w:t>
            </w:r>
          </w:p>
        </w:tc>
        <w:tc>
          <w:tcPr>
            <w:tcW w:w="2551" w:type="dxa"/>
            <w:vAlign w:val="center"/>
          </w:tcPr>
          <w:p>
            <w:pPr>
              <w:pStyle w:val="11"/>
            </w:pPr>
            <w:r>
              <w:t>2446.98</w:t>
            </w:r>
          </w:p>
        </w:tc>
        <w:tc>
          <w:tcPr>
            <w:tcW w:w="2551" w:type="dxa"/>
            <w:vAlign w:val="center"/>
          </w:tcPr>
          <w:p>
            <w:pPr>
              <w:pStyle w:val="11"/>
            </w:pPr>
            <w:r>
              <w:t>2446.98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73.20</w:t>
            </w:r>
          </w:p>
        </w:tc>
        <w:tc>
          <w:tcPr>
            <w:tcW w:w="2551" w:type="dxa"/>
            <w:vAlign w:val="center"/>
          </w:tcPr>
          <w:p>
            <w:pPr>
              <w:pStyle w:val="11"/>
            </w:pPr>
          </w:p>
        </w:tc>
        <w:tc>
          <w:tcPr>
            <w:tcW w:w="2551" w:type="dxa"/>
            <w:vAlign w:val="center"/>
          </w:tcPr>
          <w:p>
            <w:pPr>
              <w:pStyle w:val="11"/>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73.20</w:t>
            </w:r>
          </w:p>
        </w:tc>
        <w:tc>
          <w:tcPr>
            <w:tcW w:w="2551" w:type="dxa"/>
            <w:vAlign w:val="center"/>
          </w:tcPr>
          <w:p>
            <w:pPr>
              <w:pStyle w:val="11"/>
            </w:pPr>
          </w:p>
        </w:tc>
        <w:tc>
          <w:tcPr>
            <w:tcW w:w="2551" w:type="dxa"/>
            <w:vAlign w:val="center"/>
          </w:tcPr>
          <w:p>
            <w:pPr>
              <w:pStyle w:val="11"/>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2369.94</w:t>
            </w:r>
          </w:p>
        </w:tc>
        <w:tc>
          <w:tcPr>
            <w:tcW w:w="2551" w:type="dxa"/>
            <w:vAlign w:val="center"/>
          </w:tcPr>
          <w:p>
            <w:pPr>
              <w:pStyle w:val="11"/>
            </w:pPr>
            <w:r>
              <w:t>2369.94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2347.14</w:t>
            </w:r>
          </w:p>
        </w:tc>
        <w:tc>
          <w:tcPr>
            <w:tcW w:w="2551" w:type="dxa"/>
            <w:vAlign w:val="center"/>
          </w:tcPr>
          <w:p>
            <w:pPr>
              <w:pStyle w:val="11"/>
            </w:pPr>
            <w:r>
              <w:t>2347.14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1891.00</w:t>
            </w:r>
          </w:p>
        </w:tc>
        <w:tc>
          <w:tcPr>
            <w:tcW w:w="2551" w:type="dxa"/>
            <w:vAlign w:val="center"/>
          </w:tcPr>
          <w:p>
            <w:pPr>
              <w:pStyle w:val="11"/>
            </w:pPr>
            <w:r>
              <w:t>1891.00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304.09</w:t>
            </w:r>
          </w:p>
        </w:tc>
        <w:tc>
          <w:tcPr>
            <w:tcW w:w="2551" w:type="dxa"/>
            <w:vAlign w:val="center"/>
          </w:tcPr>
          <w:p>
            <w:pPr>
              <w:pStyle w:val="11"/>
            </w:pPr>
            <w:r>
              <w:t>304.09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152.05</w:t>
            </w:r>
          </w:p>
        </w:tc>
        <w:tc>
          <w:tcPr>
            <w:tcW w:w="2551" w:type="dxa"/>
            <w:vAlign w:val="center"/>
          </w:tcPr>
          <w:p>
            <w:pPr>
              <w:pStyle w:val="11"/>
            </w:pPr>
            <w:r>
              <w:t>152.05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154.26</w:t>
            </w:r>
          </w:p>
        </w:tc>
        <w:tc>
          <w:tcPr>
            <w:tcW w:w="2551" w:type="dxa"/>
            <w:vAlign w:val="center"/>
          </w:tcPr>
          <w:p>
            <w:pPr>
              <w:pStyle w:val="11"/>
            </w:pPr>
            <w:r>
              <w:t>154.26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154.26</w:t>
            </w:r>
          </w:p>
        </w:tc>
        <w:tc>
          <w:tcPr>
            <w:tcW w:w="2551" w:type="dxa"/>
            <w:vAlign w:val="center"/>
          </w:tcPr>
          <w:p>
            <w:pPr>
              <w:pStyle w:val="11"/>
            </w:pPr>
            <w:r>
              <w:t>154.26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154.26</w:t>
            </w:r>
          </w:p>
        </w:tc>
        <w:tc>
          <w:tcPr>
            <w:tcW w:w="2551" w:type="dxa"/>
            <w:vAlign w:val="center"/>
          </w:tcPr>
          <w:p>
            <w:pPr>
              <w:pStyle w:val="11"/>
            </w:pPr>
            <w:r>
              <w:t>154.26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256.91</w:t>
            </w:r>
          </w:p>
        </w:tc>
        <w:tc>
          <w:tcPr>
            <w:tcW w:w="2551" w:type="dxa"/>
            <w:vAlign w:val="center"/>
          </w:tcPr>
          <w:p>
            <w:pPr>
              <w:pStyle w:val="11"/>
            </w:pPr>
            <w:r>
              <w:t>256.91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256.91</w:t>
            </w:r>
          </w:p>
        </w:tc>
        <w:tc>
          <w:tcPr>
            <w:tcW w:w="2551" w:type="dxa"/>
            <w:vAlign w:val="center"/>
          </w:tcPr>
          <w:p>
            <w:pPr>
              <w:pStyle w:val="11"/>
            </w:pPr>
            <w:r>
              <w:t>256.91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256.91</w:t>
            </w:r>
          </w:p>
        </w:tc>
        <w:tc>
          <w:tcPr>
            <w:tcW w:w="2551" w:type="dxa"/>
            <w:vAlign w:val="center"/>
          </w:tcPr>
          <w:p>
            <w:pPr>
              <w:pStyle w:val="11"/>
            </w:pPr>
            <w:r>
              <w:t>256.91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5228.09</w:t>
            </w:r>
          </w:p>
        </w:tc>
        <w:tc>
          <w:tcPr>
            <w:tcW w:w="2551" w:type="dxa"/>
            <w:vAlign w:val="center"/>
          </w:tcPr>
          <w:p>
            <w:pPr>
              <w:pStyle w:val="15"/>
            </w:pPr>
            <w:r>
              <w:t>5228.09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3337.09</w:t>
            </w:r>
          </w:p>
        </w:tc>
        <w:tc>
          <w:tcPr>
            <w:tcW w:w="2551" w:type="dxa"/>
            <w:vAlign w:val="center"/>
          </w:tcPr>
          <w:p>
            <w:pPr>
              <w:pStyle w:val="11"/>
            </w:pPr>
            <w:r>
              <w:t>3337.09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923.69</w:t>
            </w:r>
          </w:p>
        </w:tc>
        <w:tc>
          <w:tcPr>
            <w:tcW w:w="2551" w:type="dxa"/>
            <w:vAlign w:val="center"/>
          </w:tcPr>
          <w:p>
            <w:pPr>
              <w:pStyle w:val="11"/>
            </w:pPr>
            <w:r>
              <w:t>923.69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142.96</w:t>
            </w:r>
          </w:p>
        </w:tc>
        <w:tc>
          <w:tcPr>
            <w:tcW w:w="2551" w:type="dxa"/>
            <w:vAlign w:val="center"/>
          </w:tcPr>
          <w:p>
            <w:pPr>
              <w:pStyle w:val="11"/>
            </w:pPr>
            <w:r>
              <w:t>142.96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1228.23</w:t>
            </w:r>
          </w:p>
        </w:tc>
        <w:tc>
          <w:tcPr>
            <w:tcW w:w="2551" w:type="dxa"/>
            <w:vAlign w:val="center"/>
          </w:tcPr>
          <w:p>
            <w:pPr>
              <w:pStyle w:val="11"/>
            </w:pPr>
            <w:r>
              <w:t>1228.23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304.09</w:t>
            </w:r>
          </w:p>
        </w:tc>
        <w:tc>
          <w:tcPr>
            <w:tcW w:w="2551" w:type="dxa"/>
            <w:vAlign w:val="center"/>
          </w:tcPr>
          <w:p>
            <w:pPr>
              <w:pStyle w:val="11"/>
            </w:pPr>
            <w:r>
              <w:t>304.09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152.05</w:t>
            </w:r>
          </w:p>
        </w:tc>
        <w:tc>
          <w:tcPr>
            <w:tcW w:w="2551" w:type="dxa"/>
            <w:vAlign w:val="center"/>
          </w:tcPr>
          <w:p>
            <w:pPr>
              <w:pStyle w:val="11"/>
            </w:pPr>
            <w:r>
              <w:t>152.05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154.26</w:t>
            </w:r>
          </w:p>
        </w:tc>
        <w:tc>
          <w:tcPr>
            <w:tcW w:w="2551" w:type="dxa"/>
            <w:vAlign w:val="center"/>
          </w:tcPr>
          <w:p>
            <w:pPr>
              <w:pStyle w:val="11"/>
            </w:pPr>
            <w:r>
              <w:t>154.26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22.80</w:t>
            </w:r>
          </w:p>
        </w:tc>
        <w:tc>
          <w:tcPr>
            <w:tcW w:w="2551" w:type="dxa"/>
            <w:vAlign w:val="center"/>
          </w:tcPr>
          <w:p>
            <w:pPr>
              <w:pStyle w:val="11"/>
            </w:pPr>
            <w:r>
              <w:t>22.80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256.91</w:t>
            </w:r>
          </w:p>
        </w:tc>
        <w:tc>
          <w:tcPr>
            <w:tcW w:w="2551" w:type="dxa"/>
            <w:vAlign w:val="center"/>
          </w:tcPr>
          <w:p>
            <w:pPr>
              <w:pStyle w:val="11"/>
            </w:pPr>
            <w:r>
              <w:t>256.91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152.10</w:t>
            </w:r>
          </w:p>
        </w:tc>
        <w:tc>
          <w:tcPr>
            <w:tcW w:w="2551" w:type="dxa"/>
            <w:vAlign w:val="center"/>
          </w:tcPr>
          <w:p>
            <w:pPr>
              <w:pStyle w:val="11"/>
            </w:pPr>
            <w:r>
              <w:t>152.10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1891.00</w:t>
            </w:r>
          </w:p>
        </w:tc>
        <w:tc>
          <w:tcPr>
            <w:tcW w:w="2551" w:type="dxa"/>
            <w:vAlign w:val="center"/>
          </w:tcPr>
          <w:p>
            <w:pPr>
              <w:pStyle w:val="11"/>
            </w:pPr>
            <w:r>
              <w:t>1891.00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1888.60</w:t>
            </w:r>
          </w:p>
        </w:tc>
        <w:tc>
          <w:tcPr>
            <w:tcW w:w="2551" w:type="dxa"/>
            <w:vAlign w:val="center"/>
          </w:tcPr>
          <w:p>
            <w:pPr>
              <w:pStyle w:val="11"/>
            </w:pPr>
            <w:r>
              <w:t>1888.60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136.81</w:t>
            </w:r>
          </w:p>
        </w:tc>
        <w:tc>
          <w:tcPr>
            <w:tcW w:w="2551" w:type="dxa"/>
            <w:vAlign w:val="center"/>
          </w:tcPr>
          <w:p>
            <w:pPr>
              <w:pStyle w:val="15"/>
            </w:pPr>
          </w:p>
        </w:tc>
        <w:tc>
          <w:tcPr>
            <w:tcW w:w="2551" w:type="dxa"/>
            <w:vAlign w:val="center"/>
          </w:tcPr>
          <w:p>
            <w:pPr>
              <w:pStyle w:val="15"/>
            </w:pPr>
            <w:r>
              <w:t>136.81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136.80</w:t>
            </w:r>
          </w:p>
        </w:tc>
        <w:tc>
          <w:tcPr>
            <w:tcW w:w="2551" w:type="dxa"/>
            <w:vAlign w:val="center"/>
          </w:tcPr>
          <w:p>
            <w:pPr>
              <w:pStyle w:val="11"/>
            </w:pPr>
          </w:p>
        </w:tc>
        <w:tc>
          <w:tcPr>
            <w:tcW w:w="2551" w:type="dxa"/>
            <w:vAlign w:val="center"/>
          </w:tcPr>
          <w:p>
            <w:pPr>
              <w:pStyle w:val="11"/>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136.80</w:t>
            </w:r>
          </w:p>
        </w:tc>
        <w:tc>
          <w:tcPr>
            <w:tcW w:w="2551" w:type="dxa"/>
            <w:vAlign w:val="center"/>
          </w:tcPr>
          <w:p>
            <w:pPr>
              <w:pStyle w:val="11"/>
            </w:pPr>
          </w:p>
        </w:tc>
        <w:tc>
          <w:tcPr>
            <w:tcW w:w="2551" w:type="dxa"/>
            <w:vAlign w:val="center"/>
          </w:tcPr>
          <w:p>
            <w:pPr>
              <w:pStyle w:val="11"/>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136.80</w:t>
            </w:r>
          </w:p>
        </w:tc>
        <w:tc>
          <w:tcPr>
            <w:tcW w:w="2551" w:type="dxa"/>
            <w:vAlign w:val="center"/>
          </w:tcPr>
          <w:p>
            <w:pPr>
              <w:pStyle w:val="11"/>
            </w:pPr>
          </w:p>
        </w:tc>
        <w:tc>
          <w:tcPr>
            <w:tcW w:w="2551" w:type="dxa"/>
            <w:vAlign w:val="center"/>
          </w:tcPr>
          <w:p>
            <w:pPr>
              <w:pStyle w:val="11"/>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2330498</w:t>
            </w:r>
          </w:p>
        </w:tc>
        <w:tc>
          <w:tcPr>
            <w:tcW w:w="4535" w:type="dxa"/>
            <w:vAlign w:val="center"/>
          </w:tcPr>
          <w:p>
            <w:pPr>
              <w:pStyle w:val="12"/>
            </w:pPr>
            <w:r>
              <w:t>其他地方自行试点项目收益专项债券发行费用支出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359001石家庄广播电视台本级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石家庄广播电视台本级2026年单位预算信息公开情况说明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按照《中华人民共和国预算法》、《地方预决算公开操作规程》和《关于进一步推进预算公开工作的实施意见》规定，现将石家庄广播电视台本级2026年单位预算公开如下：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根据《石家庄广播电视台职能配置、内设机构和人员编制规定》，石家庄广播电视台的主要职责是：</w:t>
      </w:r>
    </w:p>
    <w:p>
      <w:pPr>
        <w:spacing w:before="0" w:after="0" w:line="500" w:lineRule="exact"/>
        <w:ind w:firstLine="560"/>
        <w:jc w:val="left"/>
        <w:outlineLvl w:val="9"/>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highlight w:val="none"/>
        </w:rPr>
        <w:t>石家庄广播电视台为市委直属正县级事业单位，实行事业体制。主要职责是：</w:t>
      </w:r>
      <w:r>
        <w:rPr>
          <w:rFonts w:hint="eastAsia" w:ascii="Times New Roman" w:hAnsi="Times New Roman" w:eastAsia="方正仿宋_GBK" w:cs="Times New Roman"/>
          <w:color w:val="000000"/>
          <w:sz w:val="28"/>
          <w:highlight w:val="none"/>
          <w:lang w:eastAsia="zh-CN"/>
        </w:rPr>
        <w:t>宣传党的路线方针政策</w:t>
      </w:r>
      <w:r>
        <w:rPr>
          <w:rFonts w:hint="eastAsia" w:ascii="Times New Roman" w:hAnsi="Times New Roman" w:eastAsia="方正仿宋_GBK" w:cs="Times New Roman"/>
          <w:color w:val="000000"/>
          <w:sz w:val="28"/>
          <w:highlight w:val="none"/>
        </w:rPr>
        <w:t>，牢牢把握正确舆论导向，大力发展广播电视事业，</w:t>
      </w:r>
      <w:r>
        <w:rPr>
          <w:rFonts w:hint="eastAsia" w:ascii="Times New Roman" w:hAnsi="Times New Roman" w:eastAsia="方正仿宋_GBK" w:cs="Times New Roman"/>
          <w:color w:val="000000"/>
          <w:sz w:val="28"/>
          <w:highlight w:val="none"/>
          <w:lang w:eastAsia="zh-CN"/>
        </w:rPr>
        <w:t>唱响主旋律，做先进文化的传播者，促进社会经济文化发展</w:t>
      </w:r>
      <w:r>
        <w:rPr>
          <w:rFonts w:hint="eastAsia" w:ascii="Times New Roman" w:hAnsi="Times New Roman" w:eastAsia="方正仿宋_GBK" w:cs="Times New Roman"/>
          <w:color w:val="000000"/>
          <w:sz w:val="28"/>
          <w:highlight w:val="none"/>
        </w:rPr>
        <w:t>。</w:t>
      </w:r>
    </w:p>
    <w:p>
      <w:pPr>
        <w:pStyle w:val="26"/>
        <w:rPr>
          <w:highlight w:val="none"/>
        </w:rPr>
      </w:pPr>
      <w:r>
        <w:rPr>
          <w:rFonts w:hint="eastAsia" w:ascii="Times New Roman" w:hAnsi="Times New Roman" w:eastAsia="方正仿宋_GBK" w:cs="Times New Roman"/>
          <w:color w:val="000000"/>
          <w:sz w:val="28"/>
          <w:highlight w:val="none"/>
        </w:rPr>
        <w:t>石家庄广播电视台作为石家庄广电传媒集团有限公司的出资人，牢牢把握对公司重大事项的决策权、对资产配置的控制权、对宣传内容的审定权、对主要领导干部的任免权，确保广电国有资产保值增值。</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石家庄广播电视台本级</w:t>
            </w:r>
          </w:p>
        </w:tc>
        <w:tc>
          <w:tcPr>
            <w:tcW w:w="1843" w:type="dxa"/>
            <w:vAlign w:val="center"/>
          </w:tcPr>
          <w:p>
            <w:pPr>
              <w:pStyle w:val="13"/>
            </w:pPr>
            <w:r>
              <w:t>事业</w:t>
            </w:r>
          </w:p>
        </w:tc>
        <w:tc>
          <w:tcPr>
            <w:tcW w:w="2126" w:type="dxa"/>
            <w:vAlign w:val="center"/>
          </w:tcPr>
          <w:p>
            <w:pPr>
              <w:pStyle w:val="13"/>
            </w:pPr>
            <w:r>
              <w:t>正处（县）级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w:t>
      </w:r>
      <w:r>
        <w:rPr>
          <w:rFonts w:hint="eastAsia" w:ascii="Times New Roman" w:hAnsi="Times New Roman" w:eastAsia="方正仿宋_GBK" w:cs="Times New Roman"/>
          <w:color w:val="000000"/>
          <w:sz w:val="28"/>
          <w:highlight w:val="none"/>
          <w:lang w:eastAsia="zh-CN"/>
        </w:rPr>
        <w:t>单位</w:t>
      </w:r>
      <w:r>
        <w:rPr>
          <w:rFonts w:ascii="Times New Roman" w:hAnsi="Times New Roman" w:eastAsia="方正仿宋_GBK" w:cs="Times New Roman"/>
          <w:color w:val="000000"/>
          <w:sz w:val="28"/>
          <w:highlight w:val="none"/>
        </w:rPr>
        <w:t>预算的编制实行综合预算管理，即全部收入和支出都反映在预算中。石家庄广播电视台机关及所属事业单位的收支包含在部门预算中。</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1、收入说明</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lang w:val="en-US" w:eastAsia="zh-CN"/>
        </w:rPr>
        <w:t>反映本单位当年财政收入。2026年预算收入10858.1万元，其中：一般公共预算收入10721.29万元，政府性基金预算收入136.81万元，财政专户核拨收入0</w:t>
      </w:r>
      <w:r>
        <w:rPr>
          <w:rFonts w:hint="eastAsia" w:asciiTheme="minorEastAsia" w:hAnsiTheme="minorEastAsia" w:eastAsiaTheme="minorEastAsia" w:cstheme="minorEastAsia"/>
          <w:color w:val="auto"/>
          <w:sz w:val="28"/>
          <w:szCs w:val="28"/>
          <w:highlight w:val="none"/>
        </w:rPr>
        <w:t>万元，其他来源收入0万元。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2、支出说明</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收支预算总表支出栏、基本支出表、项目支出表按经济分类和支出功能分类科目编制，反映</w:t>
      </w:r>
      <w:r>
        <w:rPr>
          <w:rFonts w:hint="eastAsia" w:asciiTheme="minorEastAsia" w:hAnsiTheme="minorEastAsia" w:eastAsiaTheme="minorEastAsia" w:cstheme="minorEastAsia"/>
          <w:color w:val="auto"/>
          <w:sz w:val="28"/>
          <w:szCs w:val="28"/>
          <w:highlight w:val="none"/>
          <w:lang w:eastAsia="zh-CN"/>
        </w:rPr>
        <w:t>石家庄广播电视台</w:t>
      </w:r>
      <w:r>
        <w:rPr>
          <w:rFonts w:hint="eastAsia" w:asciiTheme="minorEastAsia" w:hAnsiTheme="minorEastAsia" w:eastAsiaTheme="minorEastAsia" w:cstheme="minorEastAsia"/>
          <w:color w:val="auto"/>
          <w:sz w:val="28"/>
          <w:szCs w:val="28"/>
          <w:highlight w:val="none"/>
        </w:rPr>
        <w:t>年度</w:t>
      </w:r>
      <w:r>
        <w:rPr>
          <w:rFonts w:hint="eastAsia" w:asciiTheme="minorEastAsia" w:hAnsiTheme="minorEastAsia" w:eastAsiaTheme="minorEastAsia" w:cstheme="minorEastAsia"/>
          <w:color w:val="auto"/>
          <w:sz w:val="28"/>
          <w:szCs w:val="28"/>
          <w:highlight w:val="none"/>
          <w:lang w:eastAsia="zh-CN"/>
        </w:rPr>
        <w:t>单位财政</w:t>
      </w:r>
      <w:r>
        <w:rPr>
          <w:rFonts w:hint="eastAsia" w:asciiTheme="minorEastAsia" w:hAnsiTheme="minorEastAsia" w:eastAsiaTheme="minorEastAsia" w:cstheme="minorEastAsia"/>
          <w:color w:val="auto"/>
          <w:sz w:val="28"/>
          <w:szCs w:val="28"/>
          <w:highlight w:val="none"/>
        </w:rPr>
        <w:t>预算中支出预算的总体情况。202</w:t>
      </w:r>
      <w:r>
        <w:rPr>
          <w:rFonts w:hint="eastAsia" w:asciiTheme="minorEastAsia" w:hAnsiTheme="minorEastAsia" w:eastAsiaTheme="minorEastAsia" w:cstheme="minorEastAsia"/>
          <w:color w:val="auto"/>
          <w:sz w:val="28"/>
          <w:szCs w:val="28"/>
          <w:highlight w:val="none"/>
          <w:lang w:val="en-US" w:eastAsia="zh-CN"/>
        </w:rPr>
        <w:t>6</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cstheme="minorEastAsia"/>
          <w:color w:val="auto"/>
          <w:sz w:val="28"/>
          <w:szCs w:val="28"/>
          <w:highlight w:val="none"/>
          <w:lang w:eastAsia="zh-CN"/>
        </w:rPr>
        <w:t>单位</w:t>
      </w:r>
      <w:r>
        <w:rPr>
          <w:rFonts w:hint="eastAsia" w:asciiTheme="minorEastAsia" w:hAnsiTheme="minorEastAsia" w:eastAsiaTheme="minorEastAsia" w:cstheme="minorEastAsia"/>
          <w:color w:val="auto"/>
          <w:sz w:val="28"/>
          <w:szCs w:val="28"/>
          <w:highlight w:val="none"/>
          <w:lang w:eastAsia="zh-CN"/>
        </w:rPr>
        <w:t>财政</w:t>
      </w:r>
      <w:r>
        <w:rPr>
          <w:rFonts w:hint="eastAsia" w:asciiTheme="minorEastAsia" w:hAnsiTheme="minorEastAsia" w:eastAsiaTheme="minorEastAsia" w:cstheme="minorEastAsia"/>
          <w:color w:val="auto"/>
          <w:sz w:val="28"/>
          <w:szCs w:val="28"/>
          <w:highlight w:val="none"/>
        </w:rPr>
        <w:t>支出预算为</w:t>
      </w:r>
      <w:r>
        <w:rPr>
          <w:rFonts w:hint="eastAsia" w:asciiTheme="minorEastAsia" w:hAnsiTheme="minorEastAsia" w:eastAsiaTheme="minorEastAsia" w:cstheme="minorEastAsia"/>
          <w:color w:val="auto"/>
          <w:sz w:val="28"/>
          <w:szCs w:val="28"/>
          <w:highlight w:val="none"/>
          <w:lang w:val="en-US" w:eastAsia="zh-CN"/>
        </w:rPr>
        <w:t>10858.1</w:t>
      </w:r>
      <w:r>
        <w:rPr>
          <w:rFonts w:hint="eastAsia" w:asciiTheme="minorEastAsia" w:hAnsiTheme="minorEastAsia" w:eastAsiaTheme="minorEastAsia" w:cstheme="minorEastAsia"/>
          <w:color w:val="auto"/>
          <w:sz w:val="28"/>
          <w:szCs w:val="28"/>
          <w:highlight w:val="none"/>
        </w:rPr>
        <w:t>万元，其中</w:t>
      </w:r>
      <w:r>
        <w:rPr>
          <w:rFonts w:hint="eastAsia" w:asciiTheme="minorEastAsia" w:hAnsiTheme="minorEastAsia" w:eastAsiaTheme="minorEastAsia" w:cstheme="minorEastAsia"/>
          <w:color w:val="auto"/>
          <w:sz w:val="28"/>
          <w:szCs w:val="28"/>
          <w:highlight w:val="none"/>
          <w:lang w:eastAsia="zh-CN"/>
        </w:rPr>
        <w:t>一般公共预算支出</w:t>
      </w:r>
      <w:r>
        <w:rPr>
          <w:rFonts w:hint="eastAsia" w:asciiTheme="minorEastAsia" w:hAnsiTheme="minorEastAsia" w:eastAsiaTheme="minorEastAsia" w:cstheme="minorEastAsia"/>
          <w:color w:val="auto"/>
          <w:sz w:val="28"/>
          <w:szCs w:val="28"/>
          <w:highlight w:val="none"/>
          <w:lang w:val="en-US" w:eastAsia="zh-CN"/>
        </w:rPr>
        <w:t>10721.29万元，政府性基金预算支出136.81万元。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default"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一般公共预算支出10721.29万元包含一般公共预算</w:t>
      </w:r>
      <w:r>
        <w:rPr>
          <w:rFonts w:hint="eastAsia" w:asciiTheme="minorEastAsia" w:hAnsiTheme="minorEastAsia" w:eastAsiaTheme="minorEastAsia" w:cstheme="minorEastAsia"/>
          <w:color w:val="auto"/>
          <w:sz w:val="28"/>
          <w:szCs w:val="28"/>
          <w:highlight w:val="none"/>
        </w:rPr>
        <w:t>基本支出</w:t>
      </w:r>
      <w:r>
        <w:rPr>
          <w:rFonts w:hint="eastAsia" w:asciiTheme="minorEastAsia" w:hAnsiTheme="minorEastAsia" w:eastAsiaTheme="minorEastAsia" w:cstheme="minorEastAsia"/>
          <w:color w:val="auto"/>
          <w:sz w:val="28"/>
          <w:szCs w:val="28"/>
          <w:highlight w:val="none"/>
          <w:lang w:val="en-US" w:eastAsia="zh-CN"/>
        </w:rPr>
        <w:t>5228.09</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w:t>
      </w:r>
      <w:r>
        <w:rPr>
          <w:rFonts w:hint="eastAsia" w:asciiTheme="minorEastAsia" w:hAnsiTheme="minorEastAsia" w:eastAsiaTheme="minorEastAsia" w:cstheme="minorEastAsia"/>
          <w:color w:val="auto"/>
          <w:sz w:val="28"/>
          <w:szCs w:val="28"/>
          <w:highlight w:val="none"/>
        </w:rPr>
        <w:t>人员经费</w:t>
      </w:r>
      <w:r>
        <w:rPr>
          <w:rFonts w:hint="eastAsia" w:asciiTheme="minorEastAsia" w:hAnsiTheme="minorEastAsia" w:eastAsiaTheme="minorEastAsia" w:cstheme="minorEastAsia"/>
          <w:color w:val="auto"/>
          <w:sz w:val="28"/>
          <w:szCs w:val="28"/>
          <w:highlight w:val="none"/>
          <w:lang w:val="en-US" w:eastAsia="zh-CN"/>
        </w:rPr>
        <w:t>5228.09</w:t>
      </w:r>
      <w:r>
        <w:rPr>
          <w:rFonts w:hint="eastAsia" w:asciiTheme="minorEastAsia" w:hAnsiTheme="minorEastAsia" w:eastAsiaTheme="minorEastAsia" w:cstheme="minorEastAsia"/>
          <w:color w:val="auto"/>
          <w:sz w:val="28"/>
          <w:szCs w:val="28"/>
          <w:highlight w:val="none"/>
        </w:rPr>
        <w:t>万元和日常公用经费</w:t>
      </w:r>
      <w:r>
        <w:rPr>
          <w:rFonts w:hint="eastAsia" w:asciiTheme="minorEastAsia" w:hAnsiTheme="minorEastAsia" w:eastAsiaTheme="minorEastAsia" w:cstheme="minorEastAsia"/>
          <w:color w:val="auto"/>
          <w:sz w:val="28"/>
          <w:szCs w:val="28"/>
          <w:highlight w:val="none"/>
          <w:lang w:val="en-US" w:eastAsia="zh-CN"/>
        </w:rPr>
        <w:t>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）和一般预算</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val="en-US" w:eastAsia="zh-CN"/>
        </w:rPr>
        <w:t>5493.2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（贷款贴息</w:t>
      </w:r>
      <w:r>
        <w:rPr>
          <w:rFonts w:hint="eastAsia" w:asciiTheme="minorEastAsia" w:hAnsiTheme="minorEastAsia" w:eastAsiaTheme="minorEastAsia" w:cstheme="minorEastAsia"/>
          <w:color w:val="auto"/>
          <w:sz w:val="28"/>
          <w:szCs w:val="28"/>
          <w:highlight w:val="none"/>
        </w:rPr>
        <w:t>5</w:t>
      </w:r>
      <w:r>
        <w:rPr>
          <w:rFonts w:hint="eastAsia" w:asciiTheme="minorEastAsia" w:hAnsiTheme="minorEastAsia" w:eastAsiaTheme="minorEastAsia" w:cstheme="minorEastAsia"/>
          <w:color w:val="auto"/>
          <w:sz w:val="28"/>
          <w:szCs w:val="28"/>
          <w:highlight w:val="none"/>
          <w:lang w:val="en-US" w:eastAsia="zh-CN"/>
        </w:rPr>
        <w:t>00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石家庄电视发射台</w:t>
      </w:r>
      <w:r>
        <w:rPr>
          <w:rFonts w:hint="eastAsia" w:asciiTheme="minorEastAsia" w:hAnsiTheme="minorEastAsia" w:eastAsiaTheme="minorEastAsia" w:cstheme="minorEastAsia"/>
          <w:color w:val="auto"/>
          <w:sz w:val="28"/>
          <w:szCs w:val="28"/>
          <w:highlight w:val="none"/>
          <w:lang w:val="en-US" w:eastAsia="zh-CN"/>
        </w:rPr>
        <w:t>31.2万元，石家庄</w:t>
      </w:r>
      <w:r>
        <w:rPr>
          <w:rFonts w:hint="eastAsia" w:asciiTheme="minorEastAsia" w:hAnsiTheme="minorEastAsia" w:eastAsiaTheme="minorEastAsia" w:cstheme="minorEastAsia"/>
          <w:color w:val="auto"/>
          <w:sz w:val="28"/>
          <w:szCs w:val="28"/>
          <w:highlight w:val="none"/>
          <w:lang w:eastAsia="zh-CN"/>
        </w:rPr>
        <w:t>中波台</w:t>
      </w:r>
      <w:r>
        <w:rPr>
          <w:rFonts w:hint="eastAsia" w:asciiTheme="minorEastAsia" w:hAnsiTheme="minorEastAsia" w:eastAsiaTheme="minorEastAsia" w:cstheme="minorEastAsia"/>
          <w:color w:val="auto"/>
          <w:sz w:val="28"/>
          <w:szCs w:val="28"/>
          <w:highlight w:val="none"/>
          <w:lang w:val="en-US" w:eastAsia="zh-CN"/>
        </w:rPr>
        <w:t>42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val="en-US" w:eastAsia="zh-CN"/>
        </w:rPr>
        <w:t>，</w:t>
      </w:r>
      <w:r>
        <w:rPr>
          <w:rFonts w:hint="eastAsia" w:asciiTheme="minorEastAsia" w:hAnsiTheme="minorEastAsia" w:eastAsiaTheme="minorEastAsia" w:cstheme="minorEastAsia"/>
          <w:color w:val="auto"/>
          <w:sz w:val="28"/>
          <w:szCs w:val="28"/>
          <w:highlight w:val="none"/>
          <w:lang w:eastAsia="zh-CN"/>
        </w:rPr>
        <w:t>融媒体建设运维经费</w:t>
      </w:r>
      <w:r>
        <w:rPr>
          <w:rFonts w:hint="eastAsia" w:asciiTheme="minorEastAsia" w:hAnsiTheme="minorEastAsia" w:eastAsiaTheme="minorEastAsia" w:cstheme="minorEastAsia"/>
          <w:color w:val="auto"/>
          <w:sz w:val="28"/>
          <w:szCs w:val="28"/>
          <w:highlight w:val="none"/>
          <w:lang w:val="en-US" w:eastAsia="zh-CN"/>
        </w:rPr>
        <w:t>560万元，公益节目运行保障费1360万元,日常运行经费3000万元）</w:t>
      </w:r>
      <w:r>
        <w:rPr>
          <w:rFonts w:hint="eastAsia" w:asciiTheme="minorEastAsia" w:hAnsiTheme="minorEastAsia" w:eastAsiaTheme="minorEastAsia" w:cstheme="minorEastAsia"/>
          <w:color w:val="auto"/>
          <w:sz w:val="28"/>
          <w:szCs w:val="28"/>
          <w:highlight w:val="none"/>
        </w:rPr>
        <w:t>。</w:t>
      </w:r>
      <w:r>
        <w:rPr>
          <w:rFonts w:hint="eastAsia" w:asciiTheme="minorEastAsia" w:hAnsiTheme="minorEastAsia" w:eastAsiaTheme="minorEastAsia" w:cstheme="minorEastAsia"/>
          <w:color w:val="auto"/>
          <w:sz w:val="28"/>
          <w:szCs w:val="28"/>
          <w:highlight w:val="none"/>
          <w:lang w:eastAsia="zh-CN"/>
        </w:rPr>
        <w:t>政府性基金预算支出</w:t>
      </w:r>
      <w:r>
        <w:rPr>
          <w:rFonts w:hint="eastAsia" w:asciiTheme="minorEastAsia" w:hAnsiTheme="minorEastAsia" w:eastAsiaTheme="minorEastAsia" w:cstheme="minorEastAsia"/>
          <w:color w:val="auto"/>
          <w:sz w:val="28"/>
          <w:szCs w:val="28"/>
          <w:highlight w:val="none"/>
          <w:lang w:val="en-US" w:eastAsia="zh-CN"/>
        </w:rPr>
        <w:t>136.81万元为债务付息支出。</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3、比上年增减情况</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202</w:t>
      </w:r>
      <w:r>
        <w:rPr>
          <w:rFonts w:hint="eastAsia" w:asciiTheme="minorEastAsia" w:hAnsiTheme="minorEastAsia" w:eastAsiaTheme="minorEastAsia" w:cstheme="minorEastAsia"/>
          <w:color w:val="auto"/>
          <w:sz w:val="28"/>
          <w:szCs w:val="28"/>
          <w:highlight w:val="none"/>
          <w:lang w:val="en-US" w:eastAsia="zh-CN"/>
        </w:rPr>
        <w:t>6</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eastAsia="zh-CN"/>
        </w:rPr>
        <w:t>单位</w:t>
      </w:r>
      <w:r>
        <w:rPr>
          <w:rFonts w:hint="eastAsia" w:asciiTheme="minorEastAsia" w:hAnsiTheme="minorEastAsia" w:eastAsiaTheme="minorEastAsia" w:cstheme="minorEastAsia"/>
          <w:color w:val="auto"/>
          <w:sz w:val="28"/>
          <w:szCs w:val="28"/>
          <w:highlight w:val="none"/>
        </w:rPr>
        <w:t>预算收支安排</w:t>
      </w:r>
      <w:r>
        <w:rPr>
          <w:rFonts w:hint="eastAsia" w:asciiTheme="minorEastAsia" w:hAnsiTheme="minorEastAsia" w:eastAsiaTheme="minorEastAsia" w:cstheme="minorEastAsia"/>
          <w:color w:val="auto"/>
          <w:sz w:val="28"/>
          <w:szCs w:val="28"/>
          <w:highlight w:val="none"/>
          <w:lang w:val="en-US" w:eastAsia="zh-CN"/>
        </w:rPr>
        <w:t>10858.1万元，</w:t>
      </w:r>
      <w:r>
        <w:rPr>
          <w:rFonts w:hint="eastAsia" w:asciiTheme="minorEastAsia" w:hAnsiTheme="minorEastAsia" w:eastAsiaTheme="minorEastAsia" w:cstheme="minorEastAsia"/>
          <w:color w:val="auto"/>
          <w:sz w:val="28"/>
          <w:szCs w:val="28"/>
          <w:highlight w:val="none"/>
        </w:rPr>
        <w:t>较20</w:t>
      </w:r>
      <w:r>
        <w:rPr>
          <w:rFonts w:hint="eastAsia" w:asciiTheme="minorEastAsia" w:hAnsiTheme="minorEastAsia" w:eastAsiaTheme="minorEastAsia" w:cstheme="minorEastAsia"/>
          <w:color w:val="auto"/>
          <w:sz w:val="28"/>
          <w:szCs w:val="28"/>
          <w:highlight w:val="none"/>
          <w:lang w:val="en-US" w:eastAsia="zh-CN"/>
        </w:rPr>
        <w:t>25</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val="en-US" w:eastAsia="zh-CN"/>
        </w:rPr>
        <w:t>13234.78减少2376.68</w:t>
      </w:r>
      <w:r>
        <w:rPr>
          <w:rFonts w:hint="eastAsia" w:asciiTheme="minorEastAsia" w:hAnsiTheme="minorEastAsia" w:eastAsiaTheme="minorEastAsia" w:cstheme="minorEastAsia"/>
          <w:color w:val="auto"/>
          <w:sz w:val="28"/>
          <w:szCs w:val="28"/>
          <w:highlight w:val="none"/>
        </w:rPr>
        <w:t>万元，其中：基本支出</w:t>
      </w:r>
      <w:r>
        <w:rPr>
          <w:rFonts w:hint="eastAsia" w:asciiTheme="minorEastAsia" w:hAnsiTheme="minorEastAsia" w:eastAsiaTheme="minorEastAsia" w:cstheme="minorEastAsia"/>
          <w:color w:val="auto"/>
          <w:sz w:val="28"/>
          <w:szCs w:val="28"/>
          <w:highlight w:val="none"/>
          <w:lang w:eastAsia="zh-CN"/>
        </w:rPr>
        <w:t>增加</w:t>
      </w:r>
      <w:r>
        <w:rPr>
          <w:rFonts w:hint="eastAsia" w:asciiTheme="minorEastAsia" w:hAnsiTheme="minorEastAsia" w:eastAsiaTheme="minorEastAsia" w:cstheme="minorEastAsia"/>
          <w:color w:val="auto"/>
          <w:sz w:val="28"/>
          <w:szCs w:val="28"/>
          <w:highlight w:val="none"/>
          <w:lang w:val="en-US" w:eastAsia="zh-CN"/>
        </w:rPr>
        <w:t>173.32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，主要为在职及退休人员均有增加</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eastAsia="zh-CN"/>
        </w:rPr>
        <w:t>减少</w:t>
      </w:r>
      <w:r>
        <w:rPr>
          <w:rFonts w:hint="eastAsia" w:asciiTheme="minorEastAsia" w:hAnsiTheme="minorEastAsia" w:eastAsiaTheme="minorEastAsia" w:cstheme="minorEastAsia"/>
          <w:color w:val="auto"/>
          <w:sz w:val="28"/>
          <w:szCs w:val="28"/>
          <w:highlight w:val="none"/>
          <w:lang w:val="en-US" w:eastAsia="zh-CN"/>
        </w:rPr>
        <w:t>2550</w:t>
      </w:r>
      <w:r>
        <w:rPr>
          <w:rFonts w:hint="eastAsia" w:asciiTheme="minorEastAsia" w:hAnsiTheme="minorEastAsia" w:eastAsiaTheme="minorEastAsia" w:cstheme="minorEastAsia"/>
          <w:color w:val="auto"/>
          <w:sz w:val="28"/>
          <w:szCs w:val="28"/>
          <w:highlight w:val="none"/>
        </w:rPr>
        <w:t>万元，主要是</w:t>
      </w:r>
      <w:r>
        <w:rPr>
          <w:rFonts w:hint="eastAsia" w:asciiTheme="minorEastAsia" w:hAnsiTheme="minorEastAsia" w:eastAsiaTheme="minorEastAsia" w:cstheme="minorEastAsia"/>
          <w:color w:val="auto"/>
          <w:sz w:val="28"/>
          <w:szCs w:val="28"/>
          <w:highlight w:val="none"/>
          <w:lang w:eastAsia="zh-CN"/>
        </w:rPr>
        <w:t>增加中波台项目</w:t>
      </w:r>
      <w:r>
        <w:rPr>
          <w:rFonts w:hint="eastAsia" w:asciiTheme="minorEastAsia" w:hAnsiTheme="minorEastAsia" w:eastAsiaTheme="minorEastAsia" w:cstheme="minorEastAsia"/>
          <w:color w:val="auto"/>
          <w:sz w:val="28"/>
          <w:szCs w:val="28"/>
          <w:highlight w:val="none"/>
          <w:lang w:val="en-US" w:eastAsia="zh-CN"/>
        </w:rPr>
        <w:t>30万元，</w:t>
      </w:r>
      <w:r>
        <w:rPr>
          <w:rFonts w:hint="eastAsia" w:ascii="宋体" w:hAnsi="宋体" w:eastAsia="宋体" w:cs="宋体"/>
          <w:color w:val="auto"/>
          <w:sz w:val="28"/>
          <w:szCs w:val="28"/>
          <w:highlight w:val="none"/>
          <w:lang w:eastAsia="zh-CN"/>
        </w:rPr>
        <w:t>减少日常运行费</w:t>
      </w:r>
      <w:r>
        <w:rPr>
          <w:rFonts w:hint="eastAsia" w:ascii="宋体" w:hAnsi="宋体" w:eastAsia="宋体" w:cs="宋体"/>
          <w:color w:val="auto"/>
          <w:sz w:val="28"/>
          <w:szCs w:val="28"/>
          <w:highlight w:val="none"/>
          <w:lang w:val="en-US" w:eastAsia="zh-CN"/>
        </w:rPr>
        <w:t>2100</w:t>
      </w:r>
      <w:r>
        <w:rPr>
          <w:rFonts w:ascii="宋体" w:hAnsi="宋体" w:eastAsia="宋体" w:cs="宋体"/>
          <w:color w:val="auto"/>
          <w:sz w:val="28"/>
          <w:szCs w:val="28"/>
          <w:highlight w:val="none"/>
        </w:rPr>
        <w:t>万元</w:t>
      </w:r>
      <w:r>
        <w:rPr>
          <w:rFonts w:hint="eastAsia" w:ascii="宋体" w:hAnsi="宋体" w:eastAsia="宋体" w:cs="宋体"/>
          <w:color w:val="auto"/>
          <w:sz w:val="28"/>
          <w:szCs w:val="28"/>
          <w:highlight w:val="none"/>
          <w:lang w:eastAsia="zh-CN"/>
        </w:rPr>
        <w:t>，公益节目运行保障费减少</w:t>
      </w:r>
      <w:r>
        <w:rPr>
          <w:rFonts w:hint="eastAsia" w:ascii="宋体" w:hAnsi="宋体" w:eastAsia="宋体" w:cs="宋体"/>
          <w:color w:val="auto"/>
          <w:sz w:val="28"/>
          <w:szCs w:val="28"/>
          <w:highlight w:val="none"/>
          <w:lang w:val="en-US" w:eastAsia="zh-CN"/>
        </w:rPr>
        <w:t>340万元，融媒体建设运维经费减少140万元</w:t>
      </w:r>
      <w:r>
        <w:rPr>
          <w:rFonts w:hint="eastAsia" w:asciiTheme="minorEastAsia" w:hAnsiTheme="minorEastAsia" w:eastAsiaTheme="minorEastAsia" w:cstheme="minorEastAsia"/>
          <w:color w:val="auto"/>
          <w:sz w:val="28"/>
          <w:szCs w:val="28"/>
          <w:highlight w:val="none"/>
          <w:lang w:val="en-US"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rPr>
          <w:rFonts w:hint="eastAsia" w:asciiTheme="minorEastAsia" w:hAnsiTheme="minorEastAsia" w:eastAsiaTheme="minorEastAsia" w:cstheme="minorEastAsia"/>
          <w:sz w:val="28"/>
          <w:szCs w:val="28"/>
          <w:highlight w:val="none"/>
          <w:lang w:eastAsia="zh-CN"/>
        </w:rPr>
      </w:pPr>
      <w:r>
        <w:rPr>
          <w:rFonts w:hint="eastAsia" w:asciiTheme="minorEastAsia" w:hAnsiTheme="minorEastAsia" w:eastAsiaTheme="minorEastAsia" w:cstheme="minorEastAsia"/>
          <w:sz w:val="28"/>
          <w:szCs w:val="28"/>
          <w:highlight w:val="none"/>
        </w:rPr>
        <w:t>202</w:t>
      </w:r>
      <w:r>
        <w:rPr>
          <w:rFonts w:hint="eastAsia" w:asciiTheme="minorEastAsia" w:hAnsiTheme="minorEastAsia" w:eastAsiaTheme="minorEastAsia" w:cstheme="minorEastAsia"/>
          <w:sz w:val="28"/>
          <w:szCs w:val="28"/>
          <w:highlight w:val="none"/>
          <w:lang w:val="en-US" w:eastAsia="zh-CN"/>
        </w:rPr>
        <w:t>6</w:t>
      </w:r>
      <w:r>
        <w:rPr>
          <w:rFonts w:hint="eastAsia" w:asciiTheme="minorEastAsia" w:hAnsiTheme="minorEastAsia" w:eastAsiaTheme="minorEastAsia" w:cstheme="minorEastAsia"/>
          <w:sz w:val="28"/>
          <w:szCs w:val="28"/>
          <w:highlight w:val="none"/>
        </w:rPr>
        <w:t>年，我</w:t>
      </w:r>
      <w:r>
        <w:rPr>
          <w:rFonts w:hint="eastAsia" w:asciiTheme="minorEastAsia" w:hAnsiTheme="minorEastAsia" w:eastAsiaTheme="minorEastAsia" w:cstheme="minorEastAsia"/>
          <w:sz w:val="28"/>
          <w:szCs w:val="28"/>
          <w:highlight w:val="none"/>
          <w:lang w:eastAsia="zh-CN"/>
        </w:rPr>
        <w:t>单位</w:t>
      </w:r>
      <w:r>
        <w:rPr>
          <w:rFonts w:hint="eastAsia" w:asciiTheme="minorEastAsia" w:hAnsiTheme="minorEastAsia" w:eastAsiaTheme="minorEastAsia" w:cstheme="minorEastAsia"/>
          <w:sz w:val="28"/>
          <w:szCs w:val="28"/>
          <w:highlight w:val="none"/>
        </w:rPr>
        <w:t>机关运行经费共计安排</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asciiTheme="minorEastAsia" w:hAnsiTheme="minorEastAsia" w:eastAsiaTheme="minorEastAsia" w:cstheme="minorEastAsia"/>
          <w:sz w:val="28"/>
          <w:szCs w:val="28"/>
          <w:highlight w:val="none"/>
          <w:lang w:eastAsia="zh-CN"/>
        </w:rPr>
        <w:t>财政未给我单位安排此项预算。</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asciiTheme="minorEastAsia" w:hAnsiTheme="minorEastAsia" w:eastAsiaTheme="minorEastAsia" w:cstheme="minorEastAsia"/>
          <w:sz w:val="28"/>
          <w:szCs w:val="28"/>
          <w:highlight w:val="none"/>
        </w:rPr>
        <w:t>202</w:t>
      </w:r>
      <w:r>
        <w:rPr>
          <w:rFonts w:hint="eastAsia" w:asciiTheme="minorEastAsia" w:hAnsiTheme="minorEastAsia" w:eastAsiaTheme="minorEastAsia" w:cstheme="minorEastAsia"/>
          <w:sz w:val="28"/>
          <w:szCs w:val="28"/>
          <w:highlight w:val="none"/>
          <w:lang w:val="en-US" w:eastAsia="zh-CN"/>
        </w:rPr>
        <w:t>6</w:t>
      </w:r>
      <w:r>
        <w:rPr>
          <w:rFonts w:hint="eastAsia" w:asciiTheme="minorEastAsia" w:hAnsiTheme="minorEastAsia" w:eastAsiaTheme="minorEastAsia" w:cstheme="minorEastAsia"/>
          <w:sz w:val="28"/>
          <w:szCs w:val="28"/>
          <w:highlight w:val="none"/>
        </w:rPr>
        <w:t>年，我</w:t>
      </w:r>
      <w:r>
        <w:rPr>
          <w:rFonts w:hint="eastAsia" w:asciiTheme="minorEastAsia" w:hAnsiTheme="minorEastAsia" w:eastAsiaTheme="minorEastAsia" w:cstheme="minorEastAsia"/>
          <w:sz w:val="28"/>
          <w:szCs w:val="28"/>
          <w:highlight w:val="none"/>
          <w:lang w:eastAsia="zh-CN"/>
        </w:rPr>
        <w:t>单位</w:t>
      </w:r>
      <w:r>
        <w:rPr>
          <w:rFonts w:hint="eastAsia" w:asciiTheme="minorEastAsia" w:hAnsiTheme="minorEastAsia" w:eastAsiaTheme="minorEastAsia" w:cstheme="minorEastAsia"/>
          <w:sz w:val="28"/>
          <w:szCs w:val="28"/>
          <w:highlight w:val="none"/>
        </w:rPr>
        <w:t>财政拨款“三公”经费预算安排</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万元，其中：因公出国（境）费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万元；公务用车购置及运维费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万元（其中：公务用车购置费0万元，公务用车运行维护费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万元)；公务接待费</w:t>
      </w:r>
      <w:r>
        <w:rPr>
          <w:rFonts w:hint="eastAsia" w:asciiTheme="minorEastAsia" w:hAnsiTheme="minorEastAsia" w:eastAsiaTheme="minorEastAsia" w:cstheme="minorEastAsia"/>
          <w:sz w:val="28"/>
          <w:szCs w:val="28"/>
          <w:highlight w:val="none"/>
          <w:lang w:val="en-US" w:eastAsia="zh-CN"/>
        </w:rPr>
        <w:t>0</w:t>
      </w:r>
      <w:r>
        <w:rPr>
          <w:rFonts w:hint="eastAsia" w:asciiTheme="minorEastAsia" w:hAnsiTheme="minorEastAsia" w:eastAsiaTheme="minorEastAsia" w:cstheme="minorEastAsia"/>
          <w:sz w:val="28"/>
          <w:szCs w:val="28"/>
          <w:highlight w:val="none"/>
        </w:rPr>
        <w:t>万元。“三公”经费与上年持平，无增减变化。</w:t>
      </w:r>
      <w:r>
        <w:rPr>
          <w:rFonts w:hint="eastAsia" w:asciiTheme="minorEastAsia" w:hAnsiTheme="minorEastAsia" w:eastAsiaTheme="minorEastAsia" w:cstheme="minorEastAsia"/>
          <w:sz w:val="28"/>
          <w:szCs w:val="28"/>
          <w:highlight w:val="none"/>
          <w:lang w:eastAsia="zh-CN"/>
        </w:rPr>
        <w:t>财政未给我单位安排此项经费预算。</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w:t>
      </w:r>
      <w:r>
        <w:rPr>
          <w:rFonts w:hint="eastAsia" w:ascii="黑体" w:hAnsi="黑体" w:eastAsia="黑体" w:cs="黑体"/>
          <w:color w:val="000000"/>
          <w:sz w:val="32"/>
          <w:lang w:eastAsia="zh-CN"/>
        </w:rPr>
        <w:t>整体</w:t>
      </w:r>
      <w:r>
        <w:rPr>
          <w:rFonts w:ascii="黑体" w:hAnsi="黑体" w:eastAsia="黑体" w:cs="黑体"/>
          <w:color w:val="000000"/>
          <w:sz w:val="32"/>
        </w:rPr>
        <w:t>绩效目标</w:t>
      </w:r>
    </w:p>
    <w:p>
      <w:pPr>
        <w:numPr>
          <w:ilvl w:val="0"/>
          <w:numId w:val="0"/>
        </w:numPr>
        <w:spacing w:before="10" w:after="10" w:line="240" w:lineRule="auto"/>
        <w:jc w:val="left"/>
        <w:outlineLvl w:val="5"/>
        <w:rPr>
          <w:rFonts w:ascii="黑体" w:hAnsi="黑体" w:eastAsia="黑体" w:cs="黑体"/>
          <w:color w:val="000000"/>
          <w:sz w:val="32"/>
        </w:rPr>
      </w:pP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keepNext w:val="0"/>
        <w:keepLines w:val="0"/>
        <w:pageBreakBefore w:val="0"/>
        <w:widowControl/>
        <w:kinsoku/>
        <w:wordWrap/>
        <w:overflowPunct/>
        <w:topLinePunct w:val="0"/>
        <w:autoSpaceDE/>
        <w:autoSpaceDN/>
        <w:bidi w:val="0"/>
        <w:adjustRightInd/>
        <w:snapToGrid/>
        <w:ind w:firstLine="561"/>
        <w:textAlignment w:val="auto"/>
      </w:pPr>
      <w:r>
        <w:rPr>
          <w:rFonts w:hint="eastAsia" w:ascii="Times New Roman" w:hAnsi="Times New Roman" w:eastAsia="方正仿宋_GBK" w:cs="Times New Roman"/>
          <w:b w:val="0"/>
          <w:color w:val="000000"/>
          <w:sz w:val="28"/>
          <w:szCs w:val="24"/>
          <w:lang w:val="en-US" w:eastAsia="uk-UA" w:bidi="ar-SA"/>
        </w:rPr>
        <w:t>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
        <w:tabs>
          <w:tab w:val="right" w:leader="dot" w:pos="9282"/>
        </w:tabs>
        <w:rPr>
          <w:rFonts w:hint="eastAsia" w:ascii="Times New Roman" w:hAnsi="Times New Roman" w:cs="Times New Roman"/>
        </w:rPr>
      </w:pPr>
      <w:r>
        <w:rPr>
          <w:rFonts w:hint="eastAsia" w:ascii="Times New Roman" w:hAnsi="Times New Roman" w:cs="Times New Roman"/>
          <w:lang w:val="en-US" w:eastAsia="zh-CN"/>
        </w:rPr>
        <w:t>1、</w:t>
      </w:r>
      <w:r>
        <w:rPr>
          <w:rFonts w:hint="eastAsia" w:ascii="Times New Roman" w:hAnsi="Times New Roman" w:cs="Times New Roman"/>
        </w:rPr>
        <w:t>广播电视节目制作播出</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绩效目标：研发新节目，打造品牌活动，媒体识别度和影响力进一步提升，收听收看群体扩大。</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绩效指标：推出特别节目，继续大力度优化节目品质，不断提升时政新闻的引导力和影响力。</w:t>
      </w:r>
    </w:p>
    <w:p>
      <w:pPr>
        <w:pStyle w:val="2"/>
        <w:tabs>
          <w:tab w:val="right" w:leader="dot" w:pos="9282"/>
        </w:tabs>
        <w:rPr>
          <w:rFonts w:hint="eastAsia" w:ascii="Times New Roman" w:hAnsi="Times New Roman" w:cs="Times New Roman"/>
        </w:rPr>
      </w:pPr>
      <w:r>
        <w:rPr>
          <w:rFonts w:hint="eastAsia" w:ascii="Times New Roman" w:hAnsi="Times New Roman" w:cs="Times New Roman"/>
          <w:lang w:val="en-US" w:eastAsia="zh-CN"/>
        </w:rPr>
        <w:t>2、</w:t>
      </w:r>
      <w:r>
        <w:rPr>
          <w:rFonts w:hint="eastAsia" w:ascii="Times New Roman" w:hAnsi="Times New Roman" w:cs="Times New Roman"/>
        </w:rPr>
        <w:t>广播电视节目制作能力建设</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绩效目标：保障安全优质播出，扩大广播电视节目覆盖，全台数字化，高清化发展程度。</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绩效指标:覆盖率大于等于85%</w:t>
      </w:r>
    </w:p>
    <w:p>
      <w:pPr>
        <w:pStyle w:val="2"/>
        <w:tabs>
          <w:tab w:val="right" w:leader="dot" w:pos="9282"/>
        </w:tabs>
        <w:rPr>
          <w:rFonts w:hint="eastAsia" w:ascii="Times New Roman" w:hAnsi="Times New Roman" w:cs="Times New Roman"/>
        </w:rPr>
      </w:pPr>
      <w:r>
        <w:rPr>
          <w:rFonts w:hint="eastAsia" w:ascii="Times New Roman" w:hAnsi="Times New Roman" w:cs="Times New Roman"/>
          <w:lang w:val="en-US" w:eastAsia="zh-CN"/>
        </w:rPr>
        <w:t>3、</w:t>
      </w:r>
      <w:r>
        <w:rPr>
          <w:rFonts w:hint="eastAsia" w:ascii="Times New Roman" w:hAnsi="Times New Roman" w:cs="Times New Roman"/>
        </w:rPr>
        <w:t>核心价值观宣传</w:t>
      </w:r>
    </w:p>
    <w:p>
      <w:pPr>
        <w:pStyle w:val="2"/>
        <w:tabs>
          <w:tab w:val="right" w:leader="dot" w:pos="9282"/>
        </w:tabs>
        <w:ind w:firstLine="560" w:firstLineChars="200"/>
        <w:rPr>
          <w:rFonts w:hint="eastAsia" w:ascii="Times New Roman" w:hAnsi="Times New Roman" w:eastAsia="方正仿宋_GBK" w:cs="Times New Roman"/>
          <w:lang w:eastAsia="zh-CN"/>
        </w:rPr>
      </w:pPr>
      <w:r>
        <w:rPr>
          <w:rFonts w:hint="eastAsia" w:ascii="Times New Roman" w:hAnsi="Times New Roman" w:cs="Times New Roman"/>
        </w:rPr>
        <w:t>绩效目标：传播正能量，弘扬民族精神</w:t>
      </w:r>
      <w:r>
        <w:rPr>
          <w:rFonts w:hint="eastAsia" w:cs="Times New Roman"/>
          <w:lang w:eastAsia="zh-CN"/>
        </w:rPr>
        <w:t>。</w:t>
      </w:r>
    </w:p>
    <w:p>
      <w:pPr>
        <w:pStyle w:val="2"/>
        <w:tabs>
          <w:tab w:val="right" w:leader="dot" w:pos="9282"/>
        </w:tabs>
        <w:ind w:firstLine="560" w:firstLineChars="200"/>
        <w:rPr>
          <w:rFonts w:hint="eastAsia" w:ascii="Times New Roman" w:hAnsi="Times New Roman" w:eastAsia="方正仿宋_GBK" w:cs="Times New Roman"/>
          <w:lang w:eastAsia="zh-CN"/>
        </w:rPr>
      </w:pPr>
      <w:r>
        <w:rPr>
          <w:rFonts w:hint="eastAsia" w:ascii="Times New Roman" w:hAnsi="Times New Roman" w:cs="Times New Roman"/>
        </w:rPr>
        <w:t>绩效指标：创新报道方式，提升报道质量</w:t>
      </w:r>
      <w:r>
        <w:rPr>
          <w:rFonts w:hint="eastAsia" w:cs="Times New Roman"/>
          <w:lang w:eastAsia="zh-CN"/>
        </w:rPr>
        <w:t>。</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1、</w:t>
      </w:r>
      <w:r>
        <w:rPr>
          <w:rFonts w:hint="eastAsia" w:ascii="Times New Roman" w:hAnsi="Times New Roman" w:cs="Times New Roman"/>
        </w:rPr>
        <w:t>优化支出管理。以项目预算绩效为依据，优化支出结构，预算编制做细做实，支出执行有章可循。严格履行政府采购手续，科学合理安排资金支出，为项目组织实施提供资金保障，及时支付资金，确保支出进度达标。</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2、</w:t>
      </w:r>
      <w:r>
        <w:rPr>
          <w:rFonts w:hint="eastAsia" w:ascii="Times New Roman" w:hAnsi="Times New Roman" w:cs="Times New Roman"/>
        </w:rPr>
        <w:t>加强绩效监控。按要求开展绩效运行监控，全程跟踪预算执行进度，对执行过程中发现的问题及时反馈，制定切实可行举措，保证绩效目标按期高质量完成。</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3、</w:t>
      </w:r>
      <w:r>
        <w:rPr>
          <w:rFonts w:hint="eastAsia" w:ascii="Times New Roman" w:hAnsi="Times New Roman" w:cs="Times New Roman"/>
        </w:rPr>
        <w:t>开展绩效自评。积极开展年度</w:t>
      </w:r>
      <w:r>
        <w:rPr>
          <w:rFonts w:hint="eastAsia" w:cs="Times New Roman"/>
          <w:lang w:eastAsia="zh-CN"/>
        </w:rPr>
        <w:t>单位</w:t>
      </w:r>
      <w:r>
        <w:rPr>
          <w:rFonts w:hint="eastAsia" w:ascii="Times New Roman" w:hAnsi="Times New Roman" w:cs="Times New Roman"/>
        </w:rPr>
        <w:t>绩效自评工作，在自评中发现问题并及时整改解决，开展重点项目评价工作，调整优化重大项目支出结构，提高财政资金使用效益。</w:t>
      </w:r>
    </w:p>
    <w:p>
      <w:pPr>
        <w:pStyle w:val="2"/>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4、</w:t>
      </w:r>
      <w:r>
        <w:rPr>
          <w:rFonts w:hint="eastAsia" w:ascii="Times New Roman" w:hAnsi="Times New Roman" w:cs="Times New Roman"/>
        </w:rPr>
        <w:t>加强调研实践。通过调研、座谈等方式，积极发现预算绩效管理运行过程中的具体问题，提出优化财政资金使用效益的意见建议，有效提升绩效水平。</w:t>
      </w:r>
    </w:p>
    <w:p>
      <w:pPr>
        <w:pStyle w:val="25"/>
      </w:pPr>
    </w:p>
    <w:p>
      <w:pPr>
        <w:pStyle w:val="25"/>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
    </w:p>
    <w:p>
      <w:pPr>
        <w:numPr>
          <w:ilvl w:val="0"/>
          <w:numId w:val="0"/>
        </w:numPr>
        <w:spacing w:before="10" w:after="10" w:line="360" w:lineRule="auto"/>
        <w:ind w:firstLine="643"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仿宋"/>
          <w:b/>
          <w:bCs/>
          <w:color w:val="000000"/>
          <w:sz w:val="32"/>
          <w:highlight w:val="none"/>
          <w:lang w:val="en-US" w:eastAsia="zh-CN"/>
        </w:rPr>
        <w:t>我单位无专项资金预算安排 。</w:t>
      </w: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2" w:name="_Toc_3_3_0000000016"/>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2"/>
    </w:p>
    <w:p>
      <w:pPr>
        <w:numPr>
          <w:ilvl w:val="0"/>
          <w:numId w:val="0"/>
        </w:numPr>
        <w:spacing w:before="10" w:after="10" w:line="360" w:lineRule="auto"/>
        <w:ind w:left="640" w:leftChars="0"/>
        <w:jc w:val="left"/>
        <w:outlineLvl w:val="2"/>
      </w:pPr>
      <w:r>
        <w:rPr>
          <w:rFonts w:ascii="方正仿宋_GBK" w:hAnsi="方正仿宋_GBK" w:eastAsia="方正仿宋_GBK" w:cs="方正仿宋_GBK"/>
          <w:b/>
          <w:color w:val="000000"/>
          <w:sz w:val="28"/>
        </w:rPr>
        <w:t>1、贷款贴息绩效目标表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13010026P00950510003R</w:t>
            </w:r>
          </w:p>
        </w:tc>
        <w:tc>
          <w:tcPr>
            <w:tcW w:w="2835" w:type="dxa"/>
            <w:vAlign w:val="center"/>
          </w:tcPr>
          <w:p>
            <w:pPr>
              <w:pStyle w:val="10"/>
            </w:pPr>
            <w:r>
              <w:t>项目名称</w:t>
            </w:r>
          </w:p>
        </w:tc>
        <w:tc>
          <w:tcPr>
            <w:tcW w:w="6095" w:type="dxa"/>
            <w:gridSpan w:val="3"/>
            <w:vAlign w:val="center"/>
          </w:tcPr>
          <w:p>
            <w:pPr>
              <w:pStyle w:val="12"/>
            </w:pPr>
            <w:r>
              <w:t>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拨付广电中心全年贷款利息500万元，保证资金的正常运转、避免人才流失，稳定队伍建设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1.拨付广电中心全年贷款利息500万元，保证资金的正常运转、避免人才流失，稳定队伍建设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贷款利息金额</w:t>
            </w:r>
          </w:p>
        </w:tc>
        <w:tc>
          <w:tcPr>
            <w:tcW w:w="5386" w:type="dxa"/>
            <w:vAlign w:val="center"/>
          </w:tcPr>
          <w:p>
            <w:pPr>
              <w:pStyle w:val="12"/>
            </w:pPr>
            <w:r>
              <w:t>偿还贷款利息金额</w:t>
            </w:r>
          </w:p>
        </w:tc>
        <w:tc>
          <w:tcPr>
            <w:tcW w:w="2268" w:type="dxa"/>
            <w:vAlign w:val="center"/>
          </w:tcPr>
          <w:p>
            <w:pPr>
              <w:pStyle w:val="12"/>
            </w:pPr>
            <w:r>
              <w:t>≥500万元</w:t>
            </w:r>
          </w:p>
        </w:tc>
        <w:tc>
          <w:tcPr>
            <w:tcW w:w="1276" w:type="dxa"/>
            <w:vAlign w:val="center"/>
          </w:tcPr>
          <w:p>
            <w:pPr>
              <w:pStyle w:val="12"/>
            </w:pPr>
            <w:r>
              <w:t>2025年贷款情况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归还贷款利息完成率</w:t>
            </w:r>
          </w:p>
        </w:tc>
        <w:tc>
          <w:tcPr>
            <w:tcW w:w="2268" w:type="dxa"/>
            <w:vAlign w:val="center"/>
          </w:tcPr>
          <w:p>
            <w:pPr>
              <w:pStyle w:val="12"/>
            </w:pPr>
            <w:r>
              <w:t>100%</w:t>
            </w:r>
          </w:p>
        </w:tc>
        <w:tc>
          <w:tcPr>
            <w:tcW w:w="1276" w:type="dxa"/>
            <w:vAlign w:val="center"/>
          </w:tcPr>
          <w:p>
            <w:pPr>
              <w:pStyle w:val="12"/>
            </w:pPr>
            <w:r>
              <w:t>2025年使用情况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 xml:space="preserve">归还贷款利息时间 </w:t>
            </w:r>
          </w:p>
        </w:tc>
        <w:tc>
          <w:tcPr>
            <w:tcW w:w="2268" w:type="dxa"/>
            <w:vAlign w:val="center"/>
          </w:tcPr>
          <w:p>
            <w:pPr>
              <w:pStyle w:val="12"/>
            </w:pPr>
            <w:r>
              <w:t>2026年12月31日前</w:t>
            </w:r>
          </w:p>
        </w:tc>
        <w:tc>
          <w:tcPr>
            <w:tcW w:w="1276" w:type="dxa"/>
            <w:vAlign w:val="center"/>
          </w:tcPr>
          <w:p>
            <w:pPr>
              <w:pStyle w:val="12"/>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每月贷款利息</w:t>
            </w:r>
          </w:p>
        </w:tc>
        <w:tc>
          <w:tcPr>
            <w:tcW w:w="2268" w:type="dxa"/>
            <w:vAlign w:val="center"/>
          </w:tcPr>
          <w:p>
            <w:pPr>
              <w:pStyle w:val="12"/>
            </w:pPr>
            <w:r>
              <w:t>≥41.67万元</w:t>
            </w:r>
          </w:p>
        </w:tc>
        <w:tc>
          <w:tcPr>
            <w:tcW w:w="1276" w:type="dxa"/>
            <w:vAlign w:val="center"/>
          </w:tcPr>
          <w:p>
            <w:pPr>
              <w:pStyle w:val="12"/>
            </w:pPr>
            <w:r>
              <w:t>2025年支付利息情况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违约比率</w:t>
            </w:r>
          </w:p>
        </w:tc>
        <w:tc>
          <w:tcPr>
            <w:tcW w:w="5386" w:type="dxa"/>
            <w:vAlign w:val="center"/>
          </w:tcPr>
          <w:p>
            <w:pPr>
              <w:pStyle w:val="12"/>
            </w:pPr>
            <w:r>
              <w:t>贷款利息偿还违约情况</w:t>
            </w:r>
          </w:p>
        </w:tc>
        <w:tc>
          <w:tcPr>
            <w:tcW w:w="2268" w:type="dxa"/>
            <w:vAlign w:val="center"/>
          </w:tcPr>
          <w:p>
            <w:pPr>
              <w:pStyle w:val="12"/>
            </w:pPr>
            <w:r>
              <w:t>≤1%</w:t>
            </w:r>
          </w:p>
        </w:tc>
        <w:tc>
          <w:tcPr>
            <w:tcW w:w="1276" w:type="dxa"/>
            <w:vAlign w:val="center"/>
          </w:tcPr>
          <w:p>
            <w:pPr>
              <w:pStyle w:val="12"/>
            </w:pPr>
            <w:r>
              <w:t>2025年还款情况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完成贷款任务</w:t>
            </w:r>
          </w:p>
        </w:tc>
        <w:tc>
          <w:tcPr>
            <w:tcW w:w="5386" w:type="dxa"/>
            <w:vAlign w:val="center"/>
          </w:tcPr>
          <w:p>
            <w:pPr>
              <w:pStyle w:val="12"/>
            </w:pPr>
            <w:r>
              <w:t>完成贷款偿还任务</w:t>
            </w:r>
          </w:p>
        </w:tc>
        <w:tc>
          <w:tcPr>
            <w:tcW w:w="2268" w:type="dxa"/>
            <w:vAlign w:val="center"/>
          </w:tcPr>
          <w:p>
            <w:pPr>
              <w:pStyle w:val="12"/>
            </w:pPr>
            <w:r>
              <w:t>100%</w:t>
            </w:r>
          </w:p>
        </w:tc>
        <w:tc>
          <w:tcPr>
            <w:tcW w:w="1276" w:type="dxa"/>
            <w:vAlign w:val="center"/>
          </w:tcPr>
          <w:p>
            <w:pPr>
              <w:pStyle w:val="12"/>
            </w:pPr>
            <w:r>
              <w:t>2025年偿还情况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资金压力</w:t>
            </w:r>
          </w:p>
        </w:tc>
        <w:tc>
          <w:tcPr>
            <w:tcW w:w="5386" w:type="dxa"/>
            <w:vAlign w:val="center"/>
          </w:tcPr>
          <w:p>
            <w:pPr>
              <w:pStyle w:val="12"/>
            </w:pPr>
            <w:r>
              <w:t>缓解资金压力</w:t>
            </w:r>
          </w:p>
        </w:tc>
        <w:tc>
          <w:tcPr>
            <w:tcW w:w="2268" w:type="dxa"/>
            <w:vAlign w:val="center"/>
          </w:tcPr>
          <w:p>
            <w:pPr>
              <w:pStyle w:val="12"/>
            </w:pPr>
            <w:r>
              <w:t>有效缓解台里资金压力，持续运营</w:t>
            </w:r>
          </w:p>
        </w:tc>
        <w:tc>
          <w:tcPr>
            <w:tcW w:w="1276" w:type="dxa"/>
            <w:vAlign w:val="center"/>
          </w:tcPr>
          <w:p>
            <w:pPr>
              <w:pStyle w:val="12"/>
            </w:pPr>
            <w:r>
              <w:t>2025年使用情况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金融机构满意度</w:t>
            </w:r>
          </w:p>
        </w:tc>
        <w:tc>
          <w:tcPr>
            <w:tcW w:w="5386" w:type="dxa"/>
            <w:vAlign w:val="center"/>
          </w:tcPr>
          <w:p>
            <w:pPr>
              <w:pStyle w:val="12"/>
            </w:pPr>
            <w:r>
              <w:t>金融机构满意度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2、公益节目运行保障费绩效目标表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13010026P009501100104</w:t>
            </w:r>
          </w:p>
        </w:tc>
        <w:tc>
          <w:tcPr>
            <w:tcW w:w="2835" w:type="dxa"/>
            <w:vAlign w:val="center"/>
          </w:tcPr>
          <w:p>
            <w:pPr>
              <w:pStyle w:val="10"/>
            </w:pPr>
            <w:r>
              <w:t>项目名称</w:t>
            </w:r>
          </w:p>
        </w:tc>
        <w:tc>
          <w:tcPr>
            <w:tcW w:w="6095" w:type="dxa"/>
            <w:gridSpan w:val="3"/>
            <w:vAlign w:val="center"/>
          </w:tcPr>
          <w:p>
            <w:pPr>
              <w:pStyle w:val="12"/>
            </w:pPr>
            <w:r>
              <w:t>公益节目运行保障费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1360.00</w:t>
            </w:r>
          </w:p>
        </w:tc>
        <w:tc>
          <w:tcPr>
            <w:tcW w:w="2835" w:type="dxa"/>
            <w:vAlign w:val="center"/>
          </w:tcPr>
          <w:p>
            <w:pPr>
              <w:pStyle w:val="10"/>
            </w:pPr>
            <w:r>
              <w:t>其中：财政    资金</w:t>
            </w:r>
          </w:p>
        </w:tc>
        <w:tc>
          <w:tcPr>
            <w:tcW w:w="2551" w:type="dxa"/>
            <w:vAlign w:val="center"/>
          </w:tcPr>
          <w:p>
            <w:pPr>
              <w:pStyle w:val="12"/>
            </w:pPr>
            <w:r>
              <w:t>1360.00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弥补了频道、频率支出经费不足，保障广播电视节目正常制作和播出，提高了高清设备的播出水平，保证石家庄广播电视台的正常运行。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1.弥补了频道、频率支出经费不足，保障广播电视节目正常制作和播出，提高了高清设备的播出水平，保证石家庄广播电视台的正常运行。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购买节目时长</w:t>
            </w:r>
          </w:p>
        </w:tc>
        <w:tc>
          <w:tcPr>
            <w:tcW w:w="5386" w:type="dxa"/>
            <w:vAlign w:val="center"/>
          </w:tcPr>
          <w:p>
            <w:pPr>
              <w:pStyle w:val="12"/>
            </w:pPr>
            <w:r>
              <w:t>音乐频率及交通频率购买河北佳广及石家庄畅听播出节目，且购买两档公益栏目：第一金融和大家来养生</w:t>
            </w:r>
          </w:p>
        </w:tc>
        <w:tc>
          <w:tcPr>
            <w:tcW w:w="2268" w:type="dxa"/>
            <w:vAlign w:val="center"/>
          </w:tcPr>
          <w:p>
            <w:pPr>
              <w:pStyle w:val="12"/>
            </w:pPr>
            <w:r>
              <w:t>≥1058000分钟</w:t>
            </w:r>
          </w:p>
        </w:tc>
        <w:tc>
          <w:tcPr>
            <w:tcW w:w="1276" w:type="dxa"/>
            <w:vAlign w:val="center"/>
          </w:tcPr>
          <w:p>
            <w:pPr>
              <w:pStyle w:val="12"/>
            </w:pPr>
            <w:r>
              <w:t>购买节目合同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节目制作时长</w:t>
            </w:r>
          </w:p>
        </w:tc>
        <w:tc>
          <w:tcPr>
            <w:tcW w:w="5386" w:type="dxa"/>
            <w:vAlign w:val="center"/>
          </w:tcPr>
          <w:p>
            <w:pPr>
              <w:pStyle w:val="12"/>
            </w:pPr>
            <w:r>
              <w:t>石家庄新闻类</w:t>
            </w:r>
          </w:p>
        </w:tc>
        <w:tc>
          <w:tcPr>
            <w:tcW w:w="2268" w:type="dxa"/>
            <w:vAlign w:val="center"/>
          </w:tcPr>
          <w:p>
            <w:pPr>
              <w:pStyle w:val="12"/>
            </w:pPr>
            <w:r>
              <w:t>≥40000分钟</w:t>
            </w:r>
          </w:p>
        </w:tc>
        <w:tc>
          <w:tcPr>
            <w:tcW w:w="1276" w:type="dxa"/>
            <w:vAlign w:val="center"/>
          </w:tcPr>
          <w:p>
            <w:pPr>
              <w:pStyle w:val="12"/>
            </w:pPr>
            <w:r>
              <w:t>节目制作情况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节目正常播出率</w:t>
            </w:r>
          </w:p>
        </w:tc>
        <w:tc>
          <w:tcPr>
            <w:tcW w:w="5386" w:type="dxa"/>
            <w:vAlign w:val="center"/>
          </w:tcPr>
          <w:p>
            <w:pPr>
              <w:pStyle w:val="12"/>
            </w:pPr>
            <w:r>
              <w:t>保障节目正常播出</w:t>
            </w:r>
          </w:p>
        </w:tc>
        <w:tc>
          <w:tcPr>
            <w:tcW w:w="2268" w:type="dxa"/>
            <w:vAlign w:val="center"/>
          </w:tcPr>
          <w:p>
            <w:pPr>
              <w:pStyle w:val="12"/>
            </w:pPr>
            <w:r>
              <w:t>≥90%</w:t>
            </w:r>
          </w:p>
        </w:tc>
        <w:tc>
          <w:tcPr>
            <w:tcW w:w="1276" w:type="dxa"/>
            <w:vAlign w:val="center"/>
          </w:tcPr>
          <w:p>
            <w:pPr>
              <w:pStyle w:val="12"/>
            </w:pPr>
            <w:r>
              <w:t>根据节目实际播出效果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按照节目播出要求完成任务</w:t>
            </w:r>
          </w:p>
        </w:tc>
        <w:tc>
          <w:tcPr>
            <w:tcW w:w="2268" w:type="dxa"/>
            <w:vAlign w:val="center"/>
          </w:tcPr>
          <w:p>
            <w:pPr>
              <w:pStyle w:val="12"/>
            </w:pPr>
            <w:r>
              <w:t>2026年12月31日前完成</w:t>
            </w:r>
          </w:p>
        </w:tc>
        <w:tc>
          <w:tcPr>
            <w:tcW w:w="1276" w:type="dxa"/>
            <w:vAlign w:val="center"/>
          </w:tcPr>
          <w:p>
            <w:pPr>
              <w:pStyle w:val="12"/>
            </w:pPr>
            <w:r>
              <w:t>公益节目运行保障节目播出工作计划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节目成本</w:t>
            </w:r>
          </w:p>
        </w:tc>
        <w:tc>
          <w:tcPr>
            <w:tcW w:w="5386" w:type="dxa"/>
            <w:vAlign w:val="center"/>
          </w:tcPr>
          <w:p>
            <w:pPr>
              <w:pStyle w:val="12"/>
            </w:pPr>
            <w:r>
              <w:t>公益节目购买制作成本</w:t>
            </w:r>
          </w:p>
        </w:tc>
        <w:tc>
          <w:tcPr>
            <w:tcW w:w="2268" w:type="dxa"/>
            <w:vAlign w:val="center"/>
          </w:tcPr>
          <w:p>
            <w:pPr>
              <w:pStyle w:val="12"/>
            </w:pPr>
            <w:r>
              <w:t>≤800万元</w:t>
            </w:r>
          </w:p>
        </w:tc>
        <w:tc>
          <w:tcPr>
            <w:tcW w:w="1276" w:type="dxa"/>
            <w:vAlign w:val="center"/>
          </w:tcPr>
          <w:p>
            <w:pPr>
              <w:pStyle w:val="12"/>
            </w:pPr>
            <w:r>
              <w:t>节目购买或制作合同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运行保障费</w:t>
            </w:r>
          </w:p>
        </w:tc>
        <w:tc>
          <w:tcPr>
            <w:tcW w:w="5386" w:type="dxa"/>
            <w:vAlign w:val="center"/>
          </w:tcPr>
          <w:p>
            <w:pPr>
              <w:pStyle w:val="12"/>
            </w:pPr>
            <w:r>
              <w:t>制作公益节目软硬件运行保障成本</w:t>
            </w:r>
          </w:p>
        </w:tc>
        <w:tc>
          <w:tcPr>
            <w:tcW w:w="2268" w:type="dxa"/>
            <w:vAlign w:val="center"/>
          </w:tcPr>
          <w:p>
            <w:pPr>
              <w:pStyle w:val="12"/>
            </w:pPr>
            <w:r>
              <w:t>≤560 万元</w:t>
            </w:r>
          </w:p>
        </w:tc>
        <w:tc>
          <w:tcPr>
            <w:tcW w:w="1276" w:type="dxa"/>
            <w:vAlign w:val="center"/>
          </w:tcPr>
          <w:p>
            <w:pPr>
              <w:pStyle w:val="12"/>
            </w:pPr>
            <w:r>
              <w:t>公益节目运行保障工作计划安排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保障工作正常开展，实现良好宣传效果，提升市民对市委市政府重点工作关注和支持；借助多种平台传播石家庄正能量，好声音提升城市外宣美誉度</w:t>
            </w:r>
          </w:p>
        </w:tc>
        <w:tc>
          <w:tcPr>
            <w:tcW w:w="2268" w:type="dxa"/>
            <w:vAlign w:val="center"/>
          </w:tcPr>
          <w:p>
            <w:pPr>
              <w:pStyle w:val="12"/>
            </w:pPr>
            <w:r>
              <w:t>100%</w:t>
            </w:r>
          </w:p>
        </w:tc>
        <w:tc>
          <w:tcPr>
            <w:tcW w:w="1276" w:type="dxa"/>
            <w:vAlign w:val="center"/>
          </w:tcPr>
          <w:p>
            <w:pPr>
              <w:pStyle w:val="12"/>
            </w:pPr>
            <w:r>
              <w:t>公益节目运行保障工作计划安排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形成城市宣传的良好氛围</w:t>
            </w:r>
          </w:p>
        </w:tc>
        <w:tc>
          <w:tcPr>
            <w:tcW w:w="5386" w:type="dxa"/>
            <w:vAlign w:val="center"/>
          </w:tcPr>
          <w:p>
            <w:pPr>
              <w:pStyle w:val="12"/>
            </w:pPr>
            <w:r>
              <w:t>助力打造让本地人自豪、外地人向往的魅力之城，凝聚城市向心力和吸引力</w:t>
            </w:r>
          </w:p>
        </w:tc>
        <w:tc>
          <w:tcPr>
            <w:tcW w:w="2268" w:type="dxa"/>
            <w:vAlign w:val="center"/>
          </w:tcPr>
          <w:p>
            <w:pPr>
              <w:pStyle w:val="12"/>
            </w:pPr>
            <w:r>
              <w:t>形成城市宣传的良好氛围</w:t>
            </w:r>
          </w:p>
        </w:tc>
        <w:tc>
          <w:tcPr>
            <w:tcW w:w="1276" w:type="dxa"/>
            <w:vAlign w:val="center"/>
          </w:tcPr>
          <w:p>
            <w:pPr>
              <w:pStyle w:val="12"/>
            </w:pPr>
            <w:r>
              <w:t>根据实际播出效果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留存媒资资料，节目与短视频同步传播。</w:t>
            </w:r>
          </w:p>
        </w:tc>
        <w:tc>
          <w:tcPr>
            <w:tcW w:w="5386" w:type="dxa"/>
            <w:vAlign w:val="center"/>
          </w:tcPr>
          <w:p>
            <w:pPr>
              <w:pStyle w:val="12"/>
            </w:pPr>
            <w:r>
              <w:t>记录城市更新变化过程，留存城市变迁影像档案；全媒体平台发布，形成持续的传播力、影响力</w:t>
            </w:r>
          </w:p>
        </w:tc>
        <w:tc>
          <w:tcPr>
            <w:tcW w:w="2268" w:type="dxa"/>
            <w:vAlign w:val="center"/>
          </w:tcPr>
          <w:p>
            <w:pPr>
              <w:pStyle w:val="12"/>
            </w:pPr>
            <w:r>
              <w:t>精品视频留存</w:t>
            </w:r>
          </w:p>
        </w:tc>
        <w:tc>
          <w:tcPr>
            <w:tcW w:w="1276" w:type="dxa"/>
            <w:vAlign w:val="center"/>
          </w:tcPr>
          <w:p>
            <w:pPr>
              <w:pStyle w:val="12"/>
            </w:pPr>
            <w:r>
              <w:t>资料留存及播出情况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服务群体调查中，满意和较满意的人数占全部调查人群的比率</w:t>
            </w:r>
          </w:p>
        </w:tc>
        <w:tc>
          <w:tcPr>
            <w:tcW w:w="2268" w:type="dxa"/>
            <w:vAlign w:val="center"/>
          </w:tcPr>
          <w:p>
            <w:pPr>
              <w:pStyle w:val="12"/>
            </w:pPr>
            <w:r>
              <w:t>≥90%</w:t>
            </w:r>
          </w:p>
        </w:tc>
        <w:tc>
          <w:tcPr>
            <w:tcW w:w="1276" w:type="dxa"/>
            <w:vAlign w:val="center"/>
          </w:tcPr>
          <w:p>
            <w:pPr>
              <w:pStyle w:val="12"/>
            </w:pPr>
            <w:r>
              <w:t>得到受众群体认可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3、日常运行费1绩效目标表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13010026P00950110007H</w:t>
            </w:r>
          </w:p>
        </w:tc>
        <w:tc>
          <w:tcPr>
            <w:tcW w:w="2835" w:type="dxa"/>
            <w:vAlign w:val="center"/>
          </w:tcPr>
          <w:p>
            <w:pPr>
              <w:pStyle w:val="10"/>
            </w:pPr>
            <w:r>
              <w:t>项目名称</w:t>
            </w:r>
          </w:p>
        </w:tc>
        <w:tc>
          <w:tcPr>
            <w:tcW w:w="6095" w:type="dxa"/>
            <w:gridSpan w:val="3"/>
            <w:vAlign w:val="center"/>
          </w:tcPr>
          <w:p>
            <w:pPr>
              <w:pStyle w:val="12"/>
            </w:pPr>
            <w:r>
              <w:t>日常运行费1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激励员工努力工作，保质保量完成广播电视节目制作及播出，不断提高工作质量和效率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1.激励员工努力工作，保质保量完成广播电视节目制作及播出，不断提高工作质量和效率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员工人数</w:t>
            </w:r>
          </w:p>
        </w:tc>
        <w:tc>
          <w:tcPr>
            <w:tcW w:w="5386" w:type="dxa"/>
            <w:vAlign w:val="center"/>
          </w:tcPr>
          <w:p>
            <w:pPr>
              <w:pStyle w:val="12"/>
            </w:pPr>
            <w:r>
              <w:t>办公人员</w:t>
            </w:r>
          </w:p>
        </w:tc>
        <w:tc>
          <w:tcPr>
            <w:tcW w:w="2268" w:type="dxa"/>
            <w:vAlign w:val="center"/>
          </w:tcPr>
          <w:p>
            <w:pPr>
              <w:pStyle w:val="12"/>
            </w:pPr>
            <w:r>
              <w:t>≥700人</w:t>
            </w:r>
          </w:p>
        </w:tc>
        <w:tc>
          <w:tcPr>
            <w:tcW w:w="1276" w:type="dxa"/>
            <w:vAlign w:val="center"/>
          </w:tcPr>
          <w:p>
            <w:pPr>
              <w:pStyle w:val="12"/>
            </w:pPr>
            <w:r>
              <w:t>2025年人员花名册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出勤率</w:t>
            </w:r>
          </w:p>
        </w:tc>
        <w:tc>
          <w:tcPr>
            <w:tcW w:w="5386" w:type="dxa"/>
            <w:vAlign w:val="center"/>
          </w:tcPr>
          <w:p>
            <w:pPr>
              <w:pStyle w:val="12"/>
            </w:pPr>
            <w:r>
              <w:t>员工出勤率</w:t>
            </w:r>
          </w:p>
        </w:tc>
        <w:tc>
          <w:tcPr>
            <w:tcW w:w="2268" w:type="dxa"/>
            <w:vAlign w:val="center"/>
          </w:tcPr>
          <w:p>
            <w:pPr>
              <w:pStyle w:val="12"/>
            </w:pPr>
            <w:r>
              <w:t>≥90%</w:t>
            </w:r>
          </w:p>
        </w:tc>
        <w:tc>
          <w:tcPr>
            <w:tcW w:w="1276" w:type="dxa"/>
            <w:vAlign w:val="center"/>
          </w:tcPr>
          <w:p>
            <w:pPr>
              <w:pStyle w:val="12"/>
            </w:pPr>
            <w:r>
              <w:t>2025年人员出勤情况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发放及缴纳时间</w:t>
            </w:r>
          </w:p>
        </w:tc>
        <w:tc>
          <w:tcPr>
            <w:tcW w:w="5386" w:type="dxa"/>
            <w:vAlign w:val="center"/>
          </w:tcPr>
          <w:p>
            <w:pPr>
              <w:pStyle w:val="12"/>
            </w:pPr>
            <w:r>
              <w:t>发放及缴纳费用时限</w:t>
            </w:r>
          </w:p>
        </w:tc>
        <w:tc>
          <w:tcPr>
            <w:tcW w:w="2268" w:type="dxa"/>
            <w:vAlign w:val="center"/>
          </w:tcPr>
          <w:p>
            <w:pPr>
              <w:pStyle w:val="12"/>
            </w:pPr>
            <w:r>
              <w:t>2026年12月31日前完成</w:t>
            </w:r>
          </w:p>
        </w:tc>
        <w:tc>
          <w:tcPr>
            <w:tcW w:w="1276" w:type="dxa"/>
            <w:vAlign w:val="center"/>
          </w:tcPr>
          <w:p>
            <w:pPr>
              <w:pStyle w:val="12"/>
            </w:pPr>
            <w:r>
              <w:t>2025年运行费用支出时间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平均指标</w:t>
            </w:r>
          </w:p>
        </w:tc>
        <w:tc>
          <w:tcPr>
            <w:tcW w:w="5386" w:type="dxa"/>
            <w:vAlign w:val="center"/>
          </w:tcPr>
          <w:p>
            <w:pPr>
              <w:pStyle w:val="12"/>
            </w:pPr>
            <w:r>
              <w:t>每月发放及缴纳人员费用</w:t>
            </w:r>
          </w:p>
        </w:tc>
        <w:tc>
          <w:tcPr>
            <w:tcW w:w="2268" w:type="dxa"/>
            <w:vAlign w:val="center"/>
          </w:tcPr>
          <w:p>
            <w:pPr>
              <w:pStyle w:val="12"/>
            </w:pPr>
            <w:r>
              <w:t>≥166万元</w:t>
            </w:r>
          </w:p>
        </w:tc>
        <w:tc>
          <w:tcPr>
            <w:tcW w:w="1276" w:type="dxa"/>
            <w:vAlign w:val="center"/>
          </w:tcPr>
          <w:p>
            <w:pPr>
              <w:pStyle w:val="12"/>
            </w:pPr>
            <w:r>
              <w:t>2025年人员费用报表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工作职能</w:t>
            </w:r>
          </w:p>
        </w:tc>
        <w:tc>
          <w:tcPr>
            <w:tcW w:w="5386" w:type="dxa"/>
            <w:vAlign w:val="center"/>
          </w:tcPr>
          <w:p>
            <w:pPr>
              <w:pStyle w:val="12"/>
            </w:pPr>
            <w:r>
              <w:t>每位员工工作职能正常发挥</w:t>
            </w:r>
          </w:p>
        </w:tc>
        <w:tc>
          <w:tcPr>
            <w:tcW w:w="2268" w:type="dxa"/>
            <w:vAlign w:val="center"/>
          </w:tcPr>
          <w:p>
            <w:pPr>
              <w:pStyle w:val="12"/>
            </w:pPr>
            <w:r>
              <w:t>工作有序推进，提升主流媒体影响力，拉动广告收入</w:t>
            </w:r>
          </w:p>
        </w:tc>
        <w:tc>
          <w:tcPr>
            <w:tcW w:w="1276" w:type="dxa"/>
            <w:vAlign w:val="center"/>
          </w:tcPr>
          <w:p>
            <w:pPr>
              <w:pStyle w:val="12"/>
            </w:pPr>
            <w:r>
              <w:t>2025根据各部门实际工作情况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保障工作正常进行</w:t>
            </w:r>
          </w:p>
        </w:tc>
        <w:tc>
          <w:tcPr>
            <w:tcW w:w="2268" w:type="dxa"/>
            <w:vAlign w:val="center"/>
          </w:tcPr>
          <w:p>
            <w:pPr>
              <w:pStyle w:val="12"/>
            </w:pPr>
            <w:r>
              <w:t>提高员工幸福感，进一步提升我市形象和美誉度</w:t>
            </w:r>
          </w:p>
        </w:tc>
        <w:tc>
          <w:tcPr>
            <w:tcW w:w="1276" w:type="dxa"/>
            <w:vAlign w:val="center"/>
          </w:tcPr>
          <w:p>
            <w:pPr>
              <w:pStyle w:val="12"/>
            </w:pPr>
            <w:r>
              <w:t>2025各部门实际工作情况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办公员工满意度</w:t>
            </w:r>
          </w:p>
        </w:tc>
        <w:tc>
          <w:tcPr>
            <w:tcW w:w="2268" w:type="dxa"/>
            <w:vAlign w:val="center"/>
          </w:tcPr>
          <w:p>
            <w:pPr>
              <w:pStyle w:val="12"/>
            </w:pPr>
            <w:r>
              <w:t>≥90%</w:t>
            </w:r>
          </w:p>
        </w:tc>
        <w:tc>
          <w:tcPr>
            <w:tcW w:w="1276" w:type="dxa"/>
            <w:vAlign w:val="center"/>
          </w:tcPr>
          <w:p>
            <w:pPr>
              <w:pStyle w:val="12"/>
            </w:pPr>
            <w:r>
              <w:t>得到员工认可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4、日常运行费2绩效目标表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13010026P009501100085</w:t>
            </w:r>
          </w:p>
        </w:tc>
        <w:tc>
          <w:tcPr>
            <w:tcW w:w="2835" w:type="dxa"/>
            <w:vAlign w:val="center"/>
          </w:tcPr>
          <w:p>
            <w:pPr>
              <w:pStyle w:val="10"/>
            </w:pPr>
            <w:r>
              <w:t>项目名称</w:t>
            </w:r>
          </w:p>
        </w:tc>
        <w:tc>
          <w:tcPr>
            <w:tcW w:w="6095" w:type="dxa"/>
            <w:gridSpan w:val="3"/>
            <w:vAlign w:val="center"/>
          </w:tcPr>
          <w:p>
            <w:pPr>
              <w:pStyle w:val="12"/>
            </w:pPr>
            <w:r>
              <w:t>日常运行费2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对广电中心大楼进行维修维护，保障电视台正常运转，把握正确舆论导向，把党和国家方针政策通过广播电视宣传，送到每个观众的身边。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1.对广电中心大楼及电视塔进行维修维护，保障电视台正常运转，把握正确舆论导向，把党和国家方针政策通过广播电视宣传，送到每个观众的身边。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办公场地</w:t>
            </w:r>
          </w:p>
        </w:tc>
        <w:tc>
          <w:tcPr>
            <w:tcW w:w="5386" w:type="dxa"/>
            <w:vAlign w:val="center"/>
          </w:tcPr>
          <w:p>
            <w:pPr>
              <w:pStyle w:val="12"/>
            </w:pPr>
            <w:r>
              <w:t>广电中心大楼及电视塔</w:t>
            </w:r>
          </w:p>
        </w:tc>
        <w:tc>
          <w:tcPr>
            <w:tcW w:w="2268" w:type="dxa"/>
            <w:vAlign w:val="center"/>
          </w:tcPr>
          <w:p>
            <w:pPr>
              <w:pStyle w:val="12"/>
            </w:pPr>
            <w:r>
              <w:t>≥1个</w:t>
            </w:r>
          </w:p>
        </w:tc>
        <w:tc>
          <w:tcPr>
            <w:tcW w:w="1276" w:type="dxa"/>
            <w:vAlign w:val="center"/>
          </w:tcPr>
          <w:p>
            <w:pPr>
              <w:pStyle w:val="12"/>
            </w:pPr>
            <w:r>
              <w:t>实际办公场所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正常使用情况</w:t>
            </w:r>
          </w:p>
        </w:tc>
        <w:tc>
          <w:tcPr>
            <w:tcW w:w="5386" w:type="dxa"/>
            <w:vAlign w:val="center"/>
          </w:tcPr>
          <w:p>
            <w:pPr>
              <w:pStyle w:val="12"/>
            </w:pPr>
            <w:r>
              <w:t>房屋正常使用率</w:t>
            </w:r>
          </w:p>
        </w:tc>
        <w:tc>
          <w:tcPr>
            <w:tcW w:w="2268" w:type="dxa"/>
            <w:vAlign w:val="center"/>
          </w:tcPr>
          <w:p>
            <w:pPr>
              <w:pStyle w:val="12"/>
            </w:pPr>
            <w:r>
              <w:t>≥90%</w:t>
            </w:r>
          </w:p>
        </w:tc>
        <w:tc>
          <w:tcPr>
            <w:tcW w:w="1276" w:type="dxa"/>
            <w:vAlign w:val="center"/>
          </w:tcPr>
          <w:p>
            <w:pPr>
              <w:pStyle w:val="12"/>
            </w:pPr>
            <w:r>
              <w:t>维修维护保障办公正常进行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按照工作时限要求完成任务</w:t>
            </w:r>
          </w:p>
        </w:tc>
        <w:tc>
          <w:tcPr>
            <w:tcW w:w="2268" w:type="dxa"/>
            <w:vAlign w:val="center"/>
          </w:tcPr>
          <w:p>
            <w:pPr>
              <w:pStyle w:val="12"/>
            </w:pPr>
            <w:r>
              <w:t>2026年12月31日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能源费用</w:t>
            </w:r>
          </w:p>
        </w:tc>
        <w:tc>
          <w:tcPr>
            <w:tcW w:w="5386" w:type="dxa"/>
            <w:vAlign w:val="center"/>
          </w:tcPr>
          <w:p>
            <w:pPr>
              <w:pStyle w:val="12"/>
            </w:pPr>
            <w:r>
              <w:t>水费、电费、暖气费等能源费用</w:t>
            </w:r>
          </w:p>
        </w:tc>
        <w:tc>
          <w:tcPr>
            <w:tcW w:w="2268" w:type="dxa"/>
            <w:vAlign w:val="center"/>
          </w:tcPr>
          <w:p>
            <w:pPr>
              <w:pStyle w:val="12"/>
            </w:pPr>
            <w:r>
              <w:t>≤200万元</w:t>
            </w:r>
          </w:p>
        </w:tc>
        <w:tc>
          <w:tcPr>
            <w:tcW w:w="1276" w:type="dxa"/>
            <w:vAlign w:val="center"/>
          </w:tcPr>
          <w:p>
            <w:pPr>
              <w:pStyle w:val="12"/>
            </w:pPr>
            <w:r>
              <w:t>2025年费用报表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服务费</w:t>
            </w:r>
          </w:p>
        </w:tc>
        <w:tc>
          <w:tcPr>
            <w:tcW w:w="5386" w:type="dxa"/>
            <w:vAlign w:val="center"/>
          </w:tcPr>
          <w:p>
            <w:pPr>
              <w:pStyle w:val="12"/>
            </w:pPr>
            <w:r>
              <w:t>保洁、安保、维修、维护、服务及制作等费用</w:t>
            </w:r>
          </w:p>
        </w:tc>
        <w:tc>
          <w:tcPr>
            <w:tcW w:w="2268" w:type="dxa"/>
            <w:vAlign w:val="center"/>
          </w:tcPr>
          <w:p>
            <w:pPr>
              <w:pStyle w:val="12"/>
            </w:pPr>
            <w:r>
              <w:t>≤500万元</w:t>
            </w:r>
          </w:p>
        </w:tc>
        <w:tc>
          <w:tcPr>
            <w:tcW w:w="1276" w:type="dxa"/>
            <w:vAlign w:val="center"/>
          </w:tcPr>
          <w:p>
            <w:pPr>
              <w:pStyle w:val="12"/>
            </w:pPr>
            <w:r>
              <w:t>2025年费用报表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日常支出</w:t>
            </w:r>
          </w:p>
        </w:tc>
        <w:tc>
          <w:tcPr>
            <w:tcW w:w="5386" w:type="dxa"/>
            <w:vAlign w:val="center"/>
          </w:tcPr>
          <w:p>
            <w:pPr>
              <w:pStyle w:val="12"/>
            </w:pPr>
            <w:r>
              <w:t>其他日常费用</w:t>
            </w:r>
          </w:p>
        </w:tc>
        <w:tc>
          <w:tcPr>
            <w:tcW w:w="2268" w:type="dxa"/>
            <w:vAlign w:val="center"/>
          </w:tcPr>
          <w:p>
            <w:pPr>
              <w:pStyle w:val="12"/>
            </w:pPr>
            <w:r>
              <w:t>≥300万元</w:t>
            </w:r>
          </w:p>
        </w:tc>
        <w:tc>
          <w:tcPr>
            <w:tcW w:w="1276" w:type="dxa"/>
            <w:vAlign w:val="center"/>
          </w:tcPr>
          <w:p>
            <w:pPr>
              <w:pStyle w:val="12"/>
            </w:pPr>
            <w:r>
              <w:t>2025年费用报表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保障广电大楼和电视塔正常运行</w:t>
            </w:r>
          </w:p>
        </w:tc>
        <w:tc>
          <w:tcPr>
            <w:tcW w:w="2268" w:type="dxa"/>
            <w:vAlign w:val="center"/>
          </w:tcPr>
          <w:p>
            <w:pPr>
              <w:pStyle w:val="12"/>
            </w:pPr>
            <w:r>
              <w:t>≥90%</w:t>
            </w:r>
          </w:p>
        </w:tc>
        <w:tc>
          <w:tcPr>
            <w:tcW w:w="1276" w:type="dxa"/>
            <w:vAlign w:val="center"/>
          </w:tcPr>
          <w:p>
            <w:pPr>
              <w:pStyle w:val="12"/>
            </w:pPr>
            <w:r>
              <w:t>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办公满意度指数</w:t>
            </w:r>
          </w:p>
        </w:tc>
        <w:tc>
          <w:tcPr>
            <w:tcW w:w="5386" w:type="dxa"/>
            <w:vAlign w:val="center"/>
          </w:tcPr>
          <w:p>
            <w:pPr>
              <w:pStyle w:val="12"/>
            </w:pPr>
            <w:r>
              <w:t>办公人员满意度</w:t>
            </w:r>
          </w:p>
        </w:tc>
        <w:tc>
          <w:tcPr>
            <w:tcW w:w="2268" w:type="dxa"/>
            <w:vAlign w:val="center"/>
          </w:tcPr>
          <w:p>
            <w:pPr>
              <w:pStyle w:val="12"/>
            </w:pPr>
            <w:r>
              <w:t>≥90%</w:t>
            </w:r>
          </w:p>
        </w:tc>
        <w:tc>
          <w:tcPr>
            <w:tcW w:w="1276" w:type="dxa"/>
            <w:vAlign w:val="center"/>
          </w:tcPr>
          <w:p>
            <w:pPr>
              <w:pStyle w:val="12"/>
            </w:pPr>
            <w:r>
              <w:t>办公人员认可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5、融媒体建设运维经费绩效目标表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13010026P00965010007P</w:t>
            </w:r>
          </w:p>
        </w:tc>
        <w:tc>
          <w:tcPr>
            <w:tcW w:w="2835" w:type="dxa"/>
            <w:vAlign w:val="center"/>
          </w:tcPr>
          <w:p>
            <w:pPr>
              <w:pStyle w:val="10"/>
            </w:pPr>
            <w:r>
              <w:t>项目名称</w:t>
            </w:r>
          </w:p>
        </w:tc>
        <w:tc>
          <w:tcPr>
            <w:tcW w:w="6095" w:type="dxa"/>
            <w:gridSpan w:val="3"/>
            <w:vAlign w:val="center"/>
          </w:tcPr>
          <w:p>
            <w:pPr>
              <w:pStyle w:val="12"/>
            </w:pPr>
            <w:r>
              <w:t>融媒体建设运维经费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560.00</w:t>
            </w:r>
          </w:p>
        </w:tc>
        <w:tc>
          <w:tcPr>
            <w:tcW w:w="2835" w:type="dxa"/>
            <w:vAlign w:val="center"/>
          </w:tcPr>
          <w:p>
            <w:pPr>
              <w:pStyle w:val="10"/>
            </w:pPr>
            <w:r>
              <w:t>其中：财政    资金</w:t>
            </w:r>
          </w:p>
        </w:tc>
        <w:tc>
          <w:tcPr>
            <w:tcW w:w="2551" w:type="dxa"/>
            <w:vAlign w:val="center"/>
          </w:tcPr>
          <w:p>
            <w:pPr>
              <w:pStyle w:val="12"/>
            </w:pPr>
            <w:r>
              <w:t>560.00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融媒体建设运行维护有利于提高创作高质量、有特色的新闻作品的能力，有利于提高舆论传播的影响力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1.融媒体建设运行维护有利于提高创作高质量、有特色的新闻作品的能力，有利于提高舆论传播的影响力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设备数量</w:t>
            </w:r>
          </w:p>
        </w:tc>
        <w:tc>
          <w:tcPr>
            <w:tcW w:w="5386" w:type="dxa"/>
            <w:vAlign w:val="center"/>
          </w:tcPr>
          <w:p>
            <w:pPr>
              <w:pStyle w:val="12"/>
            </w:pPr>
            <w:r>
              <w:t>完成播出服务器、视频剪辑工作站、AIGC视频处理工作站、图传虚拟演播室系统、专业摄录设备等系统设备数量</w:t>
            </w:r>
          </w:p>
        </w:tc>
        <w:tc>
          <w:tcPr>
            <w:tcW w:w="2268" w:type="dxa"/>
            <w:vAlign w:val="center"/>
          </w:tcPr>
          <w:p>
            <w:pPr>
              <w:pStyle w:val="12"/>
            </w:pPr>
            <w:r>
              <w:t>≥20台（套）</w:t>
            </w:r>
          </w:p>
        </w:tc>
        <w:tc>
          <w:tcPr>
            <w:tcW w:w="1276" w:type="dxa"/>
            <w:vAlign w:val="center"/>
          </w:tcPr>
          <w:p>
            <w:pPr>
              <w:pStyle w:val="12"/>
            </w:pPr>
            <w:r>
              <w:t>实际需求数量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设备故障率</w:t>
            </w:r>
          </w:p>
        </w:tc>
        <w:tc>
          <w:tcPr>
            <w:tcW w:w="5386" w:type="dxa"/>
            <w:vAlign w:val="center"/>
          </w:tcPr>
          <w:p>
            <w:pPr>
              <w:pStyle w:val="12"/>
            </w:pPr>
            <w:r>
              <w:t>设备运行中出现故障比例</w:t>
            </w:r>
          </w:p>
        </w:tc>
        <w:tc>
          <w:tcPr>
            <w:tcW w:w="2268" w:type="dxa"/>
            <w:vAlign w:val="center"/>
          </w:tcPr>
          <w:p>
            <w:pPr>
              <w:pStyle w:val="12"/>
            </w:pPr>
            <w:r>
              <w:t>≤1%</w:t>
            </w:r>
          </w:p>
        </w:tc>
        <w:tc>
          <w:tcPr>
            <w:tcW w:w="1276" w:type="dxa"/>
            <w:vAlign w:val="center"/>
          </w:tcPr>
          <w:p>
            <w:pPr>
              <w:pStyle w:val="12"/>
            </w:pPr>
            <w:r>
              <w:t>设备运行情况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安装调试时间</w:t>
            </w:r>
          </w:p>
        </w:tc>
        <w:tc>
          <w:tcPr>
            <w:tcW w:w="5386" w:type="dxa"/>
            <w:vAlign w:val="center"/>
          </w:tcPr>
          <w:p>
            <w:pPr>
              <w:pStyle w:val="12"/>
            </w:pPr>
            <w:r>
              <w:t>一年内安装调试完成</w:t>
            </w:r>
          </w:p>
        </w:tc>
        <w:tc>
          <w:tcPr>
            <w:tcW w:w="2268" w:type="dxa"/>
            <w:vAlign w:val="center"/>
          </w:tcPr>
          <w:p>
            <w:pPr>
              <w:pStyle w:val="12"/>
            </w:pPr>
            <w:r>
              <w:t>2026年12月31日前</w:t>
            </w:r>
          </w:p>
        </w:tc>
        <w:tc>
          <w:tcPr>
            <w:tcW w:w="1276" w:type="dxa"/>
            <w:vAlign w:val="center"/>
          </w:tcPr>
          <w:p>
            <w:pPr>
              <w:pStyle w:val="12"/>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网络资源成本</w:t>
            </w:r>
          </w:p>
        </w:tc>
        <w:tc>
          <w:tcPr>
            <w:tcW w:w="5386" w:type="dxa"/>
            <w:vAlign w:val="center"/>
          </w:tcPr>
          <w:p>
            <w:pPr>
              <w:pStyle w:val="12"/>
            </w:pPr>
            <w:r>
              <w:t>全媒体平台网络资源（公有云、CDN、专线）</w:t>
            </w:r>
          </w:p>
        </w:tc>
        <w:tc>
          <w:tcPr>
            <w:tcW w:w="2268" w:type="dxa"/>
            <w:vAlign w:val="center"/>
          </w:tcPr>
          <w:p>
            <w:pPr>
              <w:pStyle w:val="12"/>
            </w:pPr>
            <w:r>
              <w:t>≤164万元</w:t>
            </w:r>
          </w:p>
        </w:tc>
        <w:tc>
          <w:tcPr>
            <w:tcW w:w="1276" w:type="dxa"/>
            <w:vAlign w:val="center"/>
          </w:tcPr>
          <w:p>
            <w:pPr>
              <w:pStyle w:val="12"/>
            </w:pPr>
            <w:r>
              <w:t>2026年融媒体建设运维网络资源采购工作计划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系统建设成本</w:t>
            </w:r>
          </w:p>
        </w:tc>
        <w:tc>
          <w:tcPr>
            <w:tcW w:w="5386" w:type="dxa"/>
            <w:vAlign w:val="center"/>
          </w:tcPr>
          <w:p>
            <w:pPr>
              <w:pStyle w:val="12"/>
            </w:pPr>
            <w:r>
              <w:t>全媒体智慧平台建设</w:t>
            </w:r>
          </w:p>
        </w:tc>
        <w:tc>
          <w:tcPr>
            <w:tcW w:w="2268" w:type="dxa"/>
            <w:vAlign w:val="center"/>
          </w:tcPr>
          <w:p>
            <w:pPr>
              <w:pStyle w:val="12"/>
            </w:pPr>
            <w:r>
              <w:t>≤130万元</w:t>
            </w:r>
          </w:p>
        </w:tc>
        <w:tc>
          <w:tcPr>
            <w:tcW w:w="1276" w:type="dxa"/>
            <w:vAlign w:val="center"/>
          </w:tcPr>
          <w:p>
            <w:pPr>
              <w:pStyle w:val="12"/>
            </w:pPr>
            <w:r>
              <w:t>2026年融媒体建设运维智慧平台建设工作计划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设备采购</w:t>
            </w:r>
          </w:p>
        </w:tc>
        <w:tc>
          <w:tcPr>
            <w:tcW w:w="5386" w:type="dxa"/>
            <w:vAlign w:val="center"/>
          </w:tcPr>
          <w:p>
            <w:pPr>
              <w:pStyle w:val="12"/>
            </w:pPr>
            <w:r>
              <w:t>专业摄录设备采购</w:t>
            </w:r>
          </w:p>
        </w:tc>
        <w:tc>
          <w:tcPr>
            <w:tcW w:w="2268" w:type="dxa"/>
            <w:vAlign w:val="center"/>
          </w:tcPr>
          <w:p>
            <w:pPr>
              <w:pStyle w:val="12"/>
            </w:pPr>
            <w:r>
              <w:t>≤39万元</w:t>
            </w:r>
          </w:p>
        </w:tc>
        <w:tc>
          <w:tcPr>
            <w:tcW w:w="1276" w:type="dxa"/>
            <w:vAlign w:val="center"/>
          </w:tcPr>
          <w:p>
            <w:pPr>
              <w:pStyle w:val="12"/>
            </w:pPr>
            <w:r>
              <w:t>2026年融媒体建设运维专业设备采购工作计划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系统运维及供配电、空调系统改造</w:t>
            </w:r>
          </w:p>
        </w:tc>
        <w:tc>
          <w:tcPr>
            <w:tcW w:w="5386" w:type="dxa"/>
            <w:vAlign w:val="center"/>
          </w:tcPr>
          <w:p>
            <w:pPr>
              <w:pStyle w:val="12"/>
            </w:pPr>
            <w:r>
              <w:t>全媒体平台供配电、空调系统改造及运维</w:t>
            </w:r>
          </w:p>
        </w:tc>
        <w:tc>
          <w:tcPr>
            <w:tcW w:w="2268" w:type="dxa"/>
            <w:vAlign w:val="center"/>
          </w:tcPr>
          <w:p>
            <w:pPr>
              <w:pStyle w:val="12"/>
            </w:pPr>
            <w:r>
              <w:t>≤137万元</w:t>
            </w:r>
          </w:p>
        </w:tc>
        <w:tc>
          <w:tcPr>
            <w:tcW w:w="1276" w:type="dxa"/>
            <w:vAlign w:val="center"/>
          </w:tcPr>
          <w:p>
            <w:pPr>
              <w:pStyle w:val="12"/>
            </w:pPr>
            <w:r>
              <w:t>2026年融媒体建设运维供配电改造工作计划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网络安全</w:t>
            </w:r>
          </w:p>
        </w:tc>
        <w:tc>
          <w:tcPr>
            <w:tcW w:w="5386" w:type="dxa"/>
            <w:vAlign w:val="center"/>
          </w:tcPr>
          <w:p>
            <w:pPr>
              <w:pStyle w:val="12"/>
            </w:pPr>
            <w:r>
              <w:t>网络安全等级保护评测、技术服务及设备续保</w:t>
            </w:r>
          </w:p>
        </w:tc>
        <w:tc>
          <w:tcPr>
            <w:tcW w:w="2268" w:type="dxa"/>
            <w:vAlign w:val="center"/>
          </w:tcPr>
          <w:p>
            <w:pPr>
              <w:pStyle w:val="12"/>
            </w:pPr>
            <w:r>
              <w:t>≤90万元</w:t>
            </w:r>
          </w:p>
        </w:tc>
        <w:tc>
          <w:tcPr>
            <w:tcW w:w="1276" w:type="dxa"/>
            <w:vAlign w:val="center"/>
          </w:tcPr>
          <w:p>
            <w:pPr>
              <w:pStyle w:val="12"/>
            </w:pPr>
            <w:r>
              <w:t>2026年融媒体建设运维网络安全改造工作计划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提高点击率</w:t>
            </w:r>
          </w:p>
        </w:tc>
        <w:tc>
          <w:tcPr>
            <w:tcW w:w="5386" w:type="dxa"/>
            <w:vAlign w:val="center"/>
          </w:tcPr>
          <w:p>
            <w:pPr>
              <w:pStyle w:val="12"/>
            </w:pPr>
            <w:r>
              <w:t>沉淀用户，在互联网扩大领地，通过点击率来增加经济收入</w:t>
            </w:r>
          </w:p>
        </w:tc>
        <w:tc>
          <w:tcPr>
            <w:tcW w:w="2268" w:type="dxa"/>
            <w:vAlign w:val="center"/>
          </w:tcPr>
          <w:p>
            <w:pPr>
              <w:pStyle w:val="12"/>
            </w:pPr>
            <w:r>
              <w:t>提高节目可看性，从而提高点击率和影响力，</w:t>
            </w:r>
          </w:p>
        </w:tc>
        <w:tc>
          <w:tcPr>
            <w:tcW w:w="1276" w:type="dxa"/>
            <w:vAlign w:val="center"/>
          </w:tcPr>
          <w:p>
            <w:pPr>
              <w:pStyle w:val="12"/>
            </w:pPr>
            <w:r>
              <w:t>根据工作计划得出预期结果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工作保障率</w:t>
            </w:r>
          </w:p>
        </w:tc>
        <w:tc>
          <w:tcPr>
            <w:tcW w:w="5386" w:type="dxa"/>
            <w:vAlign w:val="center"/>
          </w:tcPr>
          <w:p>
            <w:pPr>
              <w:pStyle w:val="12"/>
            </w:pPr>
            <w:r>
              <w:t>提高新媒体点击率，为各级党委政府落实意识形态主体责任提供重要手段，也是新闻媒体推进融合发展的重要途径</w:t>
            </w:r>
          </w:p>
        </w:tc>
        <w:tc>
          <w:tcPr>
            <w:tcW w:w="2268" w:type="dxa"/>
            <w:vAlign w:val="center"/>
          </w:tcPr>
          <w:p>
            <w:pPr>
              <w:pStyle w:val="12"/>
            </w:pPr>
            <w:r>
              <w:t>100%</w:t>
            </w:r>
          </w:p>
        </w:tc>
        <w:tc>
          <w:tcPr>
            <w:tcW w:w="1276" w:type="dxa"/>
            <w:vAlign w:val="center"/>
          </w:tcPr>
          <w:p>
            <w:pPr>
              <w:pStyle w:val="12"/>
            </w:pPr>
            <w:r>
              <w:t>根据融媒体建设运维工作计划得出预期结果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通过正面新闻宣传，提高生态效益</w:t>
            </w:r>
          </w:p>
        </w:tc>
        <w:tc>
          <w:tcPr>
            <w:tcW w:w="5386" w:type="dxa"/>
            <w:vAlign w:val="center"/>
          </w:tcPr>
          <w:p>
            <w:pPr>
              <w:pStyle w:val="12"/>
            </w:pPr>
            <w:r>
              <w:t>融媒体新技术新设备的投入使用，可以帮助广大网民了解政策、反映诉求、参与政策制定、参与社会治理、解决实际问题</w:t>
            </w:r>
          </w:p>
        </w:tc>
        <w:tc>
          <w:tcPr>
            <w:tcW w:w="2268" w:type="dxa"/>
            <w:vAlign w:val="center"/>
          </w:tcPr>
          <w:p>
            <w:pPr>
              <w:pStyle w:val="12"/>
            </w:pPr>
            <w:r>
              <w:t>切实提高党的新闻舆论传播力、引导力、影响力、公信力</w:t>
            </w:r>
          </w:p>
        </w:tc>
        <w:tc>
          <w:tcPr>
            <w:tcW w:w="1276" w:type="dxa"/>
            <w:vAlign w:val="center"/>
          </w:tcPr>
          <w:p>
            <w:pPr>
              <w:pStyle w:val="12"/>
            </w:pPr>
            <w:r>
              <w:t>根据融媒体建设运维工作计划得出预期结果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提升网络舆论环境，向好的方面发展</w:t>
            </w:r>
          </w:p>
        </w:tc>
        <w:tc>
          <w:tcPr>
            <w:tcW w:w="5386" w:type="dxa"/>
            <w:vAlign w:val="center"/>
          </w:tcPr>
          <w:p>
            <w:pPr>
              <w:pStyle w:val="12"/>
            </w:pPr>
            <w:r>
              <w:t>与时俱进，随着新技术、新设备的投入使用，可提高服务能力，增加受众人群，广泛提高全社会的关注度和支持力</w:t>
            </w:r>
          </w:p>
        </w:tc>
        <w:tc>
          <w:tcPr>
            <w:tcW w:w="2268" w:type="dxa"/>
            <w:vAlign w:val="center"/>
          </w:tcPr>
          <w:p>
            <w:pPr>
              <w:pStyle w:val="12"/>
            </w:pPr>
            <w:r>
              <w:t>提高网络内容集中控制能力，形成风清气正的网络环境</w:t>
            </w:r>
          </w:p>
        </w:tc>
        <w:tc>
          <w:tcPr>
            <w:tcW w:w="1276" w:type="dxa"/>
            <w:vAlign w:val="center"/>
          </w:tcPr>
          <w:p>
            <w:pPr>
              <w:pStyle w:val="12"/>
            </w:pPr>
            <w:r>
              <w:t>根据融媒体建设运维工作计划得出预期结果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通过媒体宣传，提高观众对各级党委政府的满意度</w:t>
            </w:r>
          </w:p>
        </w:tc>
        <w:tc>
          <w:tcPr>
            <w:tcW w:w="2268" w:type="dxa"/>
            <w:vAlign w:val="center"/>
          </w:tcPr>
          <w:p>
            <w:pPr>
              <w:pStyle w:val="12"/>
            </w:pPr>
            <w:r>
              <w:t>≥90%</w:t>
            </w:r>
          </w:p>
        </w:tc>
        <w:tc>
          <w:tcPr>
            <w:tcW w:w="1276" w:type="dxa"/>
            <w:vAlign w:val="center"/>
          </w:tcPr>
          <w:p>
            <w:pPr>
              <w:pStyle w:val="12"/>
            </w:pPr>
            <w:r>
              <w:t>预期实际满意度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6、石家庄电视发射台绩效目标表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13010025P009804100029</w:t>
            </w:r>
          </w:p>
        </w:tc>
        <w:tc>
          <w:tcPr>
            <w:tcW w:w="2835" w:type="dxa"/>
            <w:vAlign w:val="center"/>
          </w:tcPr>
          <w:p>
            <w:pPr>
              <w:pStyle w:val="10"/>
            </w:pPr>
            <w:r>
              <w:t>项目名称</w:t>
            </w:r>
          </w:p>
        </w:tc>
        <w:tc>
          <w:tcPr>
            <w:tcW w:w="6095" w:type="dxa"/>
            <w:gridSpan w:val="3"/>
            <w:vAlign w:val="center"/>
          </w:tcPr>
          <w:p>
            <w:pPr>
              <w:pStyle w:val="12"/>
            </w:pPr>
            <w:r>
              <w:t>石家庄电视发射台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31.20</w:t>
            </w:r>
          </w:p>
        </w:tc>
        <w:tc>
          <w:tcPr>
            <w:tcW w:w="2835" w:type="dxa"/>
            <w:vAlign w:val="center"/>
          </w:tcPr>
          <w:p>
            <w:pPr>
              <w:pStyle w:val="10"/>
            </w:pPr>
            <w:r>
              <w:t>其中：财政    资金</w:t>
            </w:r>
          </w:p>
        </w:tc>
        <w:tc>
          <w:tcPr>
            <w:tcW w:w="2551" w:type="dxa"/>
            <w:vAlign w:val="center"/>
          </w:tcPr>
          <w:p>
            <w:pPr>
              <w:pStyle w:val="12"/>
            </w:pPr>
            <w:r>
              <w:t>31.20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两个频道作为代维播出任务，严格按照相关技术要求进行监听监看，定期对各系统进行预防性日常维护、检测、调整，确保21、32频道单频网同步播出及稳定运行；设备技术参数达到相关要求。确保地面数字电视有效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1.相关设备、设施的维护、维修、升级、改造等保障了央视地面数字电视的有效覆盖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机器数量</w:t>
            </w:r>
          </w:p>
        </w:tc>
        <w:tc>
          <w:tcPr>
            <w:tcW w:w="5386" w:type="dxa"/>
            <w:vAlign w:val="center"/>
          </w:tcPr>
          <w:p>
            <w:pPr>
              <w:pStyle w:val="12"/>
            </w:pPr>
            <w:r>
              <w:t>发射机运行维护数量</w:t>
            </w:r>
          </w:p>
          <w:p>
            <w:pPr>
              <w:pStyle w:val="12"/>
            </w:pPr>
          </w:p>
        </w:tc>
        <w:tc>
          <w:tcPr>
            <w:tcW w:w="2268" w:type="dxa"/>
            <w:vAlign w:val="center"/>
          </w:tcPr>
          <w:p>
            <w:pPr>
              <w:pStyle w:val="12"/>
            </w:pPr>
            <w:r>
              <w:t>2台</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满时间功率</w:t>
            </w:r>
          </w:p>
        </w:tc>
        <w:tc>
          <w:tcPr>
            <w:tcW w:w="5386" w:type="dxa"/>
            <w:vAlign w:val="center"/>
          </w:tcPr>
          <w:p>
            <w:pPr>
              <w:pStyle w:val="12"/>
            </w:pPr>
            <w:r>
              <w:t>发射机满功率满调制度播出率</w:t>
            </w:r>
          </w:p>
        </w:tc>
        <w:tc>
          <w:tcPr>
            <w:tcW w:w="2268" w:type="dxa"/>
            <w:vAlign w:val="center"/>
          </w:tcPr>
          <w:p>
            <w:pPr>
              <w:pStyle w:val="12"/>
            </w:pPr>
            <w:r>
              <w:t>≥95%</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全年度</w:t>
            </w:r>
          </w:p>
        </w:tc>
        <w:tc>
          <w:tcPr>
            <w:tcW w:w="5386" w:type="dxa"/>
            <w:vAlign w:val="center"/>
          </w:tcPr>
          <w:p>
            <w:pPr>
              <w:pStyle w:val="12"/>
            </w:pPr>
            <w:r>
              <w:t>全年保证机器设备及时维修维护</w:t>
            </w:r>
          </w:p>
        </w:tc>
        <w:tc>
          <w:tcPr>
            <w:tcW w:w="2268" w:type="dxa"/>
            <w:vAlign w:val="center"/>
          </w:tcPr>
          <w:p>
            <w:pPr>
              <w:pStyle w:val="12"/>
            </w:pPr>
            <w:r>
              <w:t>2026年12月31日前</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维修改造费</w:t>
            </w:r>
          </w:p>
        </w:tc>
        <w:tc>
          <w:tcPr>
            <w:tcW w:w="5386" w:type="dxa"/>
            <w:vAlign w:val="center"/>
          </w:tcPr>
          <w:p>
            <w:pPr>
              <w:pStyle w:val="12"/>
            </w:pPr>
            <w:r>
              <w:t>预算成本</w:t>
            </w:r>
          </w:p>
        </w:tc>
        <w:tc>
          <w:tcPr>
            <w:tcW w:w="2268" w:type="dxa"/>
            <w:vAlign w:val="center"/>
          </w:tcPr>
          <w:p>
            <w:pPr>
              <w:pStyle w:val="12"/>
            </w:pPr>
            <w:r>
              <w:t>31.2万元</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确保播出</w:t>
            </w:r>
          </w:p>
        </w:tc>
        <w:tc>
          <w:tcPr>
            <w:tcW w:w="5386" w:type="dxa"/>
            <w:vAlign w:val="center"/>
          </w:tcPr>
          <w:p>
            <w:pPr>
              <w:pStyle w:val="12"/>
            </w:pPr>
            <w:r>
              <w:t>确保完成正常播出任务</w:t>
            </w:r>
          </w:p>
        </w:tc>
        <w:tc>
          <w:tcPr>
            <w:tcW w:w="2268" w:type="dxa"/>
            <w:vAlign w:val="center"/>
          </w:tcPr>
          <w:p>
            <w:pPr>
              <w:pStyle w:val="12"/>
            </w:pPr>
            <w:r>
              <w:t>完成任务</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有效覆盖</w:t>
            </w:r>
          </w:p>
        </w:tc>
        <w:tc>
          <w:tcPr>
            <w:tcW w:w="5386" w:type="dxa"/>
            <w:vAlign w:val="center"/>
          </w:tcPr>
          <w:p>
            <w:pPr>
              <w:pStyle w:val="12"/>
            </w:pPr>
            <w:r>
              <w:t>数字电视有效覆盖</w:t>
            </w:r>
          </w:p>
        </w:tc>
        <w:tc>
          <w:tcPr>
            <w:tcW w:w="2268" w:type="dxa"/>
            <w:vAlign w:val="center"/>
          </w:tcPr>
          <w:p>
            <w:pPr>
              <w:pStyle w:val="12"/>
            </w:pPr>
            <w:r>
              <w:t>≥90%</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确保运行</w:t>
            </w:r>
          </w:p>
        </w:tc>
        <w:tc>
          <w:tcPr>
            <w:tcW w:w="5386" w:type="dxa"/>
            <w:vAlign w:val="center"/>
          </w:tcPr>
          <w:p>
            <w:pPr>
              <w:pStyle w:val="12"/>
            </w:pPr>
            <w:r>
              <w:t>确保频道良好运行</w:t>
            </w:r>
          </w:p>
        </w:tc>
        <w:tc>
          <w:tcPr>
            <w:tcW w:w="2268" w:type="dxa"/>
            <w:vAlign w:val="center"/>
          </w:tcPr>
          <w:p>
            <w:pPr>
              <w:pStyle w:val="12"/>
            </w:pPr>
            <w:r>
              <w:t>≥1年</w:t>
            </w:r>
          </w:p>
        </w:tc>
        <w:tc>
          <w:tcPr>
            <w:tcW w:w="1276" w:type="dxa"/>
            <w:vAlign w:val="center"/>
          </w:tcPr>
          <w:p>
            <w:pPr>
              <w:pStyle w:val="12"/>
            </w:pPr>
            <w:r>
              <w:t>2022-2025年平均水平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w:t>
            </w:r>
          </w:p>
        </w:tc>
        <w:tc>
          <w:tcPr>
            <w:tcW w:w="2268" w:type="dxa"/>
            <w:vAlign w:val="center"/>
          </w:tcPr>
          <w:p>
            <w:pPr>
              <w:pStyle w:val="12"/>
            </w:pPr>
            <w:r>
              <w:t>≥95%</w:t>
            </w:r>
          </w:p>
        </w:tc>
        <w:tc>
          <w:tcPr>
            <w:tcW w:w="1276" w:type="dxa"/>
            <w:vAlign w:val="center"/>
          </w:tcPr>
          <w:p>
            <w:pPr>
              <w:pStyle w:val="12"/>
            </w:pPr>
            <w:r>
              <w:t>2022-2025年平均水平</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7、石家庄广播电视台专项债券付息绩效目标表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13010026P00850910004H</w:t>
            </w:r>
          </w:p>
        </w:tc>
        <w:tc>
          <w:tcPr>
            <w:tcW w:w="2835" w:type="dxa"/>
            <w:vAlign w:val="center"/>
          </w:tcPr>
          <w:p>
            <w:pPr>
              <w:pStyle w:val="10"/>
            </w:pPr>
            <w:r>
              <w:t>项目名称</w:t>
            </w:r>
          </w:p>
        </w:tc>
        <w:tc>
          <w:tcPr>
            <w:tcW w:w="6095" w:type="dxa"/>
            <w:gridSpan w:val="3"/>
            <w:vAlign w:val="center"/>
          </w:tcPr>
          <w:p>
            <w:pPr>
              <w:pStyle w:val="12"/>
            </w:pPr>
            <w:r>
              <w:t>石家庄广播电视台专项债券付息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136.80</w:t>
            </w:r>
          </w:p>
        </w:tc>
        <w:tc>
          <w:tcPr>
            <w:tcW w:w="2835" w:type="dxa"/>
            <w:vAlign w:val="center"/>
          </w:tcPr>
          <w:p>
            <w:pPr>
              <w:pStyle w:val="10"/>
            </w:pPr>
            <w:r>
              <w:t>其中：财政    资金</w:t>
            </w:r>
          </w:p>
        </w:tc>
        <w:tc>
          <w:tcPr>
            <w:tcW w:w="2551" w:type="dxa"/>
            <w:vAlign w:val="center"/>
          </w:tcPr>
          <w:p>
            <w:pPr>
              <w:pStyle w:val="12"/>
            </w:pPr>
            <w:r>
              <w:t>136.80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专项债券利息保证了资金的正常运转，支付债券付息，提高了资金的使用效益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1.专项债券利息保证了资金的正常运转，支付债券付息，提高了资金的使用效益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分次偿还债券利息</w:t>
            </w:r>
          </w:p>
        </w:tc>
        <w:tc>
          <w:tcPr>
            <w:tcW w:w="5386" w:type="dxa"/>
            <w:vAlign w:val="center"/>
          </w:tcPr>
          <w:p>
            <w:pPr>
              <w:pStyle w:val="12"/>
            </w:pPr>
            <w:r>
              <w:t>偿还债券利息次数</w:t>
            </w:r>
          </w:p>
        </w:tc>
        <w:tc>
          <w:tcPr>
            <w:tcW w:w="2268" w:type="dxa"/>
            <w:vAlign w:val="center"/>
          </w:tcPr>
          <w:p>
            <w:pPr>
              <w:pStyle w:val="12"/>
            </w:pPr>
            <w:r>
              <w:t>≥2次</w:t>
            </w:r>
          </w:p>
        </w:tc>
        <w:tc>
          <w:tcPr>
            <w:tcW w:w="1276" w:type="dxa"/>
            <w:vAlign w:val="center"/>
          </w:tcPr>
          <w:p>
            <w:pPr>
              <w:pStyle w:val="12"/>
            </w:pPr>
            <w:r>
              <w:t>2025年偿还情况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专项债券利息支出金额</w:t>
            </w:r>
          </w:p>
        </w:tc>
        <w:tc>
          <w:tcPr>
            <w:tcW w:w="5386" w:type="dxa"/>
            <w:vAlign w:val="center"/>
          </w:tcPr>
          <w:p>
            <w:pPr>
              <w:pStyle w:val="12"/>
            </w:pPr>
            <w:r>
              <w:t>使用4000万元专项债券的利息</w:t>
            </w:r>
          </w:p>
        </w:tc>
        <w:tc>
          <w:tcPr>
            <w:tcW w:w="2268" w:type="dxa"/>
            <w:vAlign w:val="center"/>
          </w:tcPr>
          <w:p>
            <w:pPr>
              <w:pStyle w:val="12"/>
            </w:pPr>
            <w:r>
              <w:t>136.8万元</w:t>
            </w:r>
          </w:p>
        </w:tc>
        <w:tc>
          <w:tcPr>
            <w:tcW w:w="1276" w:type="dxa"/>
            <w:vAlign w:val="center"/>
          </w:tcPr>
          <w:p>
            <w:pPr>
              <w:pStyle w:val="12"/>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归还债券利息完成情况</w:t>
            </w:r>
          </w:p>
        </w:tc>
        <w:tc>
          <w:tcPr>
            <w:tcW w:w="2268" w:type="dxa"/>
            <w:vAlign w:val="center"/>
          </w:tcPr>
          <w:p>
            <w:pPr>
              <w:pStyle w:val="12"/>
            </w:pPr>
            <w:r>
              <w:t>100%</w:t>
            </w:r>
          </w:p>
        </w:tc>
        <w:tc>
          <w:tcPr>
            <w:tcW w:w="1276" w:type="dxa"/>
            <w:vAlign w:val="center"/>
          </w:tcPr>
          <w:p>
            <w:pPr>
              <w:pStyle w:val="12"/>
            </w:pPr>
            <w:r>
              <w:t>2025年实际执行情况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归还债券利息还款时间</w:t>
            </w:r>
          </w:p>
        </w:tc>
        <w:tc>
          <w:tcPr>
            <w:tcW w:w="2268" w:type="dxa"/>
            <w:vAlign w:val="center"/>
          </w:tcPr>
          <w:p>
            <w:pPr>
              <w:pStyle w:val="12"/>
            </w:pPr>
            <w:r>
              <w:t>2026年12月31日前</w:t>
            </w:r>
          </w:p>
        </w:tc>
        <w:tc>
          <w:tcPr>
            <w:tcW w:w="1276" w:type="dxa"/>
            <w:vAlign w:val="center"/>
          </w:tcPr>
          <w:p>
            <w:pPr>
              <w:pStyle w:val="12"/>
            </w:pPr>
            <w:r>
              <w:t>2025年还款时间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利息支出总额</w:t>
            </w:r>
          </w:p>
        </w:tc>
        <w:tc>
          <w:tcPr>
            <w:tcW w:w="5386" w:type="dxa"/>
            <w:vAlign w:val="center"/>
          </w:tcPr>
          <w:p>
            <w:pPr>
              <w:pStyle w:val="12"/>
            </w:pPr>
            <w:r>
              <w:t>专项债券利息支出总额</w:t>
            </w:r>
          </w:p>
        </w:tc>
        <w:tc>
          <w:tcPr>
            <w:tcW w:w="2268" w:type="dxa"/>
            <w:vAlign w:val="center"/>
          </w:tcPr>
          <w:p>
            <w:pPr>
              <w:pStyle w:val="12"/>
            </w:pPr>
            <w:r>
              <w:t>136.8万元</w:t>
            </w:r>
          </w:p>
        </w:tc>
        <w:tc>
          <w:tcPr>
            <w:tcW w:w="1276" w:type="dxa"/>
            <w:vAlign w:val="center"/>
          </w:tcPr>
          <w:p>
            <w:pPr>
              <w:pStyle w:val="12"/>
            </w:pPr>
            <w:r>
              <w:t>2025年支出情况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违约比率</w:t>
            </w:r>
          </w:p>
        </w:tc>
        <w:tc>
          <w:tcPr>
            <w:tcW w:w="5386" w:type="dxa"/>
            <w:vAlign w:val="center"/>
          </w:tcPr>
          <w:p>
            <w:pPr>
              <w:pStyle w:val="12"/>
            </w:pPr>
            <w:r>
              <w:t>专项债券利息偿还违约情况</w:t>
            </w:r>
          </w:p>
        </w:tc>
        <w:tc>
          <w:tcPr>
            <w:tcW w:w="2268" w:type="dxa"/>
            <w:vAlign w:val="center"/>
          </w:tcPr>
          <w:p>
            <w:pPr>
              <w:pStyle w:val="12"/>
            </w:pPr>
            <w:r>
              <w:t>≤1%</w:t>
            </w:r>
          </w:p>
        </w:tc>
        <w:tc>
          <w:tcPr>
            <w:tcW w:w="1276" w:type="dxa"/>
            <w:vAlign w:val="center"/>
          </w:tcPr>
          <w:p>
            <w:pPr>
              <w:pStyle w:val="12"/>
            </w:pPr>
            <w:r>
              <w:t>2025年执行情况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缓解资金压力</w:t>
            </w:r>
          </w:p>
        </w:tc>
        <w:tc>
          <w:tcPr>
            <w:tcW w:w="5386" w:type="dxa"/>
            <w:vAlign w:val="center"/>
          </w:tcPr>
          <w:p>
            <w:pPr>
              <w:pStyle w:val="12"/>
            </w:pPr>
            <w:r>
              <w:t>缓解了台里的资金压力</w:t>
            </w:r>
          </w:p>
        </w:tc>
        <w:tc>
          <w:tcPr>
            <w:tcW w:w="2268" w:type="dxa"/>
            <w:vAlign w:val="center"/>
          </w:tcPr>
          <w:p>
            <w:pPr>
              <w:pStyle w:val="12"/>
            </w:pPr>
            <w:r>
              <w:t>1年</w:t>
            </w:r>
          </w:p>
        </w:tc>
        <w:tc>
          <w:tcPr>
            <w:tcW w:w="1276" w:type="dxa"/>
            <w:vAlign w:val="center"/>
          </w:tcPr>
          <w:p>
            <w:pPr>
              <w:pStyle w:val="12"/>
            </w:pPr>
            <w:r>
              <w:t>2025年执行情况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≥90问卷调查</w:t>
            </w:r>
          </w:p>
        </w:tc>
        <w:tc>
          <w:tcPr>
            <w:tcW w:w="1276"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8、石家庄广播电视台专项债券付息服务费绩效目标表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13010026P00851010004M</w:t>
            </w:r>
          </w:p>
        </w:tc>
        <w:tc>
          <w:tcPr>
            <w:tcW w:w="2835" w:type="dxa"/>
            <w:vAlign w:val="center"/>
          </w:tcPr>
          <w:p>
            <w:pPr>
              <w:pStyle w:val="10"/>
            </w:pPr>
            <w:r>
              <w:t>项目名称</w:t>
            </w:r>
          </w:p>
        </w:tc>
        <w:tc>
          <w:tcPr>
            <w:tcW w:w="6095" w:type="dxa"/>
            <w:gridSpan w:val="3"/>
            <w:vAlign w:val="center"/>
          </w:tcPr>
          <w:p>
            <w:pPr>
              <w:pStyle w:val="12"/>
            </w:pPr>
            <w:r>
              <w:t>石家庄广播电视台专项债券付息服务费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媒体融合基础设施提升改造债券付息服务费，减轻了电视台资金压力，保障了电视台正常运行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1.媒体融合基础设施提升改造债券付息服务费，减轻了电视台资金压力，保障了电视台正常运行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分次偿还债券利息服务费</w:t>
            </w:r>
          </w:p>
        </w:tc>
        <w:tc>
          <w:tcPr>
            <w:tcW w:w="5386" w:type="dxa"/>
            <w:vAlign w:val="center"/>
          </w:tcPr>
          <w:p>
            <w:pPr>
              <w:pStyle w:val="12"/>
            </w:pPr>
            <w:r>
              <w:t>偿还债券利息服务费次数</w:t>
            </w:r>
          </w:p>
        </w:tc>
        <w:tc>
          <w:tcPr>
            <w:tcW w:w="2268" w:type="dxa"/>
            <w:vAlign w:val="center"/>
          </w:tcPr>
          <w:p>
            <w:pPr>
              <w:pStyle w:val="12"/>
            </w:pPr>
            <w:r>
              <w:t>≥2次</w:t>
            </w:r>
          </w:p>
        </w:tc>
        <w:tc>
          <w:tcPr>
            <w:tcW w:w="1276" w:type="dxa"/>
            <w:vAlign w:val="center"/>
          </w:tcPr>
          <w:p>
            <w:pPr>
              <w:pStyle w:val="12"/>
            </w:pPr>
            <w:r>
              <w:t>单位2025年还款次数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债券利息服务费金额</w:t>
            </w:r>
          </w:p>
        </w:tc>
        <w:tc>
          <w:tcPr>
            <w:tcW w:w="5386" w:type="dxa"/>
            <w:vAlign w:val="center"/>
          </w:tcPr>
          <w:p>
            <w:pPr>
              <w:pStyle w:val="12"/>
            </w:pPr>
            <w:r>
              <w:t>使用4000万元专项债券的利息服务费金额</w:t>
            </w:r>
          </w:p>
        </w:tc>
        <w:tc>
          <w:tcPr>
            <w:tcW w:w="2268" w:type="dxa"/>
            <w:vAlign w:val="center"/>
          </w:tcPr>
          <w:p>
            <w:pPr>
              <w:pStyle w:val="12"/>
            </w:pPr>
            <w:r>
              <w:t>≤100元</w:t>
            </w:r>
          </w:p>
        </w:tc>
        <w:tc>
          <w:tcPr>
            <w:tcW w:w="1276" w:type="dxa"/>
            <w:vAlign w:val="center"/>
          </w:tcPr>
          <w:p>
            <w:pPr>
              <w:pStyle w:val="12"/>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归还债券利息服务费完成情况</w:t>
            </w:r>
          </w:p>
        </w:tc>
        <w:tc>
          <w:tcPr>
            <w:tcW w:w="2268" w:type="dxa"/>
            <w:vAlign w:val="center"/>
          </w:tcPr>
          <w:p>
            <w:pPr>
              <w:pStyle w:val="12"/>
            </w:pPr>
            <w:r>
              <w:t>100%</w:t>
            </w:r>
          </w:p>
        </w:tc>
        <w:tc>
          <w:tcPr>
            <w:tcW w:w="1276" w:type="dxa"/>
            <w:vAlign w:val="center"/>
          </w:tcPr>
          <w:p>
            <w:pPr>
              <w:pStyle w:val="12"/>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归还债券利息服务费还款时间</w:t>
            </w:r>
          </w:p>
        </w:tc>
        <w:tc>
          <w:tcPr>
            <w:tcW w:w="2268" w:type="dxa"/>
            <w:vAlign w:val="center"/>
          </w:tcPr>
          <w:p>
            <w:pPr>
              <w:pStyle w:val="12"/>
            </w:pPr>
            <w:r>
              <w:t>2026年12月31日前</w:t>
            </w:r>
          </w:p>
        </w:tc>
        <w:tc>
          <w:tcPr>
            <w:tcW w:w="1276" w:type="dxa"/>
            <w:vAlign w:val="center"/>
          </w:tcPr>
          <w:p>
            <w:pPr>
              <w:pStyle w:val="12"/>
            </w:pPr>
            <w:r>
              <w:t>2025年完成情况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利息服务费支出总额</w:t>
            </w:r>
          </w:p>
        </w:tc>
        <w:tc>
          <w:tcPr>
            <w:tcW w:w="5386" w:type="dxa"/>
            <w:vAlign w:val="center"/>
          </w:tcPr>
          <w:p>
            <w:pPr>
              <w:pStyle w:val="12"/>
            </w:pPr>
            <w:r>
              <w:t>专项债券利息服务费支出总额</w:t>
            </w:r>
          </w:p>
        </w:tc>
        <w:tc>
          <w:tcPr>
            <w:tcW w:w="2268" w:type="dxa"/>
            <w:vAlign w:val="center"/>
          </w:tcPr>
          <w:p>
            <w:pPr>
              <w:pStyle w:val="12"/>
            </w:pPr>
            <w:r>
              <w:t>68.4元</w:t>
            </w:r>
          </w:p>
        </w:tc>
        <w:tc>
          <w:tcPr>
            <w:tcW w:w="1276" w:type="dxa"/>
            <w:vAlign w:val="center"/>
          </w:tcPr>
          <w:p>
            <w:pPr>
              <w:pStyle w:val="12"/>
            </w:pPr>
            <w:r>
              <w:t>2025年还款金额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债券付息服务</w:t>
            </w:r>
          </w:p>
        </w:tc>
        <w:tc>
          <w:tcPr>
            <w:tcW w:w="5386" w:type="dxa"/>
            <w:vAlign w:val="center"/>
          </w:tcPr>
          <w:p>
            <w:pPr>
              <w:pStyle w:val="12"/>
            </w:pPr>
            <w:r>
              <w:t>债券付息服务专款专用率</w:t>
            </w:r>
          </w:p>
        </w:tc>
        <w:tc>
          <w:tcPr>
            <w:tcW w:w="2268" w:type="dxa"/>
            <w:vAlign w:val="center"/>
          </w:tcPr>
          <w:p>
            <w:pPr>
              <w:pStyle w:val="12"/>
            </w:pPr>
            <w:r>
              <w:t>100%</w:t>
            </w:r>
          </w:p>
        </w:tc>
        <w:tc>
          <w:tcPr>
            <w:tcW w:w="1276" w:type="dxa"/>
            <w:vAlign w:val="center"/>
          </w:tcPr>
          <w:p>
            <w:pPr>
              <w:pStyle w:val="12"/>
            </w:pPr>
            <w:r>
              <w:t>2025年实际使用情况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促进电视台业务转型升级，媒体融合业务可持续发展</w:t>
            </w:r>
          </w:p>
        </w:tc>
        <w:tc>
          <w:tcPr>
            <w:tcW w:w="5386" w:type="dxa"/>
            <w:vAlign w:val="center"/>
          </w:tcPr>
          <w:p>
            <w:pPr>
              <w:pStyle w:val="12"/>
            </w:pPr>
            <w:r>
              <w:t>以各种形式经媒体公开发表的新闻报道</w:t>
            </w:r>
          </w:p>
        </w:tc>
        <w:tc>
          <w:tcPr>
            <w:tcW w:w="2268" w:type="dxa"/>
            <w:vAlign w:val="center"/>
          </w:tcPr>
          <w:p>
            <w:pPr>
              <w:pStyle w:val="12"/>
            </w:pPr>
            <w:r>
              <w:t>可持续使用</w:t>
            </w:r>
          </w:p>
        </w:tc>
        <w:tc>
          <w:tcPr>
            <w:tcW w:w="1276" w:type="dxa"/>
            <w:vAlign w:val="center"/>
          </w:tcPr>
          <w:p>
            <w:pPr>
              <w:pStyle w:val="12"/>
            </w:pPr>
            <w:r>
              <w:t>2025年资金使用情况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9、石家庄中波台绩效目标表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13010026P008815100049</w:t>
            </w:r>
          </w:p>
        </w:tc>
        <w:tc>
          <w:tcPr>
            <w:tcW w:w="2835" w:type="dxa"/>
            <w:vAlign w:val="center"/>
          </w:tcPr>
          <w:p>
            <w:pPr>
              <w:pStyle w:val="10"/>
            </w:pPr>
            <w:r>
              <w:t>项目名称</w:t>
            </w:r>
          </w:p>
        </w:tc>
        <w:tc>
          <w:tcPr>
            <w:tcW w:w="6095" w:type="dxa"/>
            <w:gridSpan w:val="3"/>
            <w:vAlign w:val="center"/>
          </w:tcPr>
          <w:p>
            <w:pPr>
              <w:pStyle w:val="12"/>
            </w:pPr>
            <w:r>
              <w:t>石家庄中波台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外电线缆线路更新及上划中波台运维费，确保了广播电视节目安全播出，提高了安全播出供电的保障能力及安全播出水平，减小了恶劣天气对节目播出的影响，使系统整体安全性得到进一步提升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1.外电线缆线路更新及上划中波台运维费，确保了广播电视节目安全播出，提高了安全播出供电的保障能力及安全播出水平，减小了恶劣天气对节目播出的影响，使系统整体安全性得到进一步提升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运行机器数量</w:t>
            </w:r>
          </w:p>
        </w:tc>
        <w:tc>
          <w:tcPr>
            <w:tcW w:w="5386" w:type="dxa"/>
            <w:vAlign w:val="center"/>
          </w:tcPr>
          <w:p>
            <w:pPr>
              <w:pStyle w:val="12"/>
            </w:pPr>
            <w:r>
              <w:t>发射机运行维护数量</w:t>
            </w:r>
          </w:p>
        </w:tc>
        <w:tc>
          <w:tcPr>
            <w:tcW w:w="2268" w:type="dxa"/>
            <w:vAlign w:val="center"/>
          </w:tcPr>
          <w:p>
            <w:pPr>
              <w:pStyle w:val="12"/>
            </w:pPr>
            <w:r>
              <w:t>3台</w:t>
            </w:r>
          </w:p>
        </w:tc>
        <w:tc>
          <w:tcPr>
            <w:tcW w:w="1276" w:type="dxa"/>
            <w:vAlign w:val="center"/>
          </w:tcPr>
          <w:p>
            <w:pPr>
              <w:pStyle w:val="12"/>
            </w:pPr>
            <w:r>
              <w:t>发射机运行数量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改造数量</w:t>
            </w:r>
          </w:p>
        </w:tc>
        <w:tc>
          <w:tcPr>
            <w:tcW w:w="5386" w:type="dxa"/>
            <w:vAlign w:val="center"/>
          </w:tcPr>
          <w:p>
            <w:pPr>
              <w:pStyle w:val="12"/>
            </w:pPr>
            <w:r>
              <w:t>改造线路、更新设备</w:t>
            </w:r>
          </w:p>
        </w:tc>
        <w:tc>
          <w:tcPr>
            <w:tcW w:w="2268" w:type="dxa"/>
            <w:vAlign w:val="center"/>
          </w:tcPr>
          <w:p>
            <w:pPr>
              <w:pStyle w:val="12"/>
            </w:pPr>
            <w:r>
              <w:t>≤4台（套）</w:t>
            </w:r>
          </w:p>
        </w:tc>
        <w:tc>
          <w:tcPr>
            <w:tcW w:w="1276" w:type="dxa"/>
            <w:vAlign w:val="center"/>
          </w:tcPr>
          <w:p>
            <w:pPr>
              <w:pStyle w:val="12"/>
            </w:pPr>
            <w:r>
              <w:t>实际需求数量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“三满”播出率</w:t>
            </w:r>
          </w:p>
        </w:tc>
        <w:tc>
          <w:tcPr>
            <w:tcW w:w="5386" w:type="dxa"/>
            <w:vAlign w:val="center"/>
          </w:tcPr>
          <w:p>
            <w:pPr>
              <w:pStyle w:val="12"/>
            </w:pPr>
            <w:r>
              <w:t>发射机满功率、满时间、满调制度播出率</w:t>
            </w:r>
          </w:p>
        </w:tc>
        <w:tc>
          <w:tcPr>
            <w:tcW w:w="2268" w:type="dxa"/>
            <w:vAlign w:val="center"/>
          </w:tcPr>
          <w:p>
            <w:pPr>
              <w:pStyle w:val="12"/>
            </w:pPr>
            <w:r>
              <w:t>≥95%</w:t>
            </w:r>
          </w:p>
        </w:tc>
        <w:tc>
          <w:tcPr>
            <w:tcW w:w="1276" w:type="dxa"/>
            <w:vAlign w:val="center"/>
          </w:tcPr>
          <w:p>
            <w:pPr>
              <w:pStyle w:val="12"/>
            </w:pPr>
            <w:r>
              <w:t>设备运行情况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一年以内完成</w:t>
            </w:r>
          </w:p>
        </w:tc>
        <w:tc>
          <w:tcPr>
            <w:tcW w:w="5386" w:type="dxa"/>
            <w:vAlign w:val="center"/>
          </w:tcPr>
          <w:p>
            <w:pPr>
              <w:pStyle w:val="12"/>
            </w:pPr>
            <w:r>
              <w:t>专项资金到位率</w:t>
            </w:r>
          </w:p>
        </w:tc>
        <w:tc>
          <w:tcPr>
            <w:tcW w:w="2268" w:type="dxa"/>
            <w:vAlign w:val="center"/>
          </w:tcPr>
          <w:p>
            <w:pPr>
              <w:pStyle w:val="12"/>
            </w:pPr>
            <w:r>
              <w:t>≥100%</w:t>
            </w:r>
          </w:p>
        </w:tc>
        <w:tc>
          <w:tcPr>
            <w:tcW w:w="1276" w:type="dxa"/>
            <w:vAlign w:val="center"/>
          </w:tcPr>
          <w:p>
            <w:pPr>
              <w:pStyle w:val="12"/>
            </w:pPr>
            <w:r>
              <w:t>确保全年稳定运行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控制在预算范围内</w:t>
            </w:r>
          </w:p>
        </w:tc>
        <w:tc>
          <w:tcPr>
            <w:tcW w:w="5386" w:type="dxa"/>
            <w:vAlign w:val="center"/>
          </w:tcPr>
          <w:p>
            <w:pPr>
              <w:pStyle w:val="12"/>
            </w:pPr>
            <w:r>
              <w:t>项目成本控制</w:t>
            </w:r>
          </w:p>
        </w:tc>
        <w:tc>
          <w:tcPr>
            <w:tcW w:w="2268" w:type="dxa"/>
            <w:vAlign w:val="center"/>
          </w:tcPr>
          <w:p>
            <w:pPr>
              <w:pStyle w:val="12"/>
            </w:pPr>
            <w:r>
              <w:t>≤42万元</w:t>
            </w:r>
          </w:p>
        </w:tc>
        <w:tc>
          <w:tcPr>
            <w:tcW w:w="1276" w:type="dxa"/>
            <w:vAlign w:val="center"/>
          </w:tcPr>
          <w:p>
            <w:pPr>
              <w:pStyle w:val="12"/>
            </w:pPr>
            <w:r>
              <w:t>控制在成本预算内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节目播出效果</w:t>
            </w:r>
          </w:p>
        </w:tc>
        <w:tc>
          <w:tcPr>
            <w:tcW w:w="5386" w:type="dxa"/>
            <w:vAlign w:val="center"/>
          </w:tcPr>
          <w:p>
            <w:pPr>
              <w:pStyle w:val="12"/>
            </w:pPr>
            <w:r>
              <w:t>中波广播节目播出、收听效果</w:t>
            </w:r>
          </w:p>
        </w:tc>
        <w:tc>
          <w:tcPr>
            <w:tcW w:w="2268" w:type="dxa"/>
            <w:vAlign w:val="center"/>
          </w:tcPr>
          <w:p>
            <w:pPr>
              <w:pStyle w:val="12"/>
            </w:pPr>
            <w:r>
              <w:t>≥4分值</w:t>
            </w:r>
          </w:p>
        </w:tc>
        <w:tc>
          <w:tcPr>
            <w:tcW w:w="1276" w:type="dxa"/>
            <w:vAlign w:val="center"/>
          </w:tcPr>
          <w:p>
            <w:pPr>
              <w:pStyle w:val="12"/>
            </w:pPr>
            <w:r>
              <w:t>收听效果等级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有效覆盖人群</w:t>
            </w:r>
          </w:p>
        </w:tc>
        <w:tc>
          <w:tcPr>
            <w:tcW w:w="5386" w:type="dxa"/>
            <w:vAlign w:val="center"/>
          </w:tcPr>
          <w:p>
            <w:pPr>
              <w:pStyle w:val="12"/>
            </w:pPr>
            <w:r>
              <w:t>广播电视节目人口覆盖率</w:t>
            </w:r>
          </w:p>
        </w:tc>
        <w:tc>
          <w:tcPr>
            <w:tcW w:w="2268" w:type="dxa"/>
            <w:vAlign w:val="center"/>
          </w:tcPr>
          <w:p>
            <w:pPr>
              <w:pStyle w:val="12"/>
            </w:pPr>
            <w:r>
              <w:t>≥95%</w:t>
            </w:r>
          </w:p>
        </w:tc>
        <w:tc>
          <w:tcPr>
            <w:tcW w:w="1276" w:type="dxa"/>
            <w:vAlign w:val="center"/>
          </w:tcPr>
          <w:p>
            <w:pPr>
              <w:pStyle w:val="12"/>
            </w:pPr>
            <w:r>
              <w:t>实际覆盖人群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有效覆盖地域</w:t>
            </w:r>
          </w:p>
        </w:tc>
        <w:tc>
          <w:tcPr>
            <w:tcW w:w="5386" w:type="dxa"/>
            <w:vAlign w:val="center"/>
          </w:tcPr>
          <w:p>
            <w:pPr>
              <w:pStyle w:val="12"/>
            </w:pPr>
            <w:r>
              <w:t>覆盖地域半径</w:t>
            </w:r>
          </w:p>
        </w:tc>
        <w:tc>
          <w:tcPr>
            <w:tcW w:w="2268" w:type="dxa"/>
            <w:vAlign w:val="center"/>
          </w:tcPr>
          <w:p>
            <w:pPr>
              <w:pStyle w:val="12"/>
            </w:pPr>
            <w:r>
              <w:t>≥75千米</w:t>
            </w:r>
          </w:p>
        </w:tc>
        <w:tc>
          <w:tcPr>
            <w:tcW w:w="1276" w:type="dxa"/>
            <w:vAlign w:val="center"/>
          </w:tcPr>
          <w:p>
            <w:pPr>
              <w:pStyle w:val="12"/>
            </w:pPr>
            <w:r>
              <w:t>实际覆盖地域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确保运行</w:t>
            </w:r>
          </w:p>
        </w:tc>
        <w:tc>
          <w:tcPr>
            <w:tcW w:w="5386" w:type="dxa"/>
            <w:vAlign w:val="center"/>
          </w:tcPr>
          <w:p>
            <w:pPr>
              <w:pStyle w:val="12"/>
            </w:pPr>
            <w:r>
              <w:t>无线覆盖运行维护的持续作用</w:t>
            </w:r>
          </w:p>
        </w:tc>
        <w:tc>
          <w:tcPr>
            <w:tcW w:w="2268" w:type="dxa"/>
            <w:vAlign w:val="center"/>
          </w:tcPr>
          <w:p>
            <w:pPr>
              <w:pStyle w:val="12"/>
            </w:pPr>
            <w:r>
              <w:t>≥95%</w:t>
            </w:r>
          </w:p>
        </w:tc>
        <w:tc>
          <w:tcPr>
            <w:tcW w:w="1276" w:type="dxa"/>
            <w:vAlign w:val="center"/>
          </w:tcPr>
          <w:p>
            <w:pPr>
              <w:pStyle w:val="12"/>
            </w:pPr>
            <w:r>
              <w:t>持续运行情况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服务对象满意度群众对广播电视公共文化服务满意度</w:t>
            </w:r>
          </w:p>
        </w:tc>
        <w:tc>
          <w:tcPr>
            <w:tcW w:w="5386" w:type="dxa"/>
            <w:vAlign w:val="center"/>
          </w:tcPr>
          <w:p>
            <w:pPr>
              <w:pStyle w:val="12"/>
            </w:pPr>
            <w:r>
              <w:t>服务听众满意</w:t>
            </w:r>
          </w:p>
        </w:tc>
        <w:tc>
          <w:tcPr>
            <w:tcW w:w="2268" w:type="dxa"/>
            <w:vAlign w:val="center"/>
          </w:tcPr>
          <w:p>
            <w:pPr>
              <w:pStyle w:val="12"/>
            </w:pPr>
            <w:r>
              <w:t>≥90%</w:t>
            </w:r>
          </w:p>
        </w:tc>
        <w:tc>
          <w:tcPr>
            <w:tcW w:w="1276" w:type="dxa"/>
            <w:vAlign w:val="center"/>
          </w:tcPr>
          <w:p>
            <w:pPr>
              <w:pStyle w:val="12"/>
            </w:pPr>
            <w:r>
              <w:t>实际收听情况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359001石家庄广播电视台本级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835.00</w:t>
            </w:r>
          </w:p>
        </w:tc>
        <w:tc>
          <w:tcPr>
            <w:tcW w:w="964" w:type="dxa"/>
            <w:vAlign w:val="center"/>
          </w:tcPr>
          <w:p>
            <w:pPr>
              <w:pStyle w:val="15"/>
            </w:pPr>
            <w:r>
              <w:t>835.00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石家庄广播电视台本级小计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835.00</w:t>
            </w:r>
          </w:p>
        </w:tc>
        <w:tc>
          <w:tcPr>
            <w:tcW w:w="964" w:type="dxa"/>
            <w:vAlign w:val="center"/>
          </w:tcPr>
          <w:p>
            <w:pPr>
              <w:pStyle w:val="15"/>
            </w:pPr>
            <w:r>
              <w:t>835.00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公益节目运行保障费</w:t>
            </w:r>
          </w:p>
        </w:tc>
        <w:tc>
          <w:tcPr>
            <w:tcW w:w="964" w:type="dxa"/>
            <w:vAlign w:val="center"/>
          </w:tcPr>
          <w:p>
            <w:pPr>
              <w:pStyle w:val="11"/>
            </w:pPr>
            <w:r>
              <w:t>1360.00</w:t>
            </w:r>
          </w:p>
        </w:tc>
        <w:tc>
          <w:tcPr>
            <w:tcW w:w="1134" w:type="dxa"/>
            <w:vAlign w:val="center"/>
          </w:tcPr>
          <w:p>
            <w:pPr>
              <w:pStyle w:val="12"/>
            </w:pPr>
            <w:r>
              <w:t>广播电视传输服务</w:t>
            </w:r>
          </w:p>
        </w:tc>
        <w:tc>
          <w:tcPr>
            <w:tcW w:w="1134" w:type="dxa"/>
            <w:vAlign w:val="center"/>
          </w:tcPr>
          <w:p>
            <w:pPr>
              <w:pStyle w:val="12"/>
            </w:pPr>
            <w:r>
              <w:t>C06020500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550.00</w:t>
            </w:r>
          </w:p>
        </w:tc>
        <w:tc>
          <w:tcPr>
            <w:tcW w:w="964" w:type="dxa"/>
            <w:vAlign w:val="center"/>
          </w:tcPr>
          <w:p>
            <w:pPr>
              <w:pStyle w:val="11"/>
            </w:pPr>
            <w:r>
              <w:t>550.00</w:t>
            </w:r>
          </w:p>
        </w:tc>
        <w:tc>
          <w:tcPr>
            <w:tcW w:w="964" w:type="dxa"/>
            <w:vAlign w:val="center"/>
          </w:tcPr>
          <w:p>
            <w:pPr>
              <w:pStyle w:val="11"/>
            </w:pPr>
            <w:r>
              <w:t>550.00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融媒体建设运维经费</w:t>
            </w:r>
          </w:p>
        </w:tc>
        <w:tc>
          <w:tcPr>
            <w:tcW w:w="964" w:type="dxa"/>
            <w:vAlign w:val="center"/>
          </w:tcPr>
          <w:p>
            <w:pPr>
              <w:pStyle w:val="11"/>
            </w:pPr>
            <w:r>
              <w:t>560.00</w:t>
            </w:r>
          </w:p>
        </w:tc>
        <w:tc>
          <w:tcPr>
            <w:tcW w:w="1134" w:type="dxa"/>
            <w:vAlign w:val="center"/>
          </w:tcPr>
          <w:p>
            <w:pPr>
              <w:pStyle w:val="12"/>
            </w:pPr>
            <w:r>
              <w:t>其他广播、电视、电影设备</w:t>
            </w:r>
          </w:p>
        </w:tc>
        <w:tc>
          <w:tcPr>
            <w:tcW w:w="1134" w:type="dxa"/>
            <w:vAlign w:val="center"/>
          </w:tcPr>
          <w:p>
            <w:pPr>
              <w:pStyle w:val="12"/>
            </w:pPr>
            <w:r>
              <w:t>A02099900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160.00</w:t>
            </w:r>
          </w:p>
        </w:tc>
        <w:tc>
          <w:tcPr>
            <w:tcW w:w="964" w:type="dxa"/>
            <w:vAlign w:val="center"/>
          </w:tcPr>
          <w:p>
            <w:pPr>
              <w:pStyle w:val="11"/>
            </w:pPr>
            <w:r>
              <w:t>160.00</w:t>
            </w:r>
          </w:p>
        </w:tc>
        <w:tc>
          <w:tcPr>
            <w:tcW w:w="964" w:type="dxa"/>
            <w:vAlign w:val="center"/>
          </w:tcPr>
          <w:p>
            <w:pPr>
              <w:pStyle w:val="11"/>
            </w:pPr>
            <w:r>
              <w:t>160.00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融媒体建设运维经费</w:t>
            </w:r>
          </w:p>
        </w:tc>
        <w:tc>
          <w:tcPr>
            <w:tcW w:w="964" w:type="dxa"/>
            <w:vAlign w:val="center"/>
          </w:tcPr>
          <w:p>
            <w:pPr>
              <w:pStyle w:val="11"/>
            </w:pPr>
            <w:r>
              <w:t>560.00</w:t>
            </w:r>
          </w:p>
        </w:tc>
        <w:tc>
          <w:tcPr>
            <w:tcW w:w="1134" w:type="dxa"/>
            <w:vAlign w:val="center"/>
          </w:tcPr>
          <w:p>
            <w:pPr>
              <w:pStyle w:val="12"/>
            </w:pPr>
            <w:r>
              <w:t>其他信息技术服务</w:t>
            </w:r>
          </w:p>
        </w:tc>
        <w:tc>
          <w:tcPr>
            <w:tcW w:w="1134" w:type="dxa"/>
            <w:vAlign w:val="center"/>
          </w:tcPr>
          <w:p>
            <w:pPr>
              <w:pStyle w:val="12"/>
            </w:pPr>
            <w:r>
              <w:t>C16990000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125.00</w:t>
            </w:r>
          </w:p>
        </w:tc>
        <w:tc>
          <w:tcPr>
            <w:tcW w:w="964" w:type="dxa"/>
            <w:vAlign w:val="center"/>
          </w:tcPr>
          <w:p>
            <w:pPr>
              <w:pStyle w:val="11"/>
            </w:pPr>
            <w:r>
              <w:t>125.00</w:t>
            </w:r>
          </w:p>
        </w:tc>
        <w:tc>
          <w:tcPr>
            <w:tcW w:w="964" w:type="dxa"/>
            <w:vAlign w:val="center"/>
          </w:tcPr>
          <w:p>
            <w:pPr>
              <w:pStyle w:val="11"/>
            </w:pPr>
            <w:r>
              <w:t>125.00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5"/>
        <w:rPr>
          <w:rFonts w:hint="eastAsia" w:ascii="黑体" w:hAnsi="黑体" w:eastAsia="黑体" w:cs="黑体"/>
          <w:color w:val="000000"/>
          <w:sz w:val="32"/>
          <w:lang w:eastAsia="zh-CN"/>
        </w:rPr>
      </w:pPr>
    </w:p>
    <w:p>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石家庄广播电视台本级上年末固定资产金额为</w:t>
      </w:r>
      <w:r>
        <w:rPr>
          <w:rFonts w:hint="eastAsia" w:eastAsia="方正仿宋_GBK" w:cs="Times New Roman"/>
          <w:b w:val="0"/>
          <w:color w:val="000000"/>
          <w:sz w:val="28"/>
          <w:lang w:val="en-US" w:eastAsia="zh-CN"/>
        </w:rPr>
        <w:t>77106.79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359001石家庄广播电视台本级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rPr>
                <w:rFonts w:hint="eastAsia"/>
                <w:lang w:eastAsia="zh-CN"/>
              </w:rPr>
              <w:t>房屋建筑物</w:t>
            </w:r>
          </w:p>
        </w:tc>
        <w:tc>
          <w:tcPr>
            <w:tcW w:w="2835" w:type="dxa"/>
            <w:vAlign w:val="center"/>
          </w:tcPr>
          <w:p>
            <w:pPr>
              <w:pStyle w:val="13"/>
              <w:rPr>
                <w:rFonts w:hint="default" w:eastAsia="方正书宋_GBK"/>
                <w:lang w:val="en-US" w:eastAsia="zh-CN"/>
              </w:rPr>
            </w:pPr>
            <w:r>
              <w:rPr>
                <w:rFonts w:hint="eastAsia"/>
                <w:lang w:val="en-US" w:eastAsia="zh-CN"/>
              </w:rPr>
              <w:t>10</w:t>
            </w:r>
          </w:p>
        </w:tc>
        <w:tc>
          <w:tcPr>
            <w:tcW w:w="2835" w:type="dxa"/>
            <w:vAlign w:val="center"/>
          </w:tcPr>
          <w:p>
            <w:pPr>
              <w:pStyle w:val="11"/>
              <w:rPr>
                <w:rFonts w:hint="default" w:eastAsia="方正书宋_GBK"/>
                <w:lang w:val="en-US" w:eastAsia="zh-CN"/>
              </w:rPr>
            </w:pPr>
            <w:r>
              <w:rPr>
                <w:rFonts w:hint="eastAsia"/>
                <w:lang w:val="en-US" w:eastAsia="zh-CN"/>
              </w:rPr>
              <w:t>47198.5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rPr>
                <w:rFonts w:hint="eastAsia"/>
                <w:lang w:eastAsia="zh-CN"/>
              </w:rPr>
              <w:t>车辆</w:t>
            </w:r>
          </w:p>
        </w:tc>
        <w:tc>
          <w:tcPr>
            <w:tcW w:w="2835" w:type="dxa"/>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1"/>
              <w:rPr>
                <w:rFonts w:hint="default" w:eastAsia="方正书宋_GBK"/>
                <w:lang w:val="en-US" w:eastAsia="zh-CN"/>
              </w:rPr>
            </w:pPr>
            <w:r>
              <w:rPr>
                <w:rFonts w:hint="eastAsia"/>
                <w:lang w:val="en-US" w:eastAsia="zh-CN"/>
              </w:rPr>
              <w:t>367.06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rPr>
                <w:rFonts w:hint="eastAsia"/>
                <w:lang w:eastAsia="zh-CN"/>
              </w:rPr>
              <w:t>设备（除车辆）</w:t>
            </w:r>
          </w:p>
        </w:tc>
        <w:tc>
          <w:tcPr>
            <w:tcW w:w="2835" w:type="dxa"/>
            <w:vAlign w:val="center"/>
          </w:tcPr>
          <w:p>
            <w:pPr>
              <w:pStyle w:val="13"/>
              <w:rPr>
                <w:rFonts w:hint="default" w:eastAsia="方正书宋_GBK"/>
                <w:lang w:val="en-US" w:eastAsia="zh-CN"/>
              </w:rPr>
            </w:pPr>
            <w:r>
              <w:rPr>
                <w:rFonts w:hint="eastAsia"/>
                <w:lang w:val="en-US" w:eastAsia="zh-CN"/>
              </w:rPr>
              <w:t>4588</w:t>
            </w:r>
            <w:bookmarkStart w:id="3" w:name="_GoBack"/>
            <w:bookmarkEnd w:id="3"/>
          </w:p>
        </w:tc>
        <w:tc>
          <w:tcPr>
            <w:tcW w:w="2835" w:type="dxa"/>
            <w:vAlign w:val="center"/>
          </w:tcPr>
          <w:p>
            <w:pPr>
              <w:pStyle w:val="11"/>
              <w:rPr>
                <w:rFonts w:hint="default" w:eastAsia="方正书宋_GBK"/>
                <w:lang w:val="en-US" w:eastAsia="zh-CN"/>
              </w:rPr>
            </w:pPr>
            <w:r>
              <w:rPr>
                <w:rFonts w:hint="eastAsia"/>
                <w:lang w:val="en-US" w:eastAsia="zh-CN"/>
              </w:rPr>
              <w:t>29126.92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方正书宋_GBK"/>
                <w:lang w:eastAsia="zh-CN"/>
              </w:rPr>
            </w:pPr>
            <w:r>
              <w:rPr>
                <w:rFonts w:hint="eastAsia"/>
                <w:lang w:eastAsia="zh-CN"/>
              </w:rPr>
              <w:t>家具</w:t>
            </w:r>
          </w:p>
        </w:tc>
        <w:tc>
          <w:tcPr>
            <w:tcW w:w="2835" w:type="dxa"/>
            <w:vAlign w:val="center"/>
          </w:tcPr>
          <w:p>
            <w:pPr>
              <w:pStyle w:val="13"/>
              <w:rPr>
                <w:rFonts w:hint="default" w:eastAsia="方正书宋_GBK"/>
                <w:lang w:val="en-US" w:eastAsia="zh-CN"/>
              </w:rPr>
            </w:pPr>
            <w:r>
              <w:rPr>
                <w:rFonts w:hint="eastAsia"/>
                <w:lang w:val="en-US" w:eastAsia="zh-CN"/>
              </w:rPr>
              <w:t>2156</w:t>
            </w:r>
          </w:p>
        </w:tc>
        <w:tc>
          <w:tcPr>
            <w:tcW w:w="2835" w:type="dxa"/>
            <w:vAlign w:val="center"/>
          </w:tcPr>
          <w:p>
            <w:pPr>
              <w:pStyle w:val="11"/>
              <w:rPr>
                <w:rFonts w:hint="default" w:eastAsia="方正书宋_GBK"/>
                <w:lang w:val="en-US" w:eastAsia="zh-CN"/>
              </w:rPr>
            </w:pPr>
            <w:r>
              <w:rPr>
                <w:rFonts w:hint="eastAsia"/>
                <w:lang w:val="en-US" w:eastAsia="zh-CN"/>
              </w:rPr>
              <w:t>414.31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D8F046"/>
    <w:multiLevelType w:val="singleLevel"/>
    <w:tmpl w:val="B9D8F046"/>
    <w:lvl w:ilvl="0" w:tentative="0">
      <w:start w:val="6"/>
      <w:numFmt w:val="chineseCounting"/>
      <w:suff w:val="nothing"/>
      <w:lvlText w:val="%1、"/>
      <w:lvlJc w:val="left"/>
      <w:rPr>
        <w:rFonts w:hint="eastAsia"/>
      </w:rPr>
    </w:lvl>
  </w:abstractNum>
  <w:abstractNum w:abstractNumId="1">
    <w:nsid w:val="69BC56B8"/>
    <w:multiLevelType w:val="singleLevel"/>
    <w:tmpl w:val="69BC56B8"/>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659750C"/>
    <w:rsid w:val="096C01B7"/>
    <w:rsid w:val="15205874"/>
    <w:rsid w:val="1B206E5D"/>
    <w:rsid w:val="1D241D81"/>
    <w:rsid w:val="274C3554"/>
    <w:rsid w:val="2D780F45"/>
    <w:rsid w:val="369E0A45"/>
    <w:rsid w:val="3E7F660C"/>
    <w:rsid w:val="44DF115C"/>
    <w:rsid w:val="48D70B19"/>
    <w:rsid w:val="526264E3"/>
    <w:rsid w:val="550208C6"/>
    <w:rsid w:val="639F01F3"/>
    <w:rsid w:val="64E50D51"/>
    <w:rsid w:val="7D603D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TotalTime>10</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2026-05-19T11:04:00Z</dcterms:created>
  <dc:creator>Administrator</dc:creator>
  <cp:lastModifiedBy>LL</cp:lastModifiedBy>
  <cp:lastPrinted>2026-05-19T10:30:00Z</cp:lastPrinted>
  <dcterms:modified xsi:type="dcterms:W3CDTF">2026-05-20T02:23:59Z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812BCA20327948A3B77120FFFCA7D432</vt:lpwstr>
  </property>
</Properties>
</file>