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56"/>
          <w:szCs w:val="36"/>
        </w:rPr>
      </w:pPr>
    </w:p>
    <w:p>
      <w:pPr>
        <w:spacing w:before="0" w:after="0" w:line="240" w:lineRule="auto"/>
        <w:ind w:firstLine="0"/>
        <w:jc w:val="center"/>
        <w:outlineLvl w:val="0"/>
        <w:rPr>
          <w:rFonts w:hint="eastAsia" w:ascii="黑体" w:hAnsi="黑体" w:eastAsia="黑体" w:cs="黑体"/>
          <w:b/>
          <w:color w:val="000000"/>
          <w:sz w:val="56"/>
          <w:szCs w:val="36"/>
        </w:rPr>
      </w:pPr>
    </w:p>
    <w:p>
      <w:pPr>
        <w:spacing w:before="0" w:after="0" w:line="240" w:lineRule="auto"/>
        <w:ind w:firstLine="0"/>
        <w:jc w:val="center"/>
        <w:outlineLvl w:val="0"/>
        <w:rPr>
          <w:rFonts w:hint="eastAsia" w:ascii="黑体" w:hAnsi="黑体" w:eastAsia="黑体" w:cs="黑体"/>
          <w:b/>
          <w:color w:val="000000"/>
          <w:sz w:val="72"/>
          <w:szCs w:val="44"/>
        </w:rPr>
      </w:pPr>
    </w:p>
    <w:p>
      <w:pPr>
        <w:spacing w:before="0" w:after="0" w:line="240" w:lineRule="auto"/>
        <w:ind w:firstLine="0"/>
        <w:jc w:val="center"/>
        <w:outlineLvl w:val="0"/>
        <w:rPr>
          <w:rFonts w:hint="eastAsia" w:ascii="黑体" w:hAnsi="黑体" w:eastAsia="黑体" w:cs="黑体"/>
          <w:b/>
          <w:color w:val="000000"/>
          <w:sz w:val="72"/>
          <w:szCs w:val="44"/>
        </w:rPr>
      </w:pPr>
      <w:r>
        <w:rPr>
          <w:rFonts w:hint="eastAsia" w:ascii="黑体" w:hAnsi="黑体" w:eastAsia="黑体" w:cs="黑体"/>
          <w:b/>
          <w:color w:val="000000"/>
          <w:sz w:val="72"/>
          <w:szCs w:val="44"/>
        </w:rPr>
        <w:t>2026年度</w:t>
      </w:r>
    </w:p>
    <w:p>
      <w:pPr>
        <w:spacing w:before="0" w:after="0" w:line="240" w:lineRule="auto"/>
        <w:ind w:firstLine="0"/>
        <w:jc w:val="center"/>
        <w:outlineLvl w:val="0"/>
        <w:rPr>
          <w:rFonts w:hint="eastAsia" w:ascii="黑体" w:hAnsi="黑体" w:eastAsia="黑体" w:cs="黑体"/>
          <w:b/>
          <w:color w:val="000000"/>
          <w:sz w:val="72"/>
          <w:szCs w:val="44"/>
        </w:rPr>
      </w:pPr>
      <w:r>
        <w:rPr>
          <w:rFonts w:hint="eastAsia" w:ascii="黑体" w:hAnsi="黑体" w:eastAsia="黑体" w:cs="黑体"/>
          <w:b/>
          <w:color w:val="000000"/>
          <w:sz w:val="72"/>
          <w:szCs w:val="44"/>
        </w:rPr>
        <w:t>石家庄</w:t>
      </w:r>
      <w:r>
        <w:rPr>
          <w:rFonts w:hint="eastAsia" w:ascii="黑体" w:hAnsi="黑体" w:eastAsia="黑体" w:cs="黑体"/>
          <w:b/>
          <w:color w:val="000000"/>
          <w:sz w:val="72"/>
          <w:szCs w:val="44"/>
          <w:lang w:val="en-US" w:eastAsia="zh-CN"/>
        </w:rPr>
        <w:t>日报社单位</w:t>
      </w:r>
      <w:bookmarkStart w:id="1" w:name="_GoBack"/>
      <w:bookmarkEnd w:id="1"/>
      <w:r>
        <w:rPr>
          <w:rFonts w:hint="eastAsia" w:ascii="黑体" w:hAnsi="黑体" w:eastAsia="黑体" w:cs="黑体"/>
          <w:b/>
          <w:color w:val="000000"/>
          <w:sz w:val="72"/>
          <w:szCs w:val="44"/>
        </w:rPr>
        <w:t>预算</w:t>
      </w:r>
    </w:p>
    <w:p>
      <w:pPr>
        <w:spacing w:before="0" w:after="0" w:line="240" w:lineRule="auto"/>
        <w:ind w:firstLine="0"/>
        <w:jc w:val="center"/>
        <w:outlineLvl w:val="0"/>
        <w:rPr>
          <w:rFonts w:ascii="黑体" w:hAnsi="黑体" w:eastAsia="黑体" w:cs="黑体"/>
          <w:b/>
          <w:color w:val="000000"/>
          <w:sz w:val="72"/>
          <w:szCs w:val="44"/>
        </w:rPr>
        <w:sectPr>
          <w:pgSz w:w="16840" w:h="11900" w:orient="landscape"/>
          <w:pgMar w:top="1587" w:right="1134" w:bottom="1361" w:left="1134" w:header="720" w:footer="720" w:gutter="0"/>
          <w:pgNumType w:start="1"/>
          <w:cols w:space="720" w:num="1"/>
        </w:sectPr>
      </w:pPr>
      <w:r>
        <w:rPr>
          <w:rFonts w:hint="eastAsia" w:ascii="黑体" w:hAnsi="黑体" w:eastAsia="黑体" w:cs="黑体"/>
          <w:b/>
          <w:color w:val="000000"/>
          <w:sz w:val="72"/>
          <w:szCs w:val="44"/>
        </w:rPr>
        <w:t>公开信息</w:t>
      </w:r>
    </w:p>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pPr>
        <w:pStyle w:val="4"/>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5</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rPr>
          <w:rFonts w:hint="eastAsia"/>
          <w:lang w:val="en-US"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w:t>
      </w:r>
      <w:r>
        <w:rPr>
          <w:rFonts w:hint="eastAsia"/>
          <w:lang w:val="en-US" w:eastAsia="zh-CN"/>
        </w:rPr>
        <w:t>6</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2</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3</w:t>
      </w:r>
      <w:r>
        <w:fldChar w:fldCharType="end"/>
      </w:r>
      <w:r>
        <w:rPr>
          <w:rFonts w:hint="eastAsia"/>
          <w:lang w:val="en-US" w:eastAsia="zh-CN"/>
        </w:rPr>
        <w:t>0</w:t>
      </w:r>
    </w:p>
    <w:p>
      <w:pPr>
        <w:pStyle w:val="4"/>
        <w:tabs>
          <w:tab w:val="right" w:leader="dot" w:pos="14562"/>
        </w:tabs>
      </w:pP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一、石家庄日报社收支预算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358001石家庄日报社</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7932.84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4978.64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2492.37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181.99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279.84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7932.84</w:t>
            </w:r>
          </w:p>
        </w:tc>
        <w:tc>
          <w:tcPr>
            <w:tcW w:w="4535" w:type="dxa"/>
            <w:vAlign w:val="center"/>
          </w:tcPr>
          <w:p>
            <w:pPr>
              <w:pStyle w:val="16"/>
            </w:pPr>
            <w:r>
              <w:t>本年支出合计</w:t>
            </w:r>
          </w:p>
        </w:tc>
        <w:tc>
          <w:tcPr>
            <w:tcW w:w="2126" w:type="dxa"/>
            <w:vAlign w:val="center"/>
          </w:tcPr>
          <w:p>
            <w:pPr>
              <w:pStyle w:val="17"/>
            </w:pPr>
            <w:r>
              <w:t>7932.84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7932.84</w:t>
            </w:r>
          </w:p>
        </w:tc>
        <w:tc>
          <w:tcPr>
            <w:tcW w:w="4535" w:type="dxa"/>
            <w:vAlign w:val="center"/>
          </w:tcPr>
          <w:p>
            <w:pPr>
              <w:pStyle w:val="16"/>
            </w:pPr>
            <w:r>
              <w:t>支出总计</w:t>
            </w:r>
          </w:p>
        </w:tc>
        <w:tc>
          <w:tcPr>
            <w:tcW w:w="2126" w:type="dxa"/>
            <w:vAlign w:val="center"/>
          </w:tcPr>
          <w:p>
            <w:pPr>
              <w:pStyle w:val="17"/>
            </w:pPr>
            <w:r>
              <w:t>7932.84</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358001石家庄日报社</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7932.84</w:t>
            </w:r>
          </w:p>
        </w:tc>
        <w:tc>
          <w:tcPr>
            <w:tcW w:w="1134" w:type="dxa"/>
            <w:vAlign w:val="center"/>
          </w:tcPr>
          <w:p>
            <w:pPr>
              <w:pStyle w:val="17"/>
            </w:pPr>
            <w:r>
              <w:t>7932.84</w:t>
            </w:r>
          </w:p>
        </w:tc>
        <w:tc>
          <w:tcPr>
            <w:tcW w:w="1134" w:type="dxa"/>
            <w:vAlign w:val="center"/>
          </w:tcPr>
          <w:p>
            <w:pPr>
              <w:pStyle w:val="17"/>
            </w:pPr>
            <w:r>
              <w:t>7932.84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4978.64</w:t>
            </w:r>
          </w:p>
        </w:tc>
        <w:tc>
          <w:tcPr>
            <w:tcW w:w="1134" w:type="dxa"/>
            <w:vAlign w:val="center"/>
          </w:tcPr>
          <w:p>
            <w:pPr>
              <w:pStyle w:val="13"/>
            </w:pPr>
            <w:r>
              <w:t>4978.64</w:t>
            </w:r>
          </w:p>
        </w:tc>
        <w:tc>
          <w:tcPr>
            <w:tcW w:w="1134" w:type="dxa"/>
            <w:vAlign w:val="center"/>
          </w:tcPr>
          <w:p>
            <w:pPr>
              <w:pStyle w:val="13"/>
            </w:pPr>
            <w:r>
              <w:t>4978.64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20706</w:t>
            </w:r>
          </w:p>
        </w:tc>
        <w:tc>
          <w:tcPr>
            <w:tcW w:w="1559" w:type="dxa"/>
            <w:vAlign w:val="center"/>
          </w:tcPr>
          <w:p>
            <w:pPr>
              <w:pStyle w:val="14"/>
            </w:pPr>
            <w:r>
              <w:t>新闻出版电影</w:t>
            </w:r>
          </w:p>
        </w:tc>
        <w:tc>
          <w:tcPr>
            <w:tcW w:w="1134" w:type="dxa"/>
            <w:vAlign w:val="center"/>
          </w:tcPr>
          <w:p>
            <w:pPr>
              <w:pStyle w:val="13"/>
            </w:pPr>
            <w:r>
              <w:t>4858.64</w:t>
            </w:r>
          </w:p>
        </w:tc>
        <w:tc>
          <w:tcPr>
            <w:tcW w:w="1134" w:type="dxa"/>
            <w:vAlign w:val="center"/>
          </w:tcPr>
          <w:p>
            <w:pPr>
              <w:pStyle w:val="13"/>
            </w:pPr>
            <w:r>
              <w:t>4858.64</w:t>
            </w:r>
          </w:p>
        </w:tc>
        <w:tc>
          <w:tcPr>
            <w:tcW w:w="1134" w:type="dxa"/>
            <w:vAlign w:val="center"/>
          </w:tcPr>
          <w:p>
            <w:pPr>
              <w:pStyle w:val="13"/>
            </w:pPr>
            <w:r>
              <w:t>4858.64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2070605</w:t>
            </w:r>
          </w:p>
        </w:tc>
        <w:tc>
          <w:tcPr>
            <w:tcW w:w="1559" w:type="dxa"/>
            <w:vAlign w:val="center"/>
          </w:tcPr>
          <w:p>
            <w:pPr>
              <w:pStyle w:val="14"/>
            </w:pPr>
            <w:r>
              <w:t>出版发行</w:t>
            </w:r>
          </w:p>
        </w:tc>
        <w:tc>
          <w:tcPr>
            <w:tcW w:w="1134" w:type="dxa"/>
            <w:vAlign w:val="center"/>
          </w:tcPr>
          <w:p>
            <w:pPr>
              <w:pStyle w:val="13"/>
            </w:pPr>
            <w:r>
              <w:t>264.00</w:t>
            </w:r>
          </w:p>
        </w:tc>
        <w:tc>
          <w:tcPr>
            <w:tcW w:w="1134" w:type="dxa"/>
            <w:vAlign w:val="center"/>
          </w:tcPr>
          <w:p>
            <w:pPr>
              <w:pStyle w:val="13"/>
            </w:pPr>
            <w:r>
              <w:t>264.00</w:t>
            </w:r>
          </w:p>
        </w:tc>
        <w:tc>
          <w:tcPr>
            <w:tcW w:w="1134" w:type="dxa"/>
            <w:vAlign w:val="center"/>
          </w:tcPr>
          <w:p>
            <w:pPr>
              <w:pStyle w:val="13"/>
            </w:pPr>
            <w:r>
              <w:t>264.00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2070699</w:t>
            </w:r>
          </w:p>
        </w:tc>
        <w:tc>
          <w:tcPr>
            <w:tcW w:w="1559" w:type="dxa"/>
            <w:vAlign w:val="center"/>
          </w:tcPr>
          <w:p>
            <w:pPr>
              <w:pStyle w:val="14"/>
            </w:pPr>
            <w:r>
              <w:t>其他新闻出版电影支出</w:t>
            </w:r>
          </w:p>
        </w:tc>
        <w:tc>
          <w:tcPr>
            <w:tcW w:w="1134" w:type="dxa"/>
            <w:vAlign w:val="center"/>
          </w:tcPr>
          <w:p>
            <w:pPr>
              <w:pStyle w:val="13"/>
            </w:pPr>
            <w:r>
              <w:t>4594.64</w:t>
            </w:r>
          </w:p>
        </w:tc>
        <w:tc>
          <w:tcPr>
            <w:tcW w:w="1134" w:type="dxa"/>
            <w:vAlign w:val="center"/>
          </w:tcPr>
          <w:p>
            <w:pPr>
              <w:pStyle w:val="13"/>
            </w:pPr>
            <w:r>
              <w:t>4594.64</w:t>
            </w:r>
          </w:p>
        </w:tc>
        <w:tc>
          <w:tcPr>
            <w:tcW w:w="1134" w:type="dxa"/>
            <w:vAlign w:val="center"/>
          </w:tcPr>
          <w:p>
            <w:pPr>
              <w:pStyle w:val="13"/>
            </w:pPr>
            <w:r>
              <w:t>4594.64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r>
              <w:t>120.00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2492.37</w:t>
            </w:r>
          </w:p>
        </w:tc>
        <w:tc>
          <w:tcPr>
            <w:tcW w:w="1134" w:type="dxa"/>
            <w:vAlign w:val="center"/>
          </w:tcPr>
          <w:p>
            <w:pPr>
              <w:pStyle w:val="13"/>
            </w:pPr>
            <w:r>
              <w:t>2492.37</w:t>
            </w:r>
          </w:p>
        </w:tc>
        <w:tc>
          <w:tcPr>
            <w:tcW w:w="1134" w:type="dxa"/>
            <w:vAlign w:val="center"/>
          </w:tcPr>
          <w:p>
            <w:pPr>
              <w:pStyle w:val="13"/>
            </w:pPr>
            <w:r>
              <w:t>2492.37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2472.54</w:t>
            </w:r>
          </w:p>
        </w:tc>
        <w:tc>
          <w:tcPr>
            <w:tcW w:w="1134" w:type="dxa"/>
            <w:vAlign w:val="center"/>
          </w:tcPr>
          <w:p>
            <w:pPr>
              <w:pStyle w:val="13"/>
            </w:pPr>
            <w:r>
              <w:t>2472.54</w:t>
            </w:r>
          </w:p>
        </w:tc>
        <w:tc>
          <w:tcPr>
            <w:tcW w:w="1134" w:type="dxa"/>
            <w:vAlign w:val="center"/>
          </w:tcPr>
          <w:p>
            <w:pPr>
              <w:pStyle w:val="13"/>
            </w:pPr>
            <w:r>
              <w:t>2472.54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2075.41</w:t>
            </w:r>
          </w:p>
        </w:tc>
        <w:tc>
          <w:tcPr>
            <w:tcW w:w="1134" w:type="dxa"/>
            <w:vAlign w:val="center"/>
          </w:tcPr>
          <w:p>
            <w:pPr>
              <w:pStyle w:val="13"/>
            </w:pPr>
            <w:r>
              <w:t>2075.41</w:t>
            </w:r>
          </w:p>
        </w:tc>
        <w:tc>
          <w:tcPr>
            <w:tcW w:w="1134" w:type="dxa"/>
            <w:vAlign w:val="center"/>
          </w:tcPr>
          <w:p>
            <w:pPr>
              <w:pStyle w:val="13"/>
            </w:pPr>
            <w:r>
              <w:t>2075.41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264.77</w:t>
            </w:r>
          </w:p>
        </w:tc>
        <w:tc>
          <w:tcPr>
            <w:tcW w:w="1134" w:type="dxa"/>
            <w:vAlign w:val="center"/>
          </w:tcPr>
          <w:p>
            <w:pPr>
              <w:pStyle w:val="13"/>
            </w:pPr>
            <w:r>
              <w:t>264.77</w:t>
            </w:r>
          </w:p>
        </w:tc>
        <w:tc>
          <w:tcPr>
            <w:tcW w:w="1134" w:type="dxa"/>
            <w:vAlign w:val="center"/>
          </w:tcPr>
          <w:p>
            <w:pPr>
              <w:pStyle w:val="13"/>
            </w:pPr>
            <w:r>
              <w:t>264.77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132.36</w:t>
            </w:r>
          </w:p>
        </w:tc>
        <w:tc>
          <w:tcPr>
            <w:tcW w:w="1134" w:type="dxa"/>
            <w:vAlign w:val="center"/>
          </w:tcPr>
          <w:p>
            <w:pPr>
              <w:pStyle w:val="13"/>
            </w:pPr>
            <w:r>
              <w:t>132.36</w:t>
            </w:r>
          </w:p>
        </w:tc>
        <w:tc>
          <w:tcPr>
            <w:tcW w:w="1134" w:type="dxa"/>
            <w:vAlign w:val="center"/>
          </w:tcPr>
          <w:p>
            <w:pPr>
              <w:pStyle w:val="13"/>
            </w:pPr>
            <w:r>
              <w:t>132.36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19.83</w:t>
            </w:r>
          </w:p>
        </w:tc>
        <w:tc>
          <w:tcPr>
            <w:tcW w:w="1134" w:type="dxa"/>
            <w:vAlign w:val="center"/>
          </w:tcPr>
          <w:p>
            <w:pPr>
              <w:pStyle w:val="13"/>
            </w:pPr>
            <w:r>
              <w:t>19.83</w:t>
            </w:r>
          </w:p>
        </w:tc>
        <w:tc>
          <w:tcPr>
            <w:tcW w:w="1134" w:type="dxa"/>
            <w:vAlign w:val="center"/>
          </w:tcPr>
          <w:p>
            <w:pPr>
              <w:pStyle w:val="13"/>
            </w:pPr>
            <w:r>
              <w:t>19.83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19.83</w:t>
            </w:r>
          </w:p>
        </w:tc>
        <w:tc>
          <w:tcPr>
            <w:tcW w:w="1134" w:type="dxa"/>
            <w:vAlign w:val="center"/>
          </w:tcPr>
          <w:p>
            <w:pPr>
              <w:pStyle w:val="13"/>
            </w:pPr>
            <w:r>
              <w:t>19.83</w:t>
            </w:r>
          </w:p>
        </w:tc>
        <w:tc>
          <w:tcPr>
            <w:tcW w:w="1134" w:type="dxa"/>
            <w:vAlign w:val="center"/>
          </w:tcPr>
          <w:p>
            <w:pPr>
              <w:pStyle w:val="13"/>
            </w:pPr>
            <w:r>
              <w:t>19.83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r>
              <w:t>181.99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r>
              <w:t>279.84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7932.84</w:t>
            </w:r>
          </w:p>
        </w:tc>
        <w:tc>
          <w:tcPr>
            <w:tcW w:w="1361" w:type="dxa"/>
            <w:vAlign w:val="center"/>
          </w:tcPr>
          <w:p>
            <w:pPr>
              <w:pStyle w:val="17"/>
            </w:pPr>
            <w:r>
              <w:t>5051.39</w:t>
            </w:r>
          </w:p>
        </w:tc>
        <w:tc>
          <w:tcPr>
            <w:tcW w:w="1361" w:type="dxa"/>
            <w:vAlign w:val="center"/>
          </w:tcPr>
          <w:p>
            <w:pPr>
              <w:pStyle w:val="17"/>
            </w:pPr>
            <w:r>
              <w:t>2881.45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4978.64</w:t>
            </w:r>
          </w:p>
        </w:tc>
        <w:tc>
          <w:tcPr>
            <w:tcW w:w="1361" w:type="dxa"/>
            <w:vAlign w:val="center"/>
          </w:tcPr>
          <w:p>
            <w:pPr>
              <w:pStyle w:val="13"/>
            </w:pPr>
            <w:r>
              <w:t>2097.19</w:t>
            </w:r>
          </w:p>
        </w:tc>
        <w:tc>
          <w:tcPr>
            <w:tcW w:w="1361" w:type="dxa"/>
            <w:vAlign w:val="center"/>
          </w:tcPr>
          <w:p>
            <w:pPr>
              <w:pStyle w:val="13"/>
            </w:pPr>
            <w:r>
              <w:t>2881.45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20706</w:t>
            </w:r>
          </w:p>
        </w:tc>
        <w:tc>
          <w:tcPr>
            <w:tcW w:w="4535" w:type="dxa"/>
            <w:vAlign w:val="center"/>
          </w:tcPr>
          <w:p>
            <w:pPr>
              <w:pStyle w:val="14"/>
            </w:pPr>
            <w:r>
              <w:t>新闻出版电影</w:t>
            </w:r>
          </w:p>
        </w:tc>
        <w:tc>
          <w:tcPr>
            <w:tcW w:w="1361" w:type="dxa"/>
            <w:vAlign w:val="center"/>
          </w:tcPr>
          <w:p>
            <w:pPr>
              <w:pStyle w:val="13"/>
            </w:pPr>
            <w:r>
              <w:t>4858.64</w:t>
            </w:r>
          </w:p>
        </w:tc>
        <w:tc>
          <w:tcPr>
            <w:tcW w:w="1361" w:type="dxa"/>
            <w:vAlign w:val="center"/>
          </w:tcPr>
          <w:p>
            <w:pPr>
              <w:pStyle w:val="13"/>
            </w:pPr>
            <w:r>
              <w:t>2097.19</w:t>
            </w:r>
          </w:p>
        </w:tc>
        <w:tc>
          <w:tcPr>
            <w:tcW w:w="1361" w:type="dxa"/>
            <w:vAlign w:val="center"/>
          </w:tcPr>
          <w:p>
            <w:pPr>
              <w:pStyle w:val="13"/>
            </w:pPr>
            <w:r>
              <w:t>2761.45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2070605</w:t>
            </w:r>
          </w:p>
        </w:tc>
        <w:tc>
          <w:tcPr>
            <w:tcW w:w="4535" w:type="dxa"/>
            <w:vAlign w:val="center"/>
          </w:tcPr>
          <w:p>
            <w:pPr>
              <w:pStyle w:val="14"/>
            </w:pPr>
            <w:r>
              <w:t>出版发行</w:t>
            </w:r>
          </w:p>
        </w:tc>
        <w:tc>
          <w:tcPr>
            <w:tcW w:w="1361" w:type="dxa"/>
            <w:vAlign w:val="center"/>
          </w:tcPr>
          <w:p>
            <w:pPr>
              <w:pStyle w:val="13"/>
            </w:pPr>
            <w:r>
              <w:t>264.00</w:t>
            </w:r>
          </w:p>
        </w:tc>
        <w:tc>
          <w:tcPr>
            <w:tcW w:w="1361" w:type="dxa"/>
            <w:vAlign w:val="center"/>
          </w:tcPr>
          <w:p>
            <w:pPr>
              <w:pStyle w:val="13"/>
            </w:pPr>
          </w:p>
        </w:tc>
        <w:tc>
          <w:tcPr>
            <w:tcW w:w="1361" w:type="dxa"/>
            <w:vAlign w:val="center"/>
          </w:tcPr>
          <w:p>
            <w:pPr>
              <w:pStyle w:val="13"/>
            </w:pPr>
            <w:r>
              <w:t>264.00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2070699</w:t>
            </w:r>
          </w:p>
        </w:tc>
        <w:tc>
          <w:tcPr>
            <w:tcW w:w="4535" w:type="dxa"/>
            <w:vAlign w:val="center"/>
          </w:tcPr>
          <w:p>
            <w:pPr>
              <w:pStyle w:val="14"/>
            </w:pPr>
            <w:r>
              <w:t>其他新闻出版电影支出</w:t>
            </w:r>
          </w:p>
        </w:tc>
        <w:tc>
          <w:tcPr>
            <w:tcW w:w="1361" w:type="dxa"/>
            <w:vAlign w:val="center"/>
          </w:tcPr>
          <w:p>
            <w:pPr>
              <w:pStyle w:val="13"/>
            </w:pPr>
            <w:r>
              <w:t>4594.64</w:t>
            </w:r>
          </w:p>
        </w:tc>
        <w:tc>
          <w:tcPr>
            <w:tcW w:w="1361" w:type="dxa"/>
            <w:vAlign w:val="center"/>
          </w:tcPr>
          <w:p>
            <w:pPr>
              <w:pStyle w:val="13"/>
            </w:pPr>
            <w:r>
              <w:t>2097.19</w:t>
            </w:r>
          </w:p>
        </w:tc>
        <w:tc>
          <w:tcPr>
            <w:tcW w:w="1361" w:type="dxa"/>
            <w:vAlign w:val="center"/>
          </w:tcPr>
          <w:p>
            <w:pPr>
              <w:pStyle w:val="13"/>
            </w:pPr>
            <w:r>
              <w:t>2497.45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r>
              <w:t>120.00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2492.37</w:t>
            </w:r>
          </w:p>
        </w:tc>
        <w:tc>
          <w:tcPr>
            <w:tcW w:w="1361" w:type="dxa"/>
            <w:vAlign w:val="center"/>
          </w:tcPr>
          <w:p>
            <w:pPr>
              <w:pStyle w:val="13"/>
            </w:pPr>
            <w:r>
              <w:t>2492.37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2472.54</w:t>
            </w:r>
          </w:p>
        </w:tc>
        <w:tc>
          <w:tcPr>
            <w:tcW w:w="1361" w:type="dxa"/>
            <w:vAlign w:val="center"/>
          </w:tcPr>
          <w:p>
            <w:pPr>
              <w:pStyle w:val="13"/>
            </w:pPr>
            <w:r>
              <w:t>2472.54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2075.41</w:t>
            </w:r>
          </w:p>
        </w:tc>
        <w:tc>
          <w:tcPr>
            <w:tcW w:w="1361" w:type="dxa"/>
            <w:vAlign w:val="center"/>
          </w:tcPr>
          <w:p>
            <w:pPr>
              <w:pStyle w:val="13"/>
            </w:pPr>
            <w:r>
              <w:t>2075.41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264.77</w:t>
            </w:r>
          </w:p>
        </w:tc>
        <w:tc>
          <w:tcPr>
            <w:tcW w:w="1361" w:type="dxa"/>
            <w:vAlign w:val="center"/>
          </w:tcPr>
          <w:p>
            <w:pPr>
              <w:pStyle w:val="13"/>
            </w:pPr>
            <w:r>
              <w:t>264.77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132.36</w:t>
            </w:r>
          </w:p>
        </w:tc>
        <w:tc>
          <w:tcPr>
            <w:tcW w:w="1361" w:type="dxa"/>
            <w:vAlign w:val="center"/>
          </w:tcPr>
          <w:p>
            <w:pPr>
              <w:pStyle w:val="13"/>
            </w:pPr>
            <w:r>
              <w:t>132.36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19.83</w:t>
            </w:r>
          </w:p>
        </w:tc>
        <w:tc>
          <w:tcPr>
            <w:tcW w:w="1361" w:type="dxa"/>
            <w:vAlign w:val="center"/>
          </w:tcPr>
          <w:p>
            <w:pPr>
              <w:pStyle w:val="13"/>
            </w:pPr>
            <w:r>
              <w:t>19.83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19.83</w:t>
            </w:r>
          </w:p>
        </w:tc>
        <w:tc>
          <w:tcPr>
            <w:tcW w:w="1361" w:type="dxa"/>
            <w:vAlign w:val="center"/>
          </w:tcPr>
          <w:p>
            <w:pPr>
              <w:pStyle w:val="13"/>
            </w:pPr>
            <w:r>
              <w:t>19.83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181.99</w:t>
            </w:r>
          </w:p>
        </w:tc>
        <w:tc>
          <w:tcPr>
            <w:tcW w:w="1361" w:type="dxa"/>
            <w:vAlign w:val="center"/>
          </w:tcPr>
          <w:p>
            <w:pPr>
              <w:pStyle w:val="13"/>
            </w:pPr>
            <w:r>
              <w:t>181.99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181.99</w:t>
            </w:r>
          </w:p>
        </w:tc>
        <w:tc>
          <w:tcPr>
            <w:tcW w:w="1361" w:type="dxa"/>
            <w:vAlign w:val="center"/>
          </w:tcPr>
          <w:p>
            <w:pPr>
              <w:pStyle w:val="13"/>
            </w:pPr>
            <w:r>
              <w:t>181.99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181.99</w:t>
            </w:r>
          </w:p>
        </w:tc>
        <w:tc>
          <w:tcPr>
            <w:tcW w:w="1361" w:type="dxa"/>
            <w:vAlign w:val="center"/>
          </w:tcPr>
          <w:p>
            <w:pPr>
              <w:pStyle w:val="13"/>
            </w:pPr>
            <w:r>
              <w:t>181.99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279.84</w:t>
            </w:r>
          </w:p>
        </w:tc>
        <w:tc>
          <w:tcPr>
            <w:tcW w:w="1361" w:type="dxa"/>
            <w:vAlign w:val="center"/>
          </w:tcPr>
          <w:p>
            <w:pPr>
              <w:pStyle w:val="13"/>
            </w:pPr>
            <w:r>
              <w:t>279.84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279.84</w:t>
            </w:r>
          </w:p>
        </w:tc>
        <w:tc>
          <w:tcPr>
            <w:tcW w:w="1361" w:type="dxa"/>
            <w:vAlign w:val="center"/>
          </w:tcPr>
          <w:p>
            <w:pPr>
              <w:pStyle w:val="13"/>
            </w:pPr>
            <w:r>
              <w:t>279.84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279.84</w:t>
            </w:r>
          </w:p>
        </w:tc>
        <w:tc>
          <w:tcPr>
            <w:tcW w:w="1361" w:type="dxa"/>
            <w:vAlign w:val="center"/>
          </w:tcPr>
          <w:p>
            <w:pPr>
              <w:pStyle w:val="13"/>
            </w:pPr>
            <w:r>
              <w:t>279.84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7932.84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4978.64</w:t>
            </w:r>
          </w:p>
        </w:tc>
        <w:tc>
          <w:tcPr>
            <w:tcW w:w="1474" w:type="dxa"/>
            <w:vAlign w:val="center"/>
          </w:tcPr>
          <w:p>
            <w:pPr>
              <w:pStyle w:val="13"/>
            </w:pPr>
            <w:r>
              <w:t>4978.64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2492.37</w:t>
            </w:r>
          </w:p>
        </w:tc>
        <w:tc>
          <w:tcPr>
            <w:tcW w:w="1474" w:type="dxa"/>
            <w:vAlign w:val="center"/>
          </w:tcPr>
          <w:p>
            <w:pPr>
              <w:pStyle w:val="13"/>
            </w:pPr>
            <w:r>
              <w:t>2492.37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181.99</w:t>
            </w:r>
          </w:p>
        </w:tc>
        <w:tc>
          <w:tcPr>
            <w:tcW w:w="1474" w:type="dxa"/>
            <w:vAlign w:val="center"/>
          </w:tcPr>
          <w:p>
            <w:pPr>
              <w:pStyle w:val="13"/>
            </w:pPr>
            <w:r>
              <w:t>181.99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279.84</w:t>
            </w:r>
          </w:p>
        </w:tc>
        <w:tc>
          <w:tcPr>
            <w:tcW w:w="1474" w:type="dxa"/>
            <w:vAlign w:val="center"/>
          </w:tcPr>
          <w:p>
            <w:pPr>
              <w:pStyle w:val="13"/>
            </w:pPr>
            <w:r>
              <w:t>279.84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7932.84</w:t>
            </w:r>
          </w:p>
        </w:tc>
        <w:tc>
          <w:tcPr>
            <w:tcW w:w="3402" w:type="dxa"/>
            <w:vAlign w:val="center"/>
          </w:tcPr>
          <w:p>
            <w:pPr>
              <w:pStyle w:val="16"/>
            </w:pPr>
            <w:r>
              <w:t>本年支出合计</w:t>
            </w:r>
          </w:p>
        </w:tc>
        <w:tc>
          <w:tcPr>
            <w:tcW w:w="1474" w:type="dxa"/>
            <w:vAlign w:val="center"/>
          </w:tcPr>
          <w:p>
            <w:pPr>
              <w:pStyle w:val="17"/>
            </w:pPr>
            <w:r>
              <w:t>7932.84</w:t>
            </w:r>
          </w:p>
        </w:tc>
        <w:tc>
          <w:tcPr>
            <w:tcW w:w="1474" w:type="dxa"/>
            <w:vAlign w:val="center"/>
          </w:tcPr>
          <w:p>
            <w:pPr>
              <w:pStyle w:val="17"/>
            </w:pPr>
            <w:r>
              <w:t>7932.84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7932.84</w:t>
            </w:r>
          </w:p>
        </w:tc>
        <w:tc>
          <w:tcPr>
            <w:tcW w:w="3402" w:type="dxa"/>
            <w:vAlign w:val="center"/>
          </w:tcPr>
          <w:p>
            <w:pPr>
              <w:pStyle w:val="16"/>
            </w:pPr>
            <w:r>
              <w:t>支出总计</w:t>
            </w:r>
          </w:p>
        </w:tc>
        <w:tc>
          <w:tcPr>
            <w:tcW w:w="1474" w:type="dxa"/>
            <w:vAlign w:val="center"/>
          </w:tcPr>
          <w:p>
            <w:pPr>
              <w:pStyle w:val="17"/>
            </w:pPr>
            <w:r>
              <w:t>7932.84</w:t>
            </w:r>
          </w:p>
        </w:tc>
        <w:tc>
          <w:tcPr>
            <w:tcW w:w="1474" w:type="dxa"/>
            <w:vAlign w:val="center"/>
          </w:tcPr>
          <w:p>
            <w:pPr>
              <w:pStyle w:val="17"/>
            </w:pPr>
            <w:r>
              <w:t>7932.84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7932.84</w:t>
            </w:r>
          </w:p>
        </w:tc>
        <w:tc>
          <w:tcPr>
            <w:tcW w:w="2551" w:type="dxa"/>
            <w:vAlign w:val="center"/>
          </w:tcPr>
          <w:p>
            <w:pPr>
              <w:pStyle w:val="17"/>
            </w:pPr>
            <w:r>
              <w:t>5051.39</w:t>
            </w:r>
          </w:p>
        </w:tc>
        <w:tc>
          <w:tcPr>
            <w:tcW w:w="2551" w:type="dxa"/>
            <w:vAlign w:val="center"/>
          </w:tcPr>
          <w:p>
            <w:pPr>
              <w:pStyle w:val="17"/>
            </w:pPr>
            <w:r>
              <w:t>2881.45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4978.64</w:t>
            </w:r>
          </w:p>
        </w:tc>
        <w:tc>
          <w:tcPr>
            <w:tcW w:w="2551" w:type="dxa"/>
            <w:vAlign w:val="center"/>
          </w:tcPr>
          <w:p>
            <w:pPr>
              <w:pStyle w:val="13"/>
            </w:pPr>
            <w:r>
              <w:t>2097.19</w:t>
            </w:r>
          </w:p>
        </w:tc>
        <w:tc>
          <w:tcPr>
            <w:tcW w:w="2551" w:type="dxa"/>
            <w:vAlign w:val="center"/>
          </w:tcPr>
          <w:p>
            <w:pPr>
              <w:pStyle w:val="13"/>
            </w:pPr>
            <w:r>
              <w:t>2881.45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20706</w:t>
            </w:r>
          </w:p>
        </w:tc>
        <w:tc>
          <w:tcPr>
            <w:tcW w:w="4535" w:type="dxa"/>
            <w:vAlign w:val="center"/>
          </w:tcPr>
          <w:p>
            <w:pPr>
              <w:pStyle w:val="14"/>
            </w:pPr>
            <w:r>
              <w:t>新闻出版电影</w:t>
            </w:r>
          </w:p>
        </w:tc>
        <w:tc>
          <w:tcPr>
            <w:tcW w:w="2551" w:type="dxa"/>
            <w:vAlign w:val="center"/>
          </w:tcPr>
          <w:p>
            <w:pPr>
              <w:pStyle w:val="13"/>
            </w:pPr>
            <w:r>
              <w:t>4858.64</w:t>
            </w:r>
          </w:p>
        </w:tc>
        <w:tc>
          <w:tcPr>
            <w:tcW w:w="2551" w:type="dxa"/>
            <w:vAlign w:val="center"/>
          </w:tcPr>
          <w:p>
            <w:pPr>
              <w:pStyle w:val="13"/>
            </w:pPr>
            <w:r>
              <w:t>2097.19</w:t>
            </w:r>
          </w:p>
        </w:tc>
        <w:tc>
          <w:tcPr>
            <w:tcW w:w="2551" w:type="dxa"/>
            <w:vAlign w:val="center"/>
          </w:tcPr>
          <w:p>
            <w:pPr>
              <w:pStyle w:val="13"/>
            </w:pPr>
            <w:r>
              <w:t>2761.45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2070605</w:t>
            </w:r>
          </w:p>
        </w:tc>
        <w:tc>
          <w:tcPr>
            <w:tcW w:w="4535" w:type="dxa"/>
            <w:vAlign w:val="center"/>
          </w:tcPr>
          <w:p>
            <w:pPr>
              <w:pStyle w:val="14"/>
            </w:pPr>
            <w:r>
              <w:t>出版发行</w:t>
            </w:r>
          </w:p>
        </w:tc>
        <w:tc>
          <w:tcPr>
            <w:tcW w:w="2551" w:type="dxa"/>
            <w:vAlign w:val="center"/>
          </w:tcPr>
          <w:p>
            <w:pPr>
              <w:pStyle w:val="13"/>
            </w:pPr>
            <w:r>
              <w:t>264.00</w:t>
            </w:r>
          </w:p>
        </w:tc>
        <w:tc>
          <w:tcPr>
            <w:tcW w:w="2551" w:type="dxa"/>
            <w:vAlign w:val="center"/>
          </w:tcPr>
          <w:p>
            <w:pPr>
              <w:pStyle w:val="13"/>
            </w:pPr>
          </w:p>
        </w:tc>
        <w:tc>
          <w:tcPr>
            <w:tcW w:w="2551" w:type="dxa"/>
            <w:vAlign w:val="center"/>
          </w:tcPr>
          <w:p>
            <w:pPr>
              <w:pStyle w:val="13"/>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2070699</w:t>
            </w:r>
          </w:p>
        </w:tc>
        <w:tc>
          <w:tcPr>
            <w:tcW w:w="4535" w:type="dxa"/>
            <w:vAlign w:val="center"/>
          </w:tcPr>
          <w:p>
            <w:pPr>
              <w:pStyle w:val="14"/>
            </w:pPr>
            <w:r>
              <w:t>其他新闻出版电影支出</w:t>
            </w:r>
          </w:p>
        </w:tc>
        <w:tc>
          <w:tcPr>
            <w:tcW w:w="2551" w:type="dxa"/>
            <w:vAlign w:val="center"/>
          </w:tcPr>
          <w:p>
            <w:pPr>
              <w:pStyle w:val="13"/>
            </w:pPr>
            <w:r>
              <w:t>4594.64</w:t>
            </w:r>
          </w:p>
        </w:tc>
        <w:tc>
          <w:tcPr>
            <w:tcW w:w="2551" w:type="dxa"/>
            <w:vAlign w:val="center"/>
          </w:tcPr>
          <w:p>
            <w:pPr>
              <w:pStyle w:val="13"/>
            </w:pPr>
            <w:r>
              <w:t>2097.19</w:t>
            </w:r>
          </w:p>
        </w:tc>
        <w:tc>
          <w:tcPr>
            <w:tcW w:w="2551" w:type="dxa"/>
            <w:vAlign w:val="center"/>
          </w:tcPr>
          <w:p>
            <w:pPr>
              <w:pStyle w:val="13"/>
            </w:pPr>
            <w:r>
              <w:t>2497.45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120.00</w:t>
            </w:r>
          </w:p>
        </w:tc>
        <w:tc>
          <w:tcPr>
            <w:tcW w:w="2551" w:type="dxa"/>
            <w:vAlign w:val="center"/>
          </w:tcPr>
          <w:p>
            <w:pPr>
              <w:pStyle w:val="13"/>
            </w:pPr>
          </w:p>
        </w:tc>
        <w:tc>
          <w:tcPr>
            <w:tcW w:w="2551" w:type="dxa"/>
            <w:vAlign w:val="center"/>
          </w:tcPr>
          <w:p>
            <w:pPr>
              <w:pStyle w:val="13"/>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2492.37</w:t>
            </w:r>
          </w:p>
        </w:tc>
        <w:tc>
          <w:tcPr>
            <w:tcW w:w="2551" w:type="dxa"/>
            <w:vAlign w:val="center"/>
          </w:tcPr>
          <w:p>
            <w:pPr>
              <w:pStyle w:val="13"/>
            </w:pPr>
            <w:r>
              <w:t>2492.37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2472.54</w:t>
            </w:r>
          </w:p>
        </w:tc>
        <w:tc>
          <w:tcPr>
            <w:tcW w:w="2551" w:type="dxa"/>
            <w:vAlign w:val="center"/>
          </w:tcPr>
          <w:p>
            <w:pPr>
              <w:pStyle w:val="13"/>
            </w:pPr>
            <w:r>
              <w:t>2472.54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2075.41</w:t>
            </w:r>
          </w:p>
        </w:tc>
        <w:tc>
          <w:tcPr>
            <w:tcW w:w="2551" w:type="dxa"/>
            <w:vAlign w:val="center"/>
          </w:tcPr>
          <w:p>
            <w:pPr>
              <w:pStyle w:val="13"/>
            </w:pPr>
            <w:r>
              <w:t>2075.41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264.77</w:t>
            </w:r>
          </w:p>
        </w:tc>
        <w:tc>
          <w:tcPr>
            <w:tcW w:w="2551" w:type="dxa"/>
            <w:vAlign w:val="center"/>
          </w:tcPr>
          <w:p>
            <w:pPr>
              <w:pStyle w:val="13"/>
            </w:pPr>
            <w:r>
              <w:t>264.77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132.36</w:t>
            </w:r>
          </w:p>
        </w:tc>
        <w:tc>
          <w:tcPr>
            <w:tcW w:w="2551" w:type="dxa"/>
            <w:vAlign w:val="center"/>
          </w:tcPr>
          <w:p>
            <w:pPr>
              <w:pStyle w:val="13"/>
            </w:pPr>
            <w:r>
              <w:t>132.36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19.83</w:t>
            </w:r>
          </w:p>
        </w:tc>
        <w:tc>
          <w:tcPr>
            <w:tcW w:w="2551" w:type="dxa"/>
            <w:vAlign w:val="center"/>
          </w:tcPr>
          <w:p>
            <w:pPr>
              <w:pStyle w:val="13"/>
            </w:pPr>
            <w:r>
              <w:t>19.83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19.83</w:t>
            </w:r>
          </w:p>
        </w:tc>
        <w:tc>
          <w:tcPr>
            <w:tcW w:w="2551" w:type="dxa"/>
            <w:vAlign w:val="center"/>
          </w:tcPr>
          <w:p>
            <w:pPr>
              <w:pStyle w:val="13"/>
            </w:pPr>
            <w:r>
              <w:t>19.83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181.99</w:t>
            </w:r>
          </w:p>
        </w:tc>
        <w:tc>
          <w:tcPr>
            <w:tcW w:w="2551" w:type="dxa"/>
            <w:vAlign w:val="center"/>
          </w:tcPr>
          <w:p>
            <w:pPr>
              <w:pStyle w:val="13"/>
            </w:pPr>
            <w:r>
              <w:t>181.99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181.99</w:t>
            </w:r>
          </w:p>
        </w:tc>
        <w:tc>
          <w:tcPr>
            <w:tcW w:w="2551" w:type="dxa"/>
            <w:vAlign w:val="center"/>
          </w:tcPr>
          <w:p>
            <w:pPr>
              <w:pStyle w:val="13"/>
            </w:pPr>
            <w:r>
              <w:t>181.99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181.99</w:t>
            </w:r>
          </w:p>
        </w:tc>
        <w:tc>
          <w:tcPr>
            <w:tcW w:w="2551" w:type="dxa"/>
            <w:vAlign w:val="center"/>
          </w:tcPr>
          <w:p>
            <w:pPr>
              <w:pStyle w:val="13"/>
            </w:pPr>
            <w:r>
              <w:t>181.99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279.84</w:t>
            </w:r>
          </w:p>
        </w:tc>
        <w:tc>
          <w:tcPr>
            <w:tcW w:w="2551" w:type="dxa"/>
            <w:vAlign w:val="center"/>
          </w:tcPr>
          <w:p>
            <w:pPr>
              <w:pStyle w:val="13"/>
            </w:pPr>
            <w:r>
              <w:t>279.84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279.84</w:t>
            </w:r>
          </w:p>
        </w:tc>
        <w:tc>
          <w:tcPr>
            <w:tcW w:w="2551" w:type="dxa"/>
            <w:vAlign w:val="center"/>
          </w:tcPr>
          <w:p>
            <w:pPr>
              <w:pStyle w:val="13"/>
            </w:pPr>
            <w:r>
              <w:t>279.84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279.84</w:t>
            </w:r>
          </w:p>
        </w:tc>
        <w:tc>
          <w:tcPr>
            <w:tcW w:w="2551" w:type="dxa"/>
            <w:vAlign w:val="center"/>
          </w:tcPr>
          <w:p>
            <w:pPr>
              <w:pStyle w:val="13"/>
            </w:pPr>
            <w:r>
              <w:t>279.84</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5051.39</w:t>
            </w:r>
          </w:p>
        </w:tc>
        <w:tc>
          <w:tcPr>
            <w:tcW w:w="2551" w:type="dxa"/>
            <w:vAlign w:val="center"/>
          </w:tcPr>
          <w:p>
            <w:pPr>
              <w:pStyle w:val="17"/>
            </w:pPr>
            <w:r>
              <w:t>5051.39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2975.98</w:t>
            </w:r>
          </w:p>
        </w:tc>
        <w:tc>
          <w:tcPr>
            <w:tcW w:w="2551" w:type="dxa"/>
            <w:vAlign w:val="center"/>
          </w:tcPr>
          <w:p>
            <w:pPr>
              <w:pStyle w:val="13"/>
            </w:pPr>
            <w:r>
              <w:t>2975.98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769.85</w:t>
            </w:r>
          </w:p>
        </w:tc>
        <w:tc>
          <w:tcPr>
            <w:tcW w:w="2551" w:type="dxa"/>
            <w:vAlign w:val="center"/>
          </w:tcPr>
          <w:p>
            <w:pPr>
              <w:pStyle w:val="13"/>
            </w:pPr>
            <w:r>
              <w:t>769.85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138.38</w:t>
            </w:r>
          </w:p>
        </w:tc>
        <w:tc>
          <w:tcPr>
            <w:tcW w:w="2551" w:type="dxa"/>
            <w:vAlign w:val="center"/>
          </w:tcPr>
          <w:p>
            <w:pPr>
              <w:pStyle w:val="13"/>
            </w:pPr>
            <w:r>
              <w:t>138.38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1098.11</w:t>
            </w:r>
          </w:p>
        </w:tc>
        <w:tc>
          <w:tcPr>
            <w:tcW w:w="2551" w:type="dxa"/>
            <w:vAlign w:val="center"/>
          </w:tcPr>
          <w:p>
            <w:pPr>
              <w:pStyle w:val="13"/>
            </w:pPr>
            <w:r>
              <w:t>1098.11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264.77</w:t>
            </w:r>
          </w:p>
        </w:tc>
        <w:tc>
          <w:tcPr>
            <w:tcW w:w="2551" w:type="dxa"/>
            <w:vAlign w:val="center"/>
          </w:tcPr>
          <w:p>
            <w:pPr>
              <w:pStyle w:val="13"/>
            </w:pPr>
            <w:r>
              <w:t>264.77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132.36</w:t>
            </w:r>
          </w:p>
        </w:tc>
        <w:tc>
          <w:tcPr>
            <w:tcW w:w="2551" w:type="dxa"/>
            <w:vAlign w:val="center"/>
          </w:tcPr>
          <w:p>
            <w:pPr>
              <w:pStyle w:val="13"/>
            </w:pPr>
            <w:r>
              <w:t>132.36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181.99</w:t>
            </w:r>
          </w:p>
        </w:tc>
        <w:tc>
          <w:tcPr>
            <w:tcW w:w="2551" w:type="dxa"/>
            <w:vAlign w:val="center"/>
          </w:tcPr>
          <w:p>
            <w:pPr>
              <w:pStyle w:val="13"/>
            </w:pPr>
            <w:r>
              <w:t>181.99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19.83</w:t>
            </w:r>
          </w:p>
        </w:tc>
        <w:tc>
          <w:tcPr>
            <w:tcW w:w="2551" w:type="dxa"/>
            <w:vAlign w:val="center"/>
          </w:tcPr>
          <w:p>
            <w:pPr>
              <w:pStyle w:val="13"/>
            </w:pPr>
            <w:r>
              <w:t>19.83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279.84</w:t>
            </w:r>
          </w:p>
        </w:tc>
        <w:tc>
          <w:tcPr>
            <w:tcW w:w="2551" w:type="dxa"/>
            <w:vAlign w:val="center"/>
          </w:tcPr>
          <w:p>
            <w:pPr>
              <w:pStyle w:val="13"/>
            </w:pPr>
            <w:r>
              <w:t>279.84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90.85</w:t>
            </w:r>
          </w:p>
        </w:tc>
        <w:tc>
          <w:tcPr>
            <w:tcW w:w="2551" w:type="dxa"/>
            <w:vAlign w:val="center"/>
          </w:tcPr>
          <w:p>
            <w:pPr>
              <w:pStyle w:val="13"/>
            </w:pPr>
            <w:r>
              <w:t>90.85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2075.41</w:t>
            </w:r>
          </w:p>
        </w:tc>
        <w:tc>
          <w:tcPr>
            <w:tcW w:w="2551" w:type="dxa"/>
            <w:vAlign w:val="center"/>
          </w:tcPr>
          <w:p>
            <w:pPr>
              <w:pStyle w:val="13"/>
            </w:pPr>
            <w:r>
              <w:t>2075.41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2075.41</w:t>
            </w:r>
          </w:p>
        </w:tc>
        <w:tc>
          <w:tcPr>
            <w:tcW w:w="2551" w:type="dxa"/>
            <w:vAlign w:val="center"/>
          </w:tcPr>
          <w:p>
            <w:pPr>
              <w:pStyle w:val="13"/>
            </w:pPr>
            <w:r>
              <w:t>2075.41</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358001石家庄日报社</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石家庄日报社2026年单位预算信息公开情况说明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按照《中华人民共和国预算法》、《地方预决算公开操作规程》和《关于进一步推进预算公开工作的实施意见》规定，现将石家庄日报社2026年单位预算公开如下：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500" w:lineRule="exact"/>
        <w:ind w:firstLine="560"/>
        <w:jc w:val="left"/>
        <w:outlineLvl w:val="9"/>
        <w:rPr>
          <w:rFonts w:hint="eastAsia" w:ascii="仿宋_GB2312" w:hAnsi="仿宋_GB2312" w:eastAsia="仿宋_GB2312" w:cs="仿宋_GB2312"/>
          <w:sz w:val="32"/>
          <w:szCs w:val="32"/>
          <w:lang w:val="en-US" w:eastAsia="uk-UA" w:bidi="ar-SA"/>
        </w:rPr>
      </w:pPr>
      <w:r>
        <w:rPr>
          <w:rFonts w:ascii="方正楷体_GBK" w:hAnsi="方正楷体_GBK" w:eastAsia="方正楷体_GBK" w:cs="方正楷体_GBK"/>
          <w:b/>
          <w:color w:val="000000"/>
          <w:sz w:val="32"/>
        </w:rPr>
        <w:t>单位职责：</w:t>
      </w:r>
      <w:r>
        <w:rPr>
          <w:rFonts w:hint="eastAsia" w:ascii="仿宋_GB2312" w:hAnsi="仿宋_GB2312" w:eastAsia="仿宋_GB2312" w:cs="仿宋_GB2312"/>
          <w:sz w:val="32"/>
          <w:szCs w:val="32"/>
          <w:lang w:val="en-US" w:eastAsia="uk-UA" w:bidi="ar-SA"/>
        </w:rPr>
        <w:t>根据《石家庄日报社职能配置、内设机构和人员编制规定》，石家庄日报社的主要职责是：</w:t>
      </w:r>
    </w:p>
    <w:p>
      <w:pPr>
        <w:spacing w:before="0" w:after="0" w:line="500" w:lineRule="exact"/>
        <w:ind w:firstLine="560"/>
        <w:jc w:val="left"/>
        <w:outlineLvl w:val="9"/>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石家庄日报社为市委直属正县级事业单位，主要职责一是确保作为石家庄市委机关报的党和人民喉舌的性质不变；二是加强对</w:t>
      </w:r>
      <w:r>
        <w:rPr>
          <w:rFonts w:hint="eastAsia" w:ascii="仿宋_GB2312" w:hAnsi="仿宋_GB2312" w:eastAsia="仿宋_GB2312" w:cs="仿宋_GB2312"/>
          <w:sz w:val="32"/>
          <w:szCs w:val="32"/>
          <w:lang w:val="en-US" w:eastAsia="zh-CN" w:bidi="ar-SA"/>
        </w:rPr>
        <w:t>石家庄日报、</w:t>
      </w:r>
      <w:r>
        <w:rPr>
          <w:rFonts w:hint="eastAsia" w:ascii="仿宋_GB2312" w:hAnsi="仿宋_GB2312" w:eastAsia="仿宋_GB2312" w:cs="仿宋_GB2312"/>
          <w:sz w:val="32"/>
          <w:szCs w:val="32"/>
          <w:lang w:val="en-US" w:eastAsia="uk-UA" w:bidi="ar-SA"/>
        </w:rPr>
        <w:t>燕赵晚报、</w:t>
      </w:r>
      <w:r>
        <w:rPr>
          <w:rFonts w:hint="eastAsia" w:ascii="仿宋_GB2312" w:hAnsi="仿宋_GB2312" w:eastAsia="仿宋_GB2312" w:cs="仿宋_GB2312"/>
          <w:sz w:val="32"/>
          <w:szCs w:val="32"/>
          <w:lang w:val="en-US" w:eastAsia="zh-CN" w:bidi="ar-SA"/>
        </w:rPr>
        <w:t>石家庄日报客户端、</w:t>
      </w:r>
      <w:r>
        <w:rPr>
          <w:rFonts w:hint="eastAsia" w:ascii="仿宋_GB2312" w:hAnsi="仿宋_GB2312" w:eastAsia="仿宋_GB2312" w:cs="仿宋_GB2312"/>
          <w:sz w:val="32"/>
          <w:szCs w:val="32"/>
          <w:lang w:val="en-US" w:eastAsia="uk-UA" w:bidi="ar-SA"/>
        </w:rPr>
        <w:t>石家庄新闻网等媒体的监管，确保新闻舆论导向正确</w:t>
      </w:r>
      <w:r>
        <w:rPr>
          <w:rFonts w:hint="eastAsia" w:ascii="仿宋_GB2312" w:hAnsi="仿宋_GB2312" w:eastAsia="仿宋_GB2312" w:cs="仿宋_GB2312"/>
          <w:sz w:val="32"/>
          <w:szCs w:val="32"/>
          <w:lang w:val="en-US" w:eastAsia="zh-CN" w:bidi="ar-SA"/>
        </w:rPr>
        <w:t>、鲜明有力</w:t>
      </w:r>
      <w:r>
        <w:rPr>
          <w:rFonts w:hint="eastAsia" w:ascii="仿宋_GB2312" w:hAnsi="仿宋_GB2312" w:eastAsia="仿宋_GB2312" w:cs="仿宋_GB2312"/>
          <w:sz w:val="32"/>
          <w:szCs w:val="32"/>
          <w:lang w:val="en-US" w:eastAsia="uk-UA" w:bidi="ar-SA"/>
        </w:rPr>
        <w:t>；三是以新闻宣传为中心 ，牢牢把握主流</w:t>
      </w:r>
      <w:r>
        <w:rPr>
          <w:rFonts w:hint="eastAsia" w:ascii="仿宋_GB2312" w:hAnsi="仿宋_GB2312" w:eastAsia="仿宋_GB2312" w:cs="仿宋_GB2312"/>
          <w:sz w:val="32"/>
          <w:szCs w:val="32"/>
          <w:lang w:val="en-US" w:eastAsia="zh-CN" w:bidi="ar-SA"/>
        </w:rPr>
        <w:t>媒体</w:t>
      </w:r>
      <w:r>
        <w:rPr>
          <w:rFonts w:hint="eastAsia" w:ascii="仿宋_GB2312" w:hAnsi="仿宋_GB2312" w:eastAsia="仿宋_GB2312" w:cs="仿宋_GB2312"/>
          <w:sz w:val="32"/>
          <w:szCs w:val="32"/>
          <w:lang w:val="en-US" w:eastAsia="uk-UA" w:bidi="ar-SA"/>
        </w:rPr>
        <w:t>话语权</w:t>
      </w:r>
      <w:r>
        <w:rPr>
          <w:rFonts w:hint="eastAsia" w:ascii="仿宋_GB2312" w:hAnsi="仿宋_GB2312" w:eastAsia="仿宋_GB2312" w:cs="仿宋_GB2312"/>
          <w:sz w:val="32"/>
          <w:szCs w:val="32"/>
          <w:lang w:val="en-US" w:eastAsia="zh-CN" w:bidi="ar-SA"/>
        </w:rPr>
        <w:t>，</w:t>
      </w:r>
      <w:r>
        <w:rPr>
          <w:rFonts w:hint="eastAsia" w:ascii="仿宋_GB2312" w:hAnsi="仿宋_GB2312" w:eastAsia="仿宋_GB2312" w:cs="仿宋_GB2312"/>
          <w:sz w:val="32"/>
          <w:szCs w:val="32"/>
          <w:lang w:val="en-US" w:eastAsia="uk-UA" w:bidi="ar-SA"/>
        </w:rPr>
        <w:t>为市委、市政府的中心工作助力和服务。</w:t>
      </w:r>
    </w:p>
    <w:p>
      <w:pPr>
        <w:spacing w:before="0" w:after="0" w:line="500" w:lineRule="exact"/>
        <w:ind w:firstLine="560"/>
        <w:jc w:val="left"/>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uk-UA" w:bidi="ar-SA"/>
        </w:rPr>
        <w:t>石家庄日报社作为石家庄报业传媒集团有限公司的出资人 ，牢牢把握对公司重大事项的决策权、对资产配置的控制权、对宣传内容的审定权，确保国有资产保值增值。</w:t>
      </w:r>
    </w:p>
    <w:p>
      <w:pPr>
        <w:pStyle w:val="19"/>
        <w:ind w:left="0" w:leftChars="0" w:firstLine="0" w:firstLineChars="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石家庄日报社</w:t>
            </w:r>
          </w:p>
        </w:tc>
        <w:tc>
          <w:tcPr>
            <w:tcW w:w="1843" w:type="dxa"/>
            <w:vAlign w:val="center"/>
          </w:tcPr>
          <w:p>
            <w:pPr>
              <w:pStyle w:val="15"/>
            </w:pPr>
            <w:r>
              <w:t>事业</w:t>
            </w:r>
          </w:p>
        </w:tc>
        <w:tc>
          <w:tcPr>
            <w:tcW w:w="2126" w:type="dxa"/>
            <w:vAlign w:val="center"/>
          </w:tcPr>
          <w:p>
            <w:pPr>
              <w:pStyle w:val="15"/>
            </w:pPr>
            <w:r>
              <w:t>正处（县）级</w:t>
            </w:r>
          </w:p>
        </w:tc>
        <w:tc>
          <w:tcPr>
            <w:tcW w:w="3827"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numPr>
          <w:ilvl w:val="0"/>
          <w:numId w:val="0"/>
        </w:numPr>
        <w:spacing w:before="10" w:after="10" w:line="240" w:lineRule="auto"/>
        <w:ind w:firstLine="640" w:firstLineChars="200"/>
        <w:jc w:val="left"/>
        <w:outlineLvl w:val="5"/>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2026年，我单位预算为7932.84万元。</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1、收入说明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反映本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当年全部收入。2026年预算收入</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万元，基金预算收入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 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万元，财政专户核拨收入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万元，单位资金收入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万元，上年结转结余</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2、支出说明</w:t>
      </w:r>
      <w:r>
        <w:rPr>
          <w:rFonts w:hint="eastAsia" w:ascii="仿宋_GB2312" w:hAnsi="仿宋_GB2312" w:eastAsia="仿宋_GB2312" w:cs="仿宋_GB2312"/>
          <w:i w:val="0"/>
          <w:caps w:val="0"/>
          <w:color w:val="212529"/>
          <w:spacing w:val="0"/>
          <w:sz w:val="32"/>
          <w:szCs w:val="32"/>
          <w:shd w:val="clear" w:fill="F3FCFD"/>
        </w:rPr>
        <w:br w:type="textWrapping"/>
      </w:r>
      <w:r>
        <w:rPr>
          <w:rFonts w:hint="eastAsia" w:ascii="仿宋_GB2312" w:hAnsi="仿宋_GB2312" w:eastAsia="仿宋_GB2312" w:cs="仿宋_GB2312"/>
          <w:sz w:val="32"/>
          <w:szCs w:val="32"/>
        </w:rPr>
        <w:t>       收支预算总表支出栏、基本支出表、项目支出表按经济分类和支出功能分类科目编制，反映石家庄</w:t>
      </w:r>
      <w:r>
        <w:rPr>
          <w:rFonts w:hint="eastAsia" w:ascii="仿宋_GB2312" w:hAnsi="仿宋_GB2312" w:eastAsia="仿宋_GB2312" w:cs="仿宋_GB2312"/>
          <w:sz w:val="32"/>
          <w:szCs w:val="32"/>
          <w:lang w:val="en-US" w:eastAsia="zh-CN"/>
        </w:rPr>
        <w:t>日报社</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预算中支出预算的总体情况。 2026年支出预算</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5051.39</w:t>
      </w:r>
      <w:r>
        <w:rPr>
          <w:rFonts w:hint="eastAsia" w:ascii="仿宋_GB2312" w:hAnsi="仿宋_GB2312" w:eastAsia="仿宋_GB2312" w:cs="仿宋_GB2312"/>
          <w:sz w:val="32"/>
          <w:szCs w:val="32"/>
        </w:rPr>
        <w:t>万元，人员经费</w:t>
      </w:r>
      <w:r>
        <w:rPr>
          <w:rFonts w:hint="eastAsia" w:ascii="仿宋_GB2312" w:hAnsi="仿宋_GB2312" w:eastAsia="仿宋_GB2312" w:cs="仿宋_GB2312"/>
          <w:sz w:val="32"/>
          <w:szCs w:val="32"/>
          <w:lang w:val="en-US" w:eastAsia="zh-CN"/>
        </w:rPr>
        <w:t>5051.39</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val="en-US" w:eastAsia="zh-CN"/>
        </w:rPr>
        <w:t>2881.45</w:t>
      </w:r>
      <w:r>
        <w:rPr>
          <w:rFonts w:hint="eastAsia" w:ascii="仿宋_GB2312" w:hAnsi="仿宋_GB2312" w:eastAsia="仿宋_GB2312" w:cs="仿宋_GB2312"/>
          <w:sz w:val="32"/>
          <w:szCs w:val="32"/>
        </w:rPr>
        <w:t>万元， 主要为:</w:t>
      </w:r>
      <w:r>
        <w:rPr>
          <w:rFonts w:hint="eastAsia" w:ascii="仿宋_GB2312" w:hAnsi="仿宋_GB2312" w:eastAsia="仿宋_GB2312" w:cs="仿宋_GB2312"/>
          <w:sz w:val="32"/>
          <w:szCs w:val="32"/>
          <w:lang w:val="en-US" w:eastAsia="zh-CN"/>
        </w:rPr>
        <w:t>石家庄市政府新闻发布中心升级改造项目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融媒体建设运维项目</w:t>
      </w:r>
      <w:r>
        <w:rPr>
          <w:rFonts w:hint="eastAsia" w:ascii="仿宋_GB2312" w:hAnsi="仿宋_GB2312" w:eastAsia="仿宋_GB2312" w:cs="仿宋_GB2312"/>
          <w:sz w:val="32"/>
          <w:szCs w:val="32"/>
        </w:rPr>
        <w:t>和</w:t>
      </w:r>
      <w:r>
        <w:rPr>
          <w:rFonts w:hint="eastAsia" w:ascii="仿宋_GB2312" w:hAnsi="仿宋_GB2312" w:eastAsia="仿宋_GB2312" w:cs="仿宋_GB2312"/>
          <w:sz w:val="32"/>
          <w:szCs w:val="32"/>
          <w:lang w:val="en-US" w:eastAsia="zh-CN"/>
        </w:rPr>
        <w:t>承担党报宣传等公益性职能运行项目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1" name="自选图形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wps:spPr>
                      <wps:bodyPr upright="1"/>
                    </wps:wsp>
                  </a:graphicData>
                </a:graphic>
              </wp:inline>
            </w:drawing>
          </mc:Choice>
          <mc:Fallback>
            <w:pict>
              <v:rect id="自选图形 1"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GU5CpzgAAAP8AAAAPAAAAAAAAAAEAIAAAACIAAABkcnMvZG93&#10;bnJldi54bWxQSwECFAAUAAAACACHTuJA2rFjdQoCAAAeBAAADgAAAAAAAAABACAAAAAdAQAAZHJz&#10;L2Uyb0RvYy54bWxQSwUGAAAAAAYABgBZAQAAmQU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lang w:eastAsia="zh-CN"/>
        </w:rPr>
        <w:t>。</w:t>
      </w:r>
    </w:p>
    <w:p>
      <w:pPr>
        <w:pStyle w:val="24"/>
        <w:rPr>
          <w:rFonts w:ascii="黑体" w:hAnsi="黑体" w:eastAsia="黑体" w:cs="黑体"/>
          <w:color w:val="000000"/>
          <w:sz w:val="32"/>
        </w:rPr>
      </w:pPr>
      <w:r>
        <w:rPr>
          <w:rFonts w:hint="eastAsia" w:ascii="仿宋_GB2312" w:hAnsi="仿宋_GB2312" w:eastAsia="仿宋_GB2312" w:cs="仿宋_GB2312"/>
          <w:sz w:val="32"/>
          <w:szCs w:val="32"/>
        </w:rPr>
        <w:t>  3、比上年增减情况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2026年预算收支安排</w:t>
      </w:r>
      <w:r>
        <w:rPr>
          <w:rFonts w:hint="eastAsia" w:ascii="仿宋_GB2312" w:hAnsi="仿宋_GB2312" w:eastAsia="仿宋_GB2312" w:cs="仿宋_GB2312"/>
          <w:sz w:val="32"/>
          <w:szCs w:val="32"/>
          <w:lang w:val="en-US" w:eastAsia="zh-CN"/>
        </w:rPr>
        <w:t>7932.84</w:t>
      </w:r>
      <w:r>
        <w:rPr>
          <w:rFonts w:hint="eastAsia" w:ascii="仿宋_GB2312" w:hAnsi="仿宋_GB2312" w:eastAsia="仿宋_GB2312" w:cs="仿宋_GB2312"/>
          <w:sz w:val="32"/>
          <w:szCs w:val="32"/>
        </w:rPr>
        <w:t>万元，较2025年预算</w:t>
      </w:r>
      <w:r>
        <w:rPr>
          <w:rFonts w:hint="eastAsia" w:ascii="仿宋_GB2312" w:hAnsi="仿宋_GB2312" w:eastAsia="仿宋_GB2312" w:cs="仿宋_GB2312"/>
          <w:sz w:val="32"/>
          <w:szCs w:val="32"/>
          <w:lang w:val="en-US" w:eastAsia="zh-CN"/>
        </w:rPr>
        <w:t>减少658.5</w:t>
      </w:r>
      <w:r>
        <w:rPr>
          <w:rFonts w:hint="eastAsia" w:ascii="仿宋_GB2312" w:hAnsi="仿宋_GB2312" w:eastAsia="仿宋_GB2312" w:cs="仿宋_GB2312"/>
          <w:sz w:val="32"/>
          <w:szCs w:val="32"/>
        </w:rPr>
        <w:t>万元， 其中：基本支出</w:t>
      </w:r>
      <w:r>
        <w:rPr>
          <w:rFonts w:hint="eastAsia" w:ascii="仿宋_GB2312" w:hAnsi="仿宋_GB2312" w:eastAsia="仿宋_GB2312" w:cs="仿宋_GB2312"/>
          <w:sz w:val="32"/>
          <w:szCs w:val="32"/>
          <w:lang w:val="en-US" w:eastAsia="zh-CN"/>
        </w:rPr>
        <w:t>减少86.95</w:t>
      </w:r>
      <w:r>
        <w:rPr>
          <w:rFonts w:hint="eastAsia" w:ascii="仿宋_GB2312" w:hAnsi="仿宋_GB2312" w:eastAsia="仿宋_GB2312" w:cs="仿宋_GB2312"/>
          <w:sz w:val="32"/>
          <w:szCs w:val="32"/>
        </w:rPr>
        <w:t>万元，主要为：人员经费支出</w:t>
      </w:r>
      <w:r>
        <w:rPr>
          <w:rFonts w:hint="eastAsia" w:ascii="仿宋_GB2312" w:hAnsi="仿宋_GB2312" w:eastAsia="仿宋_GB2312" w:cs="仿宋_GB2312"/>
          <w:sz w:val="32"/>
          <w:szCs w:val="32"/>
          <w:lang w:val="en-US" w:eastAsia="zh-CN"/>
        </w:rPr>
        <w:t>减少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2" name="自选图形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wps:spPr>
                      <wps:bodyPr upright="1"/>
                    </wps:wsp>
                  </a:graphicData>
                </a:graphic>
              </wp:inline>
            </w:drawing>
          </mc:Choice>
          <mc:Fallback>
            <w:pict>
              <v:rect id="自选图形 2"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GU5CpzgAAAP8AAAAPAAAAAAAAAAEAIAAAACIAAABkcnMvZG93&#10;bnJldi54bWxQSwECFAAUAAAACACHTuJA6PpCHwoCAAAeBAAADgAAAAAAAAABACAAAAAdAQAAZHJz&#10;L2Uyb0RvYy54bWxQSwUGAAAAAAYABgBZAQAAmQU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rPr>
        <w:t>项目支出减少</w:t>
      </w:r>
      <w:r>
        <w:rPr>
          <w:rFonts w:hint="eastAsia" w:ascii="仿宋_GB2312" w:hAnsi="仿宋_GB2312" w:eastAsia="仿宋_GB2312" w:cs="仿宋_GB2312"/>
          <w:sz w:val="32"/>
          <w:szCs w:val="32"/>
          <w:lang w:val="en-US" w:eastAsia="zh-CN"/>
        </w:rPr>
        <w:t>571.55</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val="en-US" w:eastAsia="zh-CN"/>
        </w:rPr>
        <w:t>融媒体建设运维</w:t>
      </w:r>
      <w:r>
        <w:rPr>
          <w:rFonts w:hint="eastAsia" w:ascii="仿宋_GB2312" w:hAnsi="仿宋_GB2312" w:eastAsia="仿宋_GB2312" w:cs="仿宋_GB2312"/>
          <w:sz w:val="32"/>
          <w:szCs w:val="32"/>
        </w:rPr>
        <w:t>经费</w:t>
      </w:r>
      <w:r>
        <w:rPr>
          <w:rFonts w:hint="eastAsia" w:ascii="仿宋_GB2312" w:hAnsi="仿宋_GB2312" w:eastAsia="仿宋_GB2312" w:cs="仿宋_GB2312"/>
          <w:sz w:val="32"/>
          <w:szCs w:val="32"/>
          <w:lang w:val="en-US" w:eastAsia="zh-CN"/>
        </w:rPr>
        <w:t>和石家庄市政府新闻发布中心升级改造项目经费减少</w:t>
      </w:r>
      <w:r>
        <w:rPr>
          <w:rFonts w:hint="eastAsia" w:ascii="仿宋_GB2312" w:hAnsi="仿宋_GB2312" w:eastAsia="仿宋_GB2312" w:cs="仿宋_GB2312"/>
          <w:sz w:val="32"/>
          <w:szCs w:val="32"/>
        </w:rPr>
        <mc:AlternateContent>
          <mc:Choice Requires="wps">
            <w:drawing>
              <wp:inline distT="0" distB="0" distL="114300" distR="114300">
                <wp:extent cx="635" cy="0"/>
                <wp:effectExtent l="0" t="4445" r="0" b="5080"/>
                <wp:docPr id="3" name="自选图形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635" cy="0"/>
                        </a:xfrm>
                        <a:prstGeom prst="rect">
                          <a:avLst/>
                        </a:prstGeom>
                        <a:noFill/>
                        <a:ln w="9525" cap="flat" cmpd="sng">
                          <a:solidFill>
                            <a:srgbClr val="000000"/>
                          </a:solidFill>
                          <a:prstDash val="solid"/>
                          <a:miter/>
                          <a:headEnd type="none" w="med" len="med"/>
                          <a:tailEnd type="none" w="med" len="med"/>
                        </a:ln>
                      </wps:spPr>
                      <wps:bodyPr upright="1"/>
                    </wps:wsp>
                  </a:graphicData>
                </a:graphic>
              </wp:inline>
            </w:drawing>
          </mc:Choice>
          <mc:Fallback>
            <w:pict>
              <v:rect id="自选图形 3" o:spid="_x0000_s1026" o:spt="1" style="height:0pt;width:0.05pt;" filled="f" stroked="t" coordsize="21600,21600" o:gfxdata="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BlOQqc4AAAD/AAAADwAAAAAAAAABACAAAAAiAAAAZHJzL2Rv&#10;d25yZXYueG1sUEsBAhQAFAAAAAgAh07iQDk+jY8LAgAAHgQAAA4AAAAAAAAAAQAgAAAAHQEAAGRy&#10;cy9lMm9Eb2MueG1sUEsFBgAAAAAGAAYAWQEAAJoFAAAAAA==&#10;">
                <v:fill on="f" focussize="0,0"/>
                <v:stroke color="#000000" joinstyle="miter"/>
                <v:imagedata o:title=""/>
                <o:lock v:ext="edit" aspectratio="t"/>
                <w10:wrap type="none"/>
                <w10:anchorlock/>
              </v:rect>
            </w:pict>
          </mc:Fallback>
        </mc:AlternateConten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color w:val="000000"/>
          <w:sz w:val="32"/>
          <w:lang w:val="en-US" w:eastAsia="zh-CN"/>
        </w:rPr>
        <w:t>三、</w:t>
      </w:r>
      <w:r>
        <w:rPr>
          <w:rFonts w:ascii="黑体" w:hAnsi="黑体" w:eastAsia="黑体" w:cs="黑体"/>
          <w:color w:val="000000"/>
          <w:sz w:val="32"/>
        </w:rPr>
        <w:t>机关运行经费安排情况</w:t>
      </w:r>
    </w:p>
    <w:p>
      <w:pPr>
        <w:pStyle w:val="20"/>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我单位未安排此项经费。</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我单位未安排此项经费。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0" w:after="0" w:line="500" w:lineRule="exact"/>
        <w:ind w:firstLine="560"/>
        <w:jc w:val="left"/>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（一）总体绩效目标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uk-UA" w:bidi="ar-SA"/>
        </w:rPr>
        <w:t>为充分发挥石家庄日报党报宣传等公益性职能，加快传统媒体和新媒体的融合发展，我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积极探索报社产业结构的调整，实施体制机制的改革，全面提升舆论引导能力。多项目挖掘报社产业，发展新的经济增长点，谋划开展经济发展的重要项目，并实施人才战略引进高端人才，激发集团活力和核心竞争力，为此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适时适度申报财政资金，用于我</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事业和产业发展。加强资金争引工作，配合有关业务部门做好各类项目的筛选和上报工作。加强项目资金管理。要加强对各类项目资金管理，既要让项目资金准确及时到位，又要确保资金安全，规范运行，让有限的资金发挥更大的作用。确保各预算项目顺利进行，保障本单位长期稳定发展。</w:t>
      </w:r>
    </w:p>
    <w:p>
      <w:pPr>
        <w:spacing w:before="0" w:after="0" w:line="500" w:lineRule="exact"/>
        <w:ind w:firstLine="560"/>
        <w:jc w:val="left"/>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（二）分项绩效目标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1、确保各预算项目及时立项，按时申报，不耽误项目实施时间。</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2、确保各预算项目金额准确，中途不进行更改，保证项目进行效率。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3、在</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内部进行相关部门培训，确保项目在</w:t>
      </w:r>
      <w:r>
        <w:rPr>
          <w:rFonts w:hint="eastAsia" w:ascii="仿宋_GB2312" w:hAnsi="仿宋_GB2312" w:eastAsia="仿宋_GB2312" w:cs="仿宋_GB2312"/>
          <w:sz w:val="32"/>
          <w:szCs w:val="32"/>
          <w:lang w:val="en-US" w:eastAsia="zh-CN" w:bidi="ar-SA"/>
        </w:rPr>
        <w:t>部门</w:t>
      </w:r>
      <w:r>
        <w:rPr>
          <w:rFonts w:hint="eastAsia" w:ascii="仿宋_GB2312" w:hAnsi="仿宋_GB2312" w:eastAsia="仿宋_GB2312" w:cs="仿宋_GB2312"/>
          <w:sz w:val="32"/>
          <w:szCs w:val="32"/>
          <w:lang w:val="en-US" w:eastAsia="uk-UA" w:bidi="ar-SA"/>
        </w:rPr>
        <w:t>可以顺利进行，项目有关部门不拖沓不卡壳。</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4、加强项目资金管理，规范资金使用时间、范围及用途，确保资金专款专用。</w:t>
      </w:r>
    </w:p>
    <w:p>
      <w:pPr>
        <w:numPr>
          <w:ilvl w:val="0"/>
          <w:numId w:val="0"/>
        </w:numPr>
        <w:spacing w:before="10" w:after="10"/>
        <w:ind w:left="560" w:leftChars="0"/>
        <w:jc w:val="left"/>
        <w:outlineLvl w:val="1"/>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uk-UA" w:bidi="ar-SA"/>
        </w:rPr>
        <w:t>5、加强绩效监控，及时纠正可能出现的问题，保障项目顺利进行。</w:t>
      </w:r>
    </w:p>
    <w:p>
      <w:pPr>
        <w:spacing w:before="0" w:after="0" w:line="500" w:lineRule="exact"/>
        <w:ind w:firstLine="560"/>
        <w:jc w:val="left"/>
        <w:outlineLvl w:val="9"/>
        <w:rPr>
          <w:rFonts w:hint="eastAsia" w:ascii="仿宋_GB2312" w:hAnsi="仿宋_GB2312" w:eastAsia="仿宋_GB2312" w:cs="仿宋_GB2312"/>
          <w:sz w:val="32"/>
          <w:szCs w:val="32"/>
          <w:lang w:val="en-US" w:eastAsia="zh-CN" w:bidi="ar-SA"/>
        </w:rPr>
      </w:pPr>
      <w:r>
        <w:rPr>
          <w:rFonts w:hint="eastAsia" w:ascii="仿宋_GB2312" w:hAnsi="仿宋_GB2312" w:eastAsia="仿宋_GB2312" w:cs="仿宋_GB2312"/>
          <w:sz w:val="32"/>
          <w:szCs w:val="32"/>
          <w:lang w:val="en-US" w:eastAsia="zh-CN" w:bidi="ar-SA"/>
        </w:rPr>
        <w:t>（三）工作保障措施</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1、完善制度建设。包括制定完善预算绩效管理制度、资金管理办法、工作保障制度等，为全年预算绩效目标的实现奠定制度基础。</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2、加强支出管理。通过优化支出结构、编细编实预算、尽快启动项目、及时支付资金、按规定及时下达资金等多种措施，确保支出进度达标。</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3、加强绩效运行监控。按要求开展绩效运行监控，发现问题及时采取措施，确保绩效目标如期保质实现。</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uk-UA" w:bidi="ar-SA"/>
        </w:rPr>
      </w:pPr>
      <w:r>
        <w:rPr>
          <w:rFonts w:hint="eastAsia" w:ascii="仿宋_GB2312" w:hAnsi="仿宋_GB2312" w:eastAsia="仿宋_GB2312" w:cs="仿宋_GB2312"/>
          <w:sz w:val="32"/>
          <w:szCs w:val="32"/>
          <w:lang w:val="en-US" w:eastAsia="uk-UA" w:bidi="ar-SA"/>
        </w:rPr>
        <w:t>4、做好绩效自评。按要求开展上年度部门预算绩效自评和重点评价工作，对评价中发现的问题及时整改，调整优化支出结构，提高财政资金使用效益。</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jc w:val="both"/>
        <w:textAlignment w:val="auto"/>
        <w:rPr>
          <w:rFonts w:hint="eastAsia" w:ascii="仿宋_GB2312" w:hAnsi="仿宋_GB2312" w:eastAsia="仿宋_GB2312" w:cs="仿宋_GB2312"/>
          <w:sz w:val="32"/>
          <w:szCs w:val="32"/>
          <w:lang w:val="en-US" w:eastAsia="zh-CN" w:bidi="ar-SA"/>
        </w:rPr>
        <w:sectPr>
          <w:pgSz w:w="16840" w:h="11900" w:orient="landscape"/>
          <w:pgMar w:top="1304" w:right="1984" w:bottom="1304" w:left="1134" w:header="720" w:footer="720" w:gutter="0"/>
          <w:pgNumType w:fmt="decimal"/>
          <w:cols w:space="720" w:num="1"/>
        </w:sectPr>
      </w:pPr>
      <w:r>
        <w:rPr>
          <w:rFonts w:hint="eastAsia" w:ascii="仿宋_GB2312" w:hAnsi="仿宋_GB2312" w:eastAsia="仿宋_GB2312" w:cs="仿宋_GB2312"/>
          <w:sz w:val="32"/>
          <w:szCs w:val="32"/>
          <w:lang w:val="en-US" w:eastAsia="uk-UA" w:bidi="ar-SA"/>
        </w:rPr>
        <w:t>5加强宣传培训调研等。加强人员培训，提高本部门职工业务素质；加强调研，提出优化财政资金配置、提高资金使用效益的意见；加大宣传力度，强化预算绩效管理意识，促进预算绩效管理水平进一步提升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ind w:firstLine="560"/>
        <w:jc w:val="left"/>
        <w:outlineLvl w:val="9"/>
      </w:pPr>
      <w:r>
        <w:rPr>
          <w:rFonts w:ascii="方正仿宋_GBK" w:hAnsi="方正仿宋_GBK" w:eastAsia="方正仿宋_GBK" w:cs="方正仿宋_GBK"/>
          <w:b/>
          <w:color w:val="000000"/>
          <w:sz w:val="28"/>
        </w:rPr>
        <w:t>1、报刊赠阅绩效目标表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13010025P009646100022</w:t>
            </w:r>
          </w:p>
        </w:tc>
        <w:tc>
          <w:tcPr>
            <w:tcW w:w="2835" w:type="dxa"/>
            <w:vAlign w:val="center"/>
          </w:tcPr>
          <w:p>
            <w:pPr>
              <w:pStyle w:val="12"/>
            </w:pPr>
            <w:r>
              <w:t>项目名称</w:t>
            </w:r>
          </w:p>
        </w:tc>
        <w:tc>
          <w:tcPr>
            <w:tcW w:w="6095" w:type="dxa"/>
            <w:gridSpan w:val="3"/>
            <w:vAlign w:val="center"/>
          </w:tcPr>
          <w:p>
            <w:pPr>
              <w:pStyle w:val="14"/>
            </w:pPr>
            <w:r>
              <w:t>报刊赠阅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264.00</w:t>
            </w:r>
          </w:p>
        </w:tc>
        <w:tc>
          <w:tcPr>
            <w:tcW w:w="2835" w:type="dxa"/>
            <w:vAlign w:val="center"/>
          </w:tcPr>
          <w:p>
            <w:pPr>
              <w:pStyle w:val="12"/>
            </w:pPr>
            <w:r>
              <w:t>其中：财政    资金</w:t>
            </w:r>
          </w:p>
        </w:tc>
        <w:tc>
          <w:tcPr>
            <w:tcW w:w="2551" w:type="dxa"/>
            <w:vAlign w:val="center"/>
          </w:tcPr>
          <w:p>
            <w:pPr>
              <w:pStyle w:val="14"/>
            </w:pPr>
            <w:r>
              <w:t>264.00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完成2026年度报刊赠阅工作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1.完成2026年度报刊赠阅工作，弥补报纸成本上涨带来的部分损失，支持完成党报发行任务。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印刷数量</w:t>
            </w:r>
          </w:p>
        </w:tc>
        <w:tc>
          <w:tcPr>
            <w:tcW w:w="5386" w:type="dxa"/>
            <w:vAlign w:val="center"/>
          </w:tcPr>
          <w:p>
            <w:pPr>
              <w:pStyle w:val="14"/>
            </w:pPr>
            <w:r>
              <w:t>报刊印刷赠送数量</w:t>
            </w:r>
          </w:p>
        </w:tc>
        <w:tc>
          <w:tcPr>
            <w:tcW w:w="2268" w:type="dxa"/>
            <w:vAlign w:val="center"/>
          </w:tcPr>
          <w:p>
            <w:pPr>
              <w:pStyle w:val="14"/>
            </w:pPr>
            <w:r>
              <w:t>≥3388份</w:t>
            </w:r>
          </w:p>
        </w:tc>
        <w:tc>
          <w:tcPr>
            <w:tcW w:w="1276" w:type="dxa"/>
            <w:vAlign w:val="center"/>
          </w:tcPr>
          <w:p>
            <w:pPr>
              <w:pStyle w:val="14"/>
            </w:pPr>
            <w:r>
              <w:t>根据政策需求每年实际调整，实际赠阅份数不少于3388份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印刷质量</w:t>
            </w:r>
          </w:p>
        </w:tc>
        <w:tc>
          <w:tcPr>
            <w:tcW w:w="5386" w:type="dxa"/>
            <w:vAlign w:val="center"/>
          </w:tcPr>
          <w:p>
            <w:pPr>
              <w:pStyle w:val="14"/>
            </w:pPr>
            <w:r>
              <w:t>报刊赠阅的印刷质量</w:t>
            </w:r>
          </w:p>
        </w:tc>
        <w:tc>
          <w:tcPr>
            <w:tcW w:w="2268" w:type="dxa"/>
            <w:vAlign w:val="center"/>
          </w:tcPr>
          <w:p>
            <w:pPr>
              <w:pStyle w:val="14"/>
            </w:pPr>
            <w:r>
              <w:t>达到行业标准</w:t>
            </w:r>
          </w:p>
        </w:tc>
        <w:tc>
          <w:tcPr>
            <w:tcW w:w="1276" w:type="dxa"/>
            <w:vAlign w:val="center"/>
          </w:tcPr>
          <w:p>
            <w:pPr>
              <w:pStyle w:val="14"/>
            </w:pPr>
            <w:r>
              <w:t>根据报刊行业印刷确认标准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报刊赠阅实际完成时间</w:t>
            </w:r>
          </w:p>
        </w:tc>
        <w:tc>
          <w:tcPr>
            <w:tcW w:w="2268" w:type="dxa"/>
            <w:vAlign w:val="center"/>
          </w:tcPr>
          <w:p>
            <w:pPr>
              <w:pStyle w:val="14"/>
            </w:pPr>
            <w:r>
              <w:t>报刊赠阅在2026年底之前完成</w:t>
            </w:r>
          </w:p>
        </w:tc>
        <w:tc>
          <w:tcPr>
            <w:tcW w:w="1276" w:type="dxa"/>
            <w:vAlign w:val="center"/>
          </w:tcPr>
          <w:p>
            <w:pPr>
              <w:pStyle w:val="14"/>
            </w:pPr>
            <w:r>
              <w:t>项目在2026年12月31日之前完成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分项成本</w:t>
            </w:r>
          </w:p>
        </w:tc>
        <w:tc>
          <w:tcPr>
            <w:tcW w:w="5386" w:type="dxa"/>
            <w:vAlign w:val="center"/>
          </w:tcPr>
          <w:p>
            <w:pPr>
              <w:pStyle w:val="14"/>
            </w:pPr>
            <w:r>
              <w:t>报刊赠阅成本</w:t>
            </w:r>
          </w:p>
        </w:tc>
        <w:tc>
          <w:tcPr>
            <w:tcW w:w="2268" w:type="dxa"/>
            <w:vAlign w:val="center"/>
          </w:tcPr>
          <w:p>
            <w:pPr>
              <w:pStyle w:val="14"/>
            </w:pPr>
            <w:r>
              <w:t>≥179.56万元</w:t>
            </w:r>
          </w:p>
        </w:tc>
        <w:tc>
          <w:tcPr>
            <w:tcW w:w="1276" w:type="dxa"/>
            <w:vAlign w:val="center"/>
          </w:tcPr>
          <w:p>
            <w:pPr>
              <w:pStyle w:val="14"/>
            </w:pPr>
            <w:r>
              <w:t>根据石家庄日报年订阅价530元确定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分项成本</w:t>
            </w:r>
          </w:p>
        </w:tc>
        <w:tc>
          <w:tcPr>
            <w:tcW w:w="5386" w:type="dxa"/>
            <w:vAlign w:val="center"/>
          </w:tcPr>
          <w:p>
            <w:pPr>
              <w:pStyle w:val="14"/>
            </w:pPr>
            <w:r>
              <w:t>弥补报纸涨价部分成本</w:t>
            </w:r>
          </w:p>
        </w:tc>
        <w:tc>
          <w:tcPr>
            <w:tcW w:w="2268" w:type="dxa"/>
            <w:vAlign w:val="center"/>
          </w:tcPr>
          <w:p>
            <w:pPr>
              <w:pStyle w:val="14"/>
            </w:pPr>
            <w:r>
              <w:t>≥84.44万元</w:t>
            </w:r>
          </w:p>
        </w:tc>
        <w:tc>
          <w:tcPr>
            <w:tcW w:w="1276" w:type="dxa"/>
            <w:vAlign w:val="center"/>
          </w:tcPr>
          <w:p>
            <w:pPr>
              <w:pStyle w:val="14"/>
            </w:pPr>
            <w:r>
              <w:t>石家庄日报年订阅价由386元调至530元，根据涨价部分确定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工作保障率</w:t>
            </w:r>
          </w:p>
        </w:tc>
        <w:tc>
          <w:tcPr>
            <w:tcW w:w="5386" w:type="dxa"/>
            <w:vAlign w:val="center"/>
          </w:tcPr>
          <w:p>
            <w:pPr>
              <w:pStyle w:val="14"/>
            </w:pPr>
            <w:r>
              <w:t>报刊赠阅实施对正常工作的保障程度</w:t>
            </w:r>
          </w:p>
        </w:tc>
        <w:tc>
          <w:tcPr>
            <w:tcW w:w="2268" w:type="dxa"/>
            <w:vAlign w:val="center"/>
          </w:tcPr>
          <w:p>
            <w:pPr>
              <w:pStyle w:val="14"/>
            </w:pPr>
            <w:r>
              <w:t>≥90百分比</w:t>
            </w:r>
          </w:p>
        </w:tc>
        <w:tc>
          <w:tcPr>
            <w:tcW w:w="1276" w:type="dxa"/>
            <w:vAlign w:val="center"/>
          </w:tcPr>
          <w:p>
            <w:pPr>
              <w:pStyle w:val="14"/>
            </w:pPr>
            <w:r>
              <w:t>按照上年度报刊赠阅经验及对社会带来积极影响来确定2026年度该项目的后续影响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报刊赠阅服务群体是否满意</w:t>
            </w:r>
          </w:p>
        </w:tc>
        <w:tc>
          <w:tcPr>
            <w:tcW w:w="2268" w:type="dxa"/>
            <w:vAlign w:val="center"/>
          </w:tcPr>
          <w:p>
            <w:pPr>
              <w:pStyle w:val="14"/>
            </w:pPr>
            <w:r>
              <w:t>≥90百分比</w:t>
            </w:r>
          </w:p>
        </w:tc>
        <w:tc>
          <w:tcPr>
            <w:tcW w:w="1276" w:type="dxa"/>
            <w:vAlign w:val="center"/>
          </w:tcPr>
          <w:p>
            <w:pPr>
              <w:pStyle w:val="14"/>
            </w:pPr>
            <w:r>
              <w:t>根据上年度调研经验确定</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2、承担党报宣传等公益性职能运行经费绩效目标表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13010025P00937710003R</w:t>
            </w:r>
          </w:p>
        </w:tc>
        <w:tc>
          <w:tcPr>
            <w:tcW w:w="2835" w:type="dxa"/>
            <w:vAlign w:val="center"/>
          </w:tcPr>
          <w:p>
            <w:pPr>
              <w:pStyle w:val="12"/>
            </w:pPr>
            <w:r>
              <w:t>项目名称</w:t>
            </w:r>
          </w:p>
        </w:tc>
        <w:tc>
          <w:tcPr>
            <w:tcW w:w="6095" w:type="dxa"/>
            <w:gridSpan w:val="3"/>
            <w:vAlign w:val="center"/>
          </w:tcPr>
          <w:p>
            <w:pPr>
              <w:pStyle w:val="14"/>
            </w:pPr>
            <w:r>
              <w:t>承担党报宣传等公益性职能运行经费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1400.00</w:t>
            </w:r>
          </w:p>
        </w:tc>
        <w:tc>
          <w:tcPr>
            <w:tcW w:w="2835" w:type="dxa"/>
            <w:vAlign w:val="center"/>
          </w:tcPr>
          <w:p>
            <w:pPr>
              <w:pStyle w:val="12"/>
            </w:pPr>
            <w:r>
              <w:t>其中：财政    资金</w:t>
            </w:r>
          </w:p>
        </w:tc>
        <w:tc>
          <w:tcPr>
            <w:tcW w:w="2551" w:type="dxa"/>
            <w:vAlign w:val="center"/>
          </w:tcPr>
          <w:p>
            <w:pPr>
              <w:pStyle w:val="14"/>
            </w:pPr>
            <w:r>
              <w:t>1400.00</w:t>
            </w:r>
          </w:p>
        </w:tc>
        <w:tc>
          <w:tcPr>
            <w:tcW w:w="2268" w:type="dxa"/>
            <w:vAlign w:val="center"/>
          </w:tcPr>
          <w:p>
            <w:pPr>
              <w:pStyle w:val="12"/>
            </w:pPr>
            <w:r>
              <w:t>其他资金</w:t>
            </w:r>
          </w:p>
        </w:tc>
        <w:tc>
          <w:tcPr>
            <w:tcW w:w="1276" w:type="dxa"/>
            <w:vAlign w:val="center"/>
          </w:tcPr>
          <w:p>
            <w:pPr>
              <w:pStyle w:val="14"/>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保障石家庄日报社日常运转及党报宣传等公益性职能正常运行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1.保障石家庄日报社日常运转，支持党报宣传等公益性职能正常运行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公益性宣传数量</w:t>
            </w:r>
          </w:p>
        </w:tc>
        <w:tc>
          <w:tcPr>
            <w:tcW w:w="5386" w:type="dxa"/>
            <w:vAlign w:val="center"/>
          </w:tcPr>
          <w:p>
            <w:pPr>
              <w:pStyle w:val="14"/>
            </w:pPr>
            <w:r>
              <w:t>全年宣传数量不少于247次</w:t>
            </w:r>
          </w:p>
        </w:tc>
        <w:tc>
          <w:tcPr>
            <w:tcW w:w="2268" w:type="dxa"/>
            <w:vAlign w:val="center"/>
          </w:tcPr>
          <w:p>
            <w:pPr>
              <w:pStyle w:val="14"/>
            </w:pPr>
            <w:r>
              <w:t>≥247次</w:t>
            </w:r>
          </w:p>
        </w:tc>
        <w:tc>
          <w:tcPr>
            <w:tcW w:w="1276" w:type="dxa"/>
            <w:vAlign w:val="center"/>
          </w:tcPr>
          <w:p>
            <w:pPr>
              <w:pStyle w:val="14"/>
            </w:pPr>
            <w:r>
              <w:t>根据2025年度党报等公益性宣传报道经验及2026年度工作安排制定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宣传覆盖率</w:t>
            </w:r>
          </w:p>
        </w:tc>
        <w:tc>
          <w:tcPr>
            <w:tcW w:w="5386" w:type="dxa"/>
            <w:vAlign w:val="center"/>
          </w:tcPr>
          <w:p>
            <w:pPr>
              <w:pStyle w:val="14"/>
            </w:pPr>
            <w:r>
              <w:t>宣传覆盖石家庄日报、燕赵老年报、石家庄日报客户端、石家庄新闻网4个部门</w:t>
            </w:r>
          </w:p>
        </w:tc>
        <w:tc>
          <w:tcPr>
            <w:tcW w:w="2268" w:type="dxa"/>
            <w:vAlign w:val="center"/>
          </w:tcPr>
          <w:p>
            <w:pPr>
              <w:pStyle w:val="14"/>
            </w:pPr>
            <w:r>
              <w:t>4个</w:t>
            </w:r>
          </w:p>
        </w:tc>
        <w:tc>
          <w:tcPr>
            <w:tcW w:w="1276" w:type="dxa"/>
            <w:vAlign w:val="center"/>
          </w:tcPr>
          <w:p>
            <w:pPr>
              <w:pStyle w:val="14"/>
            </w:pPr>
            <w:r>
              <w:t>根据2025年度公益性宣传安排及2026年工作计划制定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在预算时间内完成此项目</w:t>
            </w:r>
          </w:p>
        </w:tc>
        <w:tc>
          <w:tcPr>
            <w:tcW w:w="2268" w:type="dxa"/>
            <w:vAlign w:val="center"/>
          </w:tcPr>
          <w:p>
            <w:pPr>
              <w:pStyle w:val="14"/>
            </w:pPr>
            <w:r>
              <w:t>在2026年12月31日之前完成</w:t>
            </w:r>
          </w:p>
        </w:tc>
        <w:tc>
          <w:tcPr>
            <w:tcW w:w="1276" w:type="dxa"/>
            <w:vAlign w:val="center"/>
          </w:tcPr>
          <w:p>
            <w:pPr>
              <w:pStyle w:val="14"/>
            </w:pPr>
            <w:r>
              <w:t>根据2025年度此项目工作经验及2026年度工作计划确定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项目实施成本</w:t>
            </w:r>
          </w:p>
        </w:tc>
        <w:tc>
          <w:tcPr>
            <w:tcW w:w="5386" w:type="dxa"/>
            <w:vAlign w:val="center"/>
          </w:tcPr>
          <w:p>
            <w:pPr>
              <w:pStyle w:val="14"/>
            </w:pPr>
            <w:r>
              <w:t>石家庄日报社日常运行及公益性职能正常运行成本</w:t>
            </w:r>
          </w:p>
        </w:tc>
        <w:tc>
          <w:tcPr>
            <w:tcW w:w="2268" w:type="dxa"/>
            <w:vAlign w:val="center"/>
          </w:tcPr>
          <w:p>
            <w:pPr>
              <w:pStyle w:val="14"/>
            </w:pPr>
            <w:r>
              <w:t>优先保障各媒体的发行成本</w:t>
            </w:r>
          </w:p>
        </w:tc>
        <w:tc>
          <w:tcPr>
            <w:tcW w:w="1276" w:type="dxa"/>
            <w:vAlign w:val="center"/>
          </w:tcPr>
          <w:p>
            <w:pPr>
              <w:pStyle w:val="14"/>
            </w:pPr>
            <w:r>
              <w:t>按照2025年工作经验及市场成本进行测算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工作保障率</w:t>
            </w:r>
          </w:p>
        </w:tc>
        <w:tc>
          <w:tcPr>
            <w:tcW w:w="5386" w:type="dxa"/>
            <w:vAlign w:val="center"/>
          </w:tcPr>
          <w:p>
            <w:pPr>
              <w:pStyle w:val="14"/>
            </w:pPr>
            <w:r>
              <w:t>项目实施可以保障报社各媒体的公益性职能发挥</w:t>
            </w:r>
          </w:p>
        </w:tc>
        <w:tc>
          <w:tcPr>
            <w:tcW w:w="2268" w:type="dxa"/>
            <w:vAlign w:val="center"/>
          </w:tcPr>
          <w:p>
            <w:pPr>
              <w:pStyle w:val="14"/>
            </w:pPr>
            <w:r>
              <w:t>≥90百分比</w:t>
            </w:r>
          </w:p>
        </w:tc>
        <w:tc>
          <w:tcPr>
            <w:tcW w:w="1276" w:type="dxa"/>
            <w:vAlign w:val="center"/>
          </w:tcPr>
          <w:p>
            <w:pPr>
              <w:pStyle w:val="14"/>
            </w:pPr>
            <w:r>
              <w:t>根据2025年宣传工作经验及文化媒体行业宣传经验确定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项目实施是否具有可持续性</w:t>
            </w:r>
          </w:p>
        </w:tc>
        <w:tc>
          <w:tcPr>
            <w:tcW w:w="2268" w:type="dxa"/>
            <w:vAlign w:val="center"/>
          </w:tcPr>
          <w:p>
            <w:pPr>
              <w:pStyle w:val="14"/>
            </w:pPr>
            <w:r>
              <w:t>提升公益宣传能力，为石家庄市高质量发展提供了坚强思想保证和舆论支撑，项目具有可持续性</w:t>
            </w:r>
          </w:p>
        </w:tc>
        <w:tc>
          <w:tcPr>
            <w:tcW w:w="1276" w:type="dxa"/>
            <w:vAlign w:val="center"/>
          </w:tcPr>
          <w:p>
            <w:pPr>
              <w:pStyle w:val="14"/>
            </w:pPr>
            <w:r>
              <w:t>根据以往工作经验及项目实施带来的积极影响确定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读者对公益宣传的满意程度</w:t>
            </w:r>
          </w:p>
        </w:tc>
        <w:tc>
          <w:tcPr>
            <w:tcW w:w="2268" w:type="dxa"/>
            <w:vAlign w:val="center"/>
          </w:tcPr>
          <w:p>
            <w:pPr>
              <w:pStyle w:val="14"/>
            </w:pPr>
            <w:r>
              <w:t>≥90百分比</w:t>
            </w:r>
          </w:p>
        </w:tc>
        <w:tc>
          <w:tcPr>
            <w:tcW w:w="1276" w:type="dxa"/>
            <w:vAlign w:val="center"/>
          </w:tcPr>
          <w:p>
            <w:pPr>
              <w:pStyle w:val="14"/>
            </w:pPr>
            <w:r>
              <w:t>根据2025年度宣传工作经验确定</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3、传媒大厦贷款贴息绩效目标表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13010025P00947110002U</w:t>
            </w:r>
          </w:p>
        </w:tc>
        <w:tc>
          <w:tcPr>
            <w:tcW w:w="2835" w:type="dxa"/>
            <w:vAlign w:val="center"/>
          </w:tcPr>
          <w:p>
            <w:pPr>
              <w:pStyle w:val="12"/>
            </w:pPr>
            <w:r>
              <w:t>项目名称</w:t>
            </w:r>
          </w:p>
        </w:tc>
        <w:tc>
          <w:tcPr>
            <w:tcW w:w="6095" w:type="dxa"/>
            <w:gridSpan w:val="3"/>
            <w:vAlign w:val="center"/>
          </w:tcPr>
          <w:p>
            <w:pPr>
              <w:pStyle w:val="14"/>
            </w:pPr>
            <w:r>
              <w:t>传媒大厦贷款贴息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878.00</w:t>
            </w:r>
          </w:p>
        </w:tc>
        <w:tc>
          <w:tcPr>
            <w:tcW w:w="2835" w:type="dxa"/>
            <w:vAlign w:val="center"/>
          </w:tcPr>
          <w:p>
            <w:pPr>
              <w:pStyle w:val="12"/>
            </w:pPr>
            <w:r>
              <w:t>其中：财政    资金</w:t>
            </w:r>
          </w:p>
        </w:tc>
        <w:tc>
          <w:tcPr>
            <w:tcW w:w="2551" w:type="dxa"/>
            <w:vAlign w:val="center"/>
          </w:tcPr>
          <w:p>
            <w:pPr>
              <w:pStyle w:val="14"/>
            </w:pPr>
            <w:r>
              <w:t>878.00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支付2026年度传媒大厦贷款利息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1.按时支付2026年度贷款利息费用，保障传媒大厦的正常运转。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建筑物面积</w:t>
            </w:r>
          </w:p>
        </w:tc>
        <w:tc>
          <w:tcPr>
            <w:tcW w:w="5386" w:type="dxa"/>
            <w:vAlign w:val="center"/>
          </w:tcPr>
          <w:p>
            <w:pPr>
              <w:pStyle w:val="14"/>
            </w:pPr>
            <w:r>
              <w:t>传媒大厦建筑面积</w:t>
            </w:r>
          </w:p>
        </w:tc>
        <w:tc>
          <w:tcPr>
            <w:tcW w:w="2268" w:type="dxa"/>
            <w:vAlign w:val="center"/>
          </w:tcPr>
          <w:p>
            <w:pPr>
              <w:pStyle w:val="14"/>
            </w:pPr>
            <w:r>
              <w:t>50854平方米</w:t>
            </w:r>
          </w:p>
        </w:tc>
        <w:tc>
          <w:tcPr>
            <w:tcW w:w="1276" w:type="dxa"/>
            <w:vAlign w:val="center"/>
          </w:tcPr>
          <w:p>
            <w:pPr>
              <w:pStyle w:val="14"/>
            </w:pPr>
            <w:r>
              <w:t>按照传媒大厦实际建筑面积测算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项目实施传媒大厦正常运转率</w:t>
            </w:r>
          </w:p>
        </w:tc>
        <w:tc>
          <w:tcPr>
            <w:tcW w:w="2268" w:type="dxa"/>
            <w:vAlign w:val="center"/>
          </w:tcPr>
          <w:p>
            <w:pPr>
              <w:pStyle w:val="14"/>
            </w:pPr>
            <w:r>
              <w:t>项目实施可以保障传媒大厦高效运转</w:t>
            </w:r>
          </w:p>
        </w:tc>
        <w:tc>
          <w:tcPr>
            <w:tcW w:w="1276" w:type="dxa"/>
            <w:vAlign w:val="center"/>
          </w:tcPr>
          <w:p>
            <w:pPr>
              <w:pStyle w:val="14"/>
            </w:pPr>
            <w:r>
              <w:t>按照2025年度实际工作经验确定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2025年底之前完成贷款利息支付</w:t>
            </w:r>
          </w:p>
        </w:tc>
        <w:tc>
          <w:tcPr>
            <w:tcW w:w="2268" w:type="dxa"/>
            <w:vAlign w:val="center"/>
          </w:tcPr>
          <w:p>
            <w:pPr>
              <w:pStyle w:val="14"/>
            </w:pPr>
            <w:r>
              <w:t>2026年12月31日前完成贷款利息支付</w:t>
            </w:r>
          </w:p>
        </w:tc>
        <w:tc>
          <w:tcPr>
            <w:tcW w:w="1276" w:type="dxa"/>
            <w:vAlign w:val="center"/>
          </w:tcPr>
          <w:p>
            <w:pPr>
              <w:pStyle w:val="14"/>
            </w:pPr>
            <w:r>
              <w:t>按照2025年度银行支付经验及2026年度规划确定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在预算资金可控范围内</w:t>
            </w:r>
          </w:p>
        </w:tc>
        <w:tc>
          <w:tcPr>
            <w:tcW w:w="2268" w:type="dxa"/>
            <w:vAlign w:val="center"/>
          </w:tcPr>
          <w:p>
            <w:pPr>
              <w:pStyle w:val="14"/>
            </w:pPr>
            <w:r>
              <w:t>878万元</w:t>
            </w:r>
          </w:p>
        </w:tc>
        <w:tc>
          <w:tcPr>
            <w:tcW w:w="1276" w:type="dxa"/>
            <w:vAlign w:val="center"/>
          </w:tcPr>
          <w:p>
            <w:pPr>
              <w:pStyle w:val="14"/>
            </w:pPr>
            <w:r>
              <w:t>按照银行贷款实际利率测算执行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工作保障率</w:t>
            </w:r>
          </w:p>
        </w:tc>
        <w:tc>
          <w:tcPr>
            <w:tcW w:w="5386" w:type="dxa"/>
            <w:vAlign w:val="center"/>
          </w:tcPr>
          <w:p>
            <w:pPr>
              <w:pStyle w:val="14"/>
            </w:pPr>
            <w:r>
              <w:t>传媒大厦正常运转可以保障工作正常进行的程度</w:t>
            </w:r>
          </w:p>
        </w:tc>
        <w:tc>
          <w:tcPr>
            <w:tcW w:w="2268" w:type="dxa"/>
            <w:vAlign w:val="center"/>
          </w:tcPr>
          <w:p>
            <w:pPr>
              <w:pStyle w:val="14"/>
            </w:pPr>
            <w:r>
              <w:t>100百分比</w:t>
            </w:r>
          </w:p>
        </w:tc>
        <w:tc>
          <w:tcPr>
            <w:tcW w:w="1276" w:type="dxa"/>
            <w:vAlign w:val="center"/>
          </w:tcPr>
          <w:p>
            <w:pPr>
              <w:pStyle w:val="14"/>
            </w:pPr>
            <w:r>
              <w:t>按照2025年度此项目执行经验就行测算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传媒大厦工作人员满意度</w:t>
            </w:r>
          </w:p>
        </w:tc>
        <w:tc>
          <w:tcPr>
            <w:tcW w:w="2268" w:type="dxa"/>
            <w:vAlign w:val="center"/>
          </w:tcPr>
          <w:p>
            <w:pPr>
              <w:pStyle w:val="14"/>
            </w:pPr>
            <w:r>
              <w:t>≥90百分比</w:t>
            </w:r>
          </w:p>
        </w:tc>
        <w:tc>
          <w:tcPr>
            <w:tcW w:w="1276" w:type="dxa"/>
            <w:vAlign w:val="center"/>
          </w:tcPr>
          <w:p>
            <w:pPr>
              <w:pStyle w:val="14"/>
            </w:pPr>
            <w:r>
              <w:t>根据2025年度项目实施经验及调研反馈情况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4、融媒体建设运维资金绩效目标表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13010026P00965010008B</w:t>
            </w:r>
          </w:p>
        </w:tc>
        <w:tc>
          <w:tcPr>
            <w:tcW w:w="2835" w:type="dxa"/>
            <w:vAlign w:val="center"/>
          </w:tcPr>
          <w:p>
            <w:pPr>
              <w:pStyle w:val="12"/>
            </w:pPr>
            <w:r>
              <w:t>项目名称</w:t>
            </w:r>
          </w:p>
        </w:tc>
        <w:tc>
          <w:tcPr>
            <w:tcW w:w="6095" w:type="dxa"/>
            <w:gridSpan w:val="3"/>
            <w:vAlign w:val="center"/>
          </w:tcPr>
          <w:p>
            <w:pPr>
              <w:pStyle w:val="14"/>
            </w:pPr>
            <w:r>
              <w:t>融媒体建设运维资金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支付融媒体项目正常运行和维护所产生的相关费用，保障融媒体项目的日常运行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1.按计划完成2026年度融媒体项目的建设工作，保障融媒体项目的正常运行。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项目保障数量</w:t>
            </w:r>
          </w:p>
        </w:tc>
        <w:tc>
          <w:tcPr>
            <w:tcW w:w="5386" w:type="dxa"/>
            <w:vAlign w:val="center"/>
          </w:tcPr>
          <w:p>
            <w:pPr>
              <w:pStyle w:val="14"/>
            </w:pPr>
            <w:r>
              <w:t>保障融媒体的日常运行和维护</w:t>
            </w:r>
          </w:p>
        </w:tc>
        <w:tc>
          <w:tcPr>
            <w:tcW w:w="2268" w:type="dxa"/>
            <w:vAlign w:val="center"/>
          </w:tcPr>
          <w:p>
            <w:pPr>
              <w:pStyle w:val="14"/>
            </w:pPr>
            <w:r>
              <w:t>融媒体的运行和维护一个模块</w:t>
            </w:r>
          </w:p>
        </w:tc>
        <w:tc>
          <w:tcPr>
            <w:tcW w:w="1276" w:type="dxa"/>
            <w:vAlign w:val="center"/>
          </w:tcPr>
          <w:p>
            <w:pPr>
              <w:pStyle w:val="14"/>
            </w:pPr>
            <w:r>
              <w:t>按照预算用途确定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项目完成质量</w:t>
            </w:r>
          </w:p>
        </w:tc>
        <w:tc>
          <w:tcPr>
            <w:tcW w:w="5386" w:type="dxa"/>
            <w:vAlign w:val="center"/>
          </w:tcPr>
          <w:p>
            <w:pPr>
              <w:pStyle w:val="14"/>
            </w:pPr>
            <w:r>
              <w:t>融媒体项目运行质量</w:t>
            </w:r>
          </w:p>
        </w:tc>
        <w:tc>
          <w:tcPr>
            <w:tcW w:w="2268" w:type="dxa"/>
            <w:vAlign w:val="center"/>
          </w:tcPr>
          <w:p>
            <w:pPr>
              <w:pStyle w:val="14"/>
            </w:pPr>
            <w:r>
              <w:t>项目正常运行</w:t>
            </w:r>
          </w:p>
        </w:tc>
        <w:tc>
          <w:tcPr>
            <w:tcW w:w="1276" w:type="dxa"/>
            <w:vAlign w:val="center"/>
          </w:tcPr>
          <w:p>
            <w:pPr>
              <w:pStyle w:val="14"/>
            </w:pPr>
            <w:r>
              <w:t>按照往年项目经验确定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项目完成时间</w:t>
            </w:r>
          </w:p>
        </w:tc>
        <w:tc>
          <w:tcPr>
            <w:tcW w:w="2268" w:type="dxa"/>
            <w:vAlign w:val="center"/>
          </w:tcPr>
          <w:p>
            <w:pPr>
              <w:pStyle w:val="14"/>
            </w:pPr>
            <w:r>
              <w:t>2026年底之前完成此项目</w:t>
            </w:r>
          </w:p>
        </w:tc>
        <w:tc>
          <w:tcPr>
            <w:tcW w:w="1276" w:type="dxa"/>
            <w:vAlign w:val="center"/>
          </w:tcPr>
          <w:p>
            <w:pPr>
              <w:pStyle w:val="14"/>
            </w:pPr>
            <w:r>
              <w:t>按照往年经验以及预算规划确定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5386" w:type="dxa"/>
            <w:vAlign w:val="center"/>
          </w:tcPr>
          <w:p>
            <w:pPr>
              <w:pStyle w:val="14"/>
            </w:pPr>
            <w:r>
              <w:t>项目实施成本</w:t>
            </w:r>
          </w:p>
        </w:tc>
        <w:tc>
          <w:tcPr>
            <w:tcW w:w="2268" w:type="dxa"/>
            <w:vAlign w:val="center"/>
          </w:tcPr>
          <w:p>
            <w:pPr>
              <w:pStyle w:val="14"/>
            </w:pPr>
            <w:r>
              <w:t>≤300万元</w:t>
            </w:r>
          </w:p>
        </w:tc>
        <w:tc>
          <w:tcPr>
            <w:tcW w:w="1276" w:type="dxa"/>
            <w:vAlign w:val="center"/>
          </w:tcPr>
          <w:p>
            <w:pPr>
              <w:pStyle w:val="14"/>
            </w:pPr>
            <w:r>
              <w:t>按照预算方案确定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项目实施对社会的影响</w:t>
            </w:r>
          </w:p>
        </w:tc>
        <w:tc>
          <w:tcPr>
            <w:tcW w:w="2268" w:type="dxa"/>
            <w:vAlign w:val="center"/>
          </w:tcPr>
          <w:p>
            <w:pPr>
              <w:pStyle w:val="14"/>
            </w:pPr>
            <w:r>
              <w:t>项目实施对社会带来积极影响</w:t>
            </w:r>
          </w:p>
        </w:tc>
        <w:tc>
          <w:tcPr>
            <w:tcW w:w="1276" w:type="dxa"/>
            <w:vAlign w:val="center"/>
          </w:tcPr>
          <w:p>
            <w:pPr>
              <w:pStyle w:val="14"/>
            </w:pPr>
            <w:r>
              <w:t>依据往年项目实施经验确定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项目受众群体满意度</w:t>
            </w:r>
          </w:p>
        </w:tc>
        <w:tc>
          <w:tcPr>
            <w:tcW w:w="2268" w:type="dxa"/>
            <w:vAlign w:val="center"/>
          </w:tcPr>
          <w:p>
            <w:pPr>
              <w:pStyle w:val="14"/>
            </w:pPr>
            <w:r>
              <w:t>≥90百分比</w:t>
            </w:r>
          </w:p>
        </w:tc>
        <w:tc>
          <w:tcPr>
            <w:tcW w:w="1276" w:type="dxa"/>
            <w:vAlign w:val="center"/>
          </w:tcPr>
          <w:p>
            <w:pPr>
              <w:pStyle w:val="14"/>
            </w:pPr>
            <w:r>
              <w:t>依据往年实施经验确定</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5、石家庄市政府新闻发布中心升级改造项目绩效目标表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13010026P00971010004P</w:t>
            </w:r>
          </w:p>
        </w:tc>
        <w:tc>
          <w:tcPr>
            <w:tcW w:w="2835" w:type="dxa"/>
            <w:vAlign w:val="center"/>
          </w:tcPr>
          <w:p>
            <w:pPr>
              <w:pStyle w:val="12"/>
            </w:pPr>
            <w:r>
              <w:t>项目名称</w:t>
            </w:r>
          </w:p>
        </w:tc>
        <w:tc>
          <w:tcPr>
            <w:tcW w:w="6095" w:type="dxa"/>
            <w:gridSpan w:val="3"/>
            <w:vAlign w:val="center"/>
          </w:tcPr>
          <w:p>
            <w:pPr>
              <w:pStyle w:val="14"/>
            </w:pPr>
            <w:r>
              <w:t>石家庄市政府新闻发布中心升级改造项目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39.45</w:t>
            </w:r>
          </w:p>
        </w:tc>
        <w:tc>
          <w:tcPr>
            <w:tcW w:w="2835" w:type="dxa"/>
            <w:vAlign w:val="center"/>
          </w:tcPr>
          <w:p>
            <w:pPr>
              <w:pStyle w:val="12"/>
            </w:pPr>
            <w:r>
              <w:t>其中：财政    资金</w:t>
            </w:r>
          </w:p>
        </w:tc>
        <w:tc>
          <w:tcPr>
            <w:tcW w:w="2551" w:type="dxa"/>
            <w:vAlign w:val="center"/>
          </w:tcPr>
          <w:p>
            <w:pPr>
              <w:pStyle w:val="14"/>
            </w:pPr>
            <w:r>
              <w:t>39.45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支付项目剩余尾款，保障项目正常进行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1.及时完成项目尾款的拨付，保障项目正常运行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5386" w:type="dxa"/>
            <w:vAlign w:val="center"/>
          </w:tcPr>
          <w:p>
            <w:pPr>
              <w:pStyle w:val="14"/>
            </w:pPr>
            <w:r>
              <w:t>项目建设数量</w:t>
            </w:r>
          </w:p>
        </w:tc>
        <w:tc>
          <w:tcPr>
            <w:tcW w:w="2268" w:type="dxa"/>
            <w:vAlign w:val="center"/>
          </w:tcPr>
          <w:p>
            <w:pPr>
              <w:pStyle w:val="14"/>
            </w:pPr>
            <w:r>
              <w:t>1个</w:t>
            </w:r>
          </w:p>
        </w:tc>
        <w:tc>
          <w:tcPr>
            <w:tcW w:w="1276" w:type="dxa"/>
            <w:vAlign w:val="center"/>
          </w:tcPr>
          <w:p>
            <w:pPr>
              <w:pStyle w:val="14"/>
            </w:pPr>
            <w:r>
              <w:t>依据工程方案确定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5386" w:type="dxa"/>
            <w:vAlign w:val="center"/>
          </w:tcPr>
          <w:p>
            <w:pPr>
              <w:pStyle w:val="14"/>
            </w:pPr>
            <w:r>
              <w:t>项目建设质量</w:t>
            </w:r>
          </w:p>
        </w:tc>
        <w:tc>
          <w:tcPr>
            <w:tcW w:w="2268" w:type="dxa"/>
            <w:vAlign w:val="center"/>
          </w:tcPr>
          <w:p>
            <w:pPr>
              <w:pStyle w:val="14"/>
            </w:pPr>
            <w:r>
              <w:t>达到行业标准</w:t>
            </w:r>
          </w:p>
        </w:tc>
        <w:tc>
          <w:tcPr>
            <w:tcW w:w="1276" w:type="dxa"/>
            <w:vAlign w:val="center"/>
          </w:tcPr>
          <w:p>
            <w:pPr>
              <w:pStyle w:val="14"/>
            </w:pPr>
            <w:r>
              <w:t>依据项目验收报告确定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2026年底之前完成</w:t>
            </w:r>
          </w:p>
        </w:tc>
        <w:tc>
          <w:tcPr>
            <w:tcW w:w="1276" w:type="dxa"/>
            <w:vAlign w:val="center"/>
          </w:tcPr>
          <w:p>
            <w:pPr>
              <w:pStyle w:val="14"/>
            </w:pPr>
            <w:r>
              <w:t>依据合同规定确定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总成本控制</w:t>
            </w:r>
          </w:p>
        </w:tc>
        <w:tc>
          <w:tcPr>
            <w:tcW w:w="5386" w:type="dxa"/>
            <w:vAlign w:val="center"/>
          </w:tcPr>
          <w:p>
            <w:pPr>
              <w:pStyle w:val="14"/>
            </w:pPr>
            <w:r>
              <w:t>项目成本控制</w:t>
            </w:r>
          </w:p>
        </w:tc>
        <w:tc>
          <w:tcPr>
            <w:tcW w:w="2268" w:type="dxa"/>
            <w:vAlign w:val="center"/>
          </w:tcPr>
          <w:p>
            <w:pPr>
              <w:pStyle w:val="14"/>
            </w:pPr>
            <w:r>
              <w:t>≤39.46万元</w:t>
            </w:r>
          </w:p>
        </w:tc>
        <w:tc>
          <w:tcPr>
            <w:tcW w:w="1276" w:type="dxa"/>
            <w:vAlign w:val="center"/>
          </w:tcPr>
          <w:p>
            <w:pPr>
              <w:pStyle w:val="14"/>
            </w:pPr>
            <w:r>
              <w:t>依据合同计划确定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项目实施带来的社会影响</w:t>
            </w:r>
          </w:p>
        </w:tc>
        <w:tc>
          <w:tcPr>
            <w:tcW w:w="2268" w:type="dxa"/>
            <w:vAlign w:val="center"/>
          </w:tcPr>
          <w:p>
            <w:pPr>
              <w:pStyle w:val="14"/>
            </w:pPr>
            <w:r>
              <w:t>是否带来积极的社会影响</w:t>
            </w:r>
          </w:p>
        </w:tc>
        <w:tc>
          <w:tcPr>
            <w:tcW w:w="1276" w:type="dxa"/>
            <w:vAlign w:val="center"/>
          </w:tcPr>
          <w:p>
            <w:pPr>
              <w:pStyle w:val="14"/>
            </w:pPr>
            <w:r>
              <w:t>项目实施将会进一步提升石家庄对外发布形象，带来积极的社会影响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项目使用群体的满意度</w:t>
            </w:r>
          </w:p>
        </w:tc>
        <w:tc>
          <w:tcPr>
            <w:tcW w:w="2268" w:type="dxa"/>
            <w:vAlign w:val="center"/>
          </w:tcPr>
          <w:p>
            <w:pPr>
              <w:pStyle w:val="14"/>
            </w:pPr>
            <w:r>
              <w:t>≥90百分比</w:t>
            </w:r>
          </w:p>
        </w:tc>
        <w:tc>
          <w:tcPr>
            <w:tcW w:w="1276" w:type="dxa"/>
            <w:vAlign w:val="center"/>
          </w:tcPr>
          <w:p>
            <w:pPr>
              <w:pStyle w:val="14"/>
            </w:pPr>
            <w:r>
              <w:t>依据同类型项目运行经验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358001石家庄日报社</w:t>
            </w:r>
          </w:p>
        </w:tc>
        <w:tc>
          <w:tcPr>
            <w:tcW w:w="867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石家庄日报社上年末固定资产金额为0.00万元（详见下表）。本年度拟购置固定资产总额为0.00万元，已按要求列入政府采购预算，详见政府采购预算表。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358001石家庄日报社</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rPr>
        <w:rFonts w:hint="default" w:eastAsiaTheme="minorEastAsia"/>
        <w:lang w:val="en-US" w:eastAsia="zh-CN"/>
      </w:rPr>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OqXm5zwAAAAUBAAAP&#10;AAAAAAAAAAEAIAAAACIAAABkcnMvZG93bnJldi54bWxQSwECFAAUAAAACACHTuJAbtH61+gBAADH&#10;AwAADgAAAAAAAAABACAAAAAeAQAAZHJzL2Uyb0RvYy54bWxQSwUGAAAAAAYABgBZAQAAeAU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rFonts w:hint="default" w:eastAsiaTheme="minorEastAsia"/>
        <w:lang w:val="en-US" w:eastAsia="zh-CN"/>
      </w:rPr>
    </w:pPr>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2"/>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lNLUG5wEAAMcD&#10;AAAOAAAAAAAAAAEAIAAAAB4BAABkcnMvZTJvRG9jLnhtbFBLBQYAAAAABgAGAFkBAAB3BQAAAAA=&#10;">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63EDAAC"/>
    <w:multiLevelType w:val="singleLevel"/>
    <w:tmpl w:val="C63EDAA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D470B5"/>
    <w:rsid w:val="06C7270B"/>
    <w:rsid w:val="0BF254A5"/>
    <w:rsid w:val="0E52758D"/>
    <w:rsid w:val="0EC1115D"/>
    <w:rsid w:val="101B5F3C"/>
    <w:rsid w:val="13BF37F0"/>
    <w:rsid w:val="15E57946"/>
    <w:rsid w:val="174F7FC0"/>
    <w:rsid w:val="19420849"/>
    <w:rsid w:val="19C61E08"/>
    <w:rsid w:val="1FC63DF0"/>
    <w:rsid w:val="24EC2DF4"/>
    <w:rsid w:val="2D385301"/>
    <w:rsid w:val="316E269F"/>
    <w:rsid w:val="316F5DC0"/>
    <w:rsid w:val="33906C36"/>
    <w:rsid w:val="3DF144AD"/>
    <w:rsid w:val="3F2916AC"/>
    <w:rsid w:val="43483648"/>
    <w:rsid w:val="49D86182"/>
    <w:rsid w:val="52BF58E8"/>
    <w:rsid w:val="57D121F3"/>
    <w:rsid w:val="5C1A18C6"/>
    <w:rsid w:val="63954AC4"/>
    <w:rsid w:val="68321771"/>
    <w:rsid w:val="79EA1711"/>
    <w:rsid w:val="7C7001B6"/>
    <w:rsid w:val="7E9D37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3619</Words>
  <Characters>5214</Characters>
  <TotalTime>14</TotalTime>
  <ScaleCrop>false</ScaleCrop>
  <LinksUpToDate>false</LinksUpToDate>
  <CharactersWithSpaces>5344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2026-05-19T10:58:00Z</dcterms:created>
  <dc:creator>Administrator</dc:creator>
  <cp:lastModifiedBy>章鱼壶中梦黄粱</cp:lastModifiedBy>
  <dcterms:modified xsi:type="dcterms:W3CDTF">2026-05-19T07:03:52Z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DE61E113BC7E446897CDEF6B1C7915D1</vt:lpwstr>
  </property>
  <property fmtid="{D5CDD505-2E9C-101B-9397-08002B2CF9AE}" pid="4" name="KSOTemplateDocerSaveRecord">
    <vt:lpwstr>eyJoZGlkIjoiZjdkYzg5M2FlNzZiNWEwMTEyZWJjZTEyYTRiYmRlNjUiLCJ1c2VySWQiOiIxNDgwNTQ3NzkyIn0=</vt:lpwstr>
  </property>
</Properties>
</file>