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pPr>
        <w:spacing w:line="560" w:lineRule="exact"/>
        <w:jc w:val="center"/>
        <w:rPr>
          <w:rFonts w:ascii="宋体" w:hAnsi="宋体" w:cs="宋体"/>
          <w:b/>
          <w:bCs/>
          <w:sz w:val="44"/>
          <w:szCs w:val="44"/>
        </w:rPr>
      </w:pPr>
      <w:r>
        <w:rPr>
          <w:rFonts w:hint="eastAsia" w:ascii="宋体" w:hAnsi="宋体" w:cs="宋体"/>
          <w:b/>
          <w:bCs/>
          <w:sz w:val="44"/>
          <w:szCs w:val="44"/>
        </w:rPr>
        <w:t>平山县人民法院部门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sz w:val="32"/>
          <w:szCs w:val="32"/>
        </w:rPr>
      </w:pPr>
      <w:bookmarkStart w:id="2" w:name="_GoBack"/>
      <w:r>
        <w:rPr>
          <w:rFonts w:hint="eastAsia" w:ascii="仿宋" w:hAnsi="仿宋" w:eastAsia="仿宋"/>
          <w:sz w:val="32"/>
          <w:szCs w:val="32"/>
        </w:rPr>
        <w:t>贯彻落实市委市政府《关于全面落实预算绩效管理的实施意见》（石发﹝2019﹞8号）文件精神，遵循“科学性、规范性、客观性和公正性”的原则，对平山县人民法院部门202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360" w:lineRule="auto"/>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楷体" w:hAnsi="楷体" w:eastAsia="楷体" w:cs="楷体_GB2312"/>
          <w:bCs/>
          <w:sz w:val="32"/>
          <w:szCs w:val="32"/>
        </w:rPr>
      </w:pPr>
      <w:bookmarkStart w:id="0" w:name="OLE_LINK1"/>
      <w:bookmarkStart w:id="1" w:name="OLE_LINK2"/>
      <w:r>
        <w:rPr>
          <w:rFonts w:hint="eastAsia" w:ascii="楷体" w:hAnsi="楷体" w:eastAsia="楷体" w:cs="楷体_GB2312"/>
          <w:bCs/>
          <w:sz w:val="32"/>
          <w:szCs w:val="32"/>
        </w:rPr>
        <w:t>（一）部门概况</w:t>
      </w:r>
      <w:bookmarkEnd w:id="0"/>
      <w:bookmarkEnd w:id="1"/>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sz w:val="32"/>
          <w:szCs w:val="32"/>
        </w:rPr>
      </w:pPr>
      <w:r>
        <w:rPr>
          <w:rFonts w:hint="eastAsia" w:ascii="仿宋" w:hAnsi="仿宋" w:eastAsia="仿宋"/>
          <w:sz w:val="32"/>
          <w:szCs w:val="32"/>
        </w:rPr>
        <w:t>1、部门职责：</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sz w:val="32"/>
          <w:szCs w:val="32"/>
        </w:rPr>
      </w:pPr>
      <w:r>
        <w:rPr>
          <w:rFonts w:hint="eastAsia" w:ascii="仿宋" w:hAnsi="仿宋" w:eastAsia="仿宋"/>
          <w:sz w:val="32"/>
          <w:szCs w:val="32"/>
        </w:rPr>
        <w:t xml:space="preserve"> </w:t>
      </w:r>
      <w:r>
        <w:rPr>
          <w:rFonts w:ascii="仿宋" w:hAnsi="仿宋" w:eastAsia="仿宋"/>
          <w:color w:val="000000"/>
          <w:sz w:val="32"/>
          <w:szCs w:val="32"/>
        </w:rPr>
        <w:t>根据《平山县人民法院职能配置、内设机构和人员编制规定》，</w:t>
      </w:r>
      <w:r>
        <w:rPr>
          <w:rFonts w:hint="eastAsia" w:ascii="仿宋" w:hAnsi="仿宋" w:eastAsia="仿宋"/>
          <w:color w:val="000000"/>
          <w:sz w:val="32"/>
          <w:szCs w:val="32"/>
        </w:rPr>
        <w:t>平山县人民法院的主要职责是：</w:t>
      </w:r>
      <w:r>
        <w:rPr>
          <w:rFonts w:ascii="仿宋" w:hAnsi="仿宋" w:eastAsia="仿宋"/>
          <w:sz w:val="32"/>
          <w:szCs w:val="32"/>
        </w:rPr>
        <w:t xml:space="preserve"> </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一</w:t>
      </w:r>
      <w:r>
        <w:rPr>
          <w:rFonts w:ascii="仿宋" w:hAnsi="仿宋" w:eastAsia="仿宋"/>
          <w:sz w:val="32"/>
          <w:szCs w:val="32"/>
        </w:rPr>
        <w:t xml:space="preserve">）审理法律、法规规定由基层人民法院管辖的第一审刑事、民事、行政案件； </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二</w:t>
      </w:r>
      <w:r>
        <w:rPr>
          <w:rFonts w:ascii="仿宋" w:hAnsi="仿宋" w:eastAsia="仿宋"/>
          <w:sz w:val="32"/>
          <w:szCs w:val="32"/>
        </w:rPr>
        <w:t xml:space="preserve">）依照审判监督程序，审理告诉、申诉的刑事、民事、行政案件； </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三</w:t>
      </w:r>
      <w:r>
        <w:rPr>
          <w:rFonts w:ascii="仿宋" w:hAnsi="仿宋" w:eastAsia="仿宋"/>
          <w:sz w:val="32"/>
          <w:szCs w:val="32"/>
        </w:rPr>
        <w:t xml:space="preserve">）依法行使司法执行权和司法决定权，执行本院已经发生法律效力的判决、裁定、调解，执行县国家行政机关申请执行的非诉行政案件，执行外地法院委托执行的案件； </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四</w:t>
      </w:r>
      <w:r>
        <w:rPr>
          <w:rFonts w:ascii="仿宋" w:hAnsi="仿宋" w:eastAsia="仿宋"/>
          <w:sz w:val="32"/>
          <w:szCs w:val="32"/>
        </w:rPr>
        <w:t xml:space="preserve">）根据《中华人民共和国国家赔偿法》的规定，受理赔偿案件； </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lang w:eastAsia="zh-CN"/>
        </w:rPr>
      </w:pPr>
      <w:r>
        <w:rPr>
          <w:rFonts w:ascii="仿宋" w:hAnsi="仿宋" w:eastAsia="仿宋"/>
          <w:sz w:val="32"/>
          <w:szCs w:val="32"/>
        </w:rPr>
        <w:t>（</w:t>
      </w:r>
      <w:r>
        <w:rPr>
          <w:rFonts w:hint="eastAsia" w:ascii="仿宋" w:hAnsi="仿宋" w:eastAsia="仿宋"/>
          <w:sz w:val="32"/>
          <w:szCs w:val="32"/>
          <w:lang w:eastAsia="zh-CN"/>
        </w:rPr>
        <w:t>五</w:t>
      </w:r>
      <w:r>
        <w:rPr>
          <w:rFonts w:ascii="仿宋" w:hAnsi="仿宋" w:eastAsia="仿宋"/>
          <w:sz w:val="32"/>
          <w:szCs w:val="32"/>
        </w:rPr>
        <w:t>）承办其它应由县法院负责的工作。</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lang w:eastAsia="zh-CN"/>
        </w:rPr>
      </w:pPr>
      <w:r>
        <w:rPr>
          <w:rFonts w:hint="eastAsia" w:ascii="仿宋" w:hAnsi="仿宋" w:eastAsia="仿宋"/>
          <w:sz w:val="32"/>
          <w:szCs w:val="32"/>
          <w:lang w:eastAsia="zh-CN"/>
        </w:rPr>
        <w:t>2、</w:t>
      </w:r>
      <w:r>
        <w:rPr>
          <w:rFonts w:hint="eastAsia" w:ascii="仿宋" w:hAnsi="仿宋" w:eastAsia="仿宋"/>
          <w:sz w:val="32"/>
          <w:szCs w:val="32"/>
        </w:rPr>
        <w:t>组织机构及人员</w:t>
      </w:r>
      <w:r>
        <w:rPr>
          <w:rFonts w:hint="eastAsia" w:ascii="仿宋" w:hAnsi="仿宋" w:eastAsia="仿宋"/>
          <w:sz w:val="32"/>
          <w:szCs w:val="32"/>
          <w:lang w:eastAsia="zh-CN"/>
        </w:rPr>
        <w:t>：</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360" w:lineRule="auto"/>
        <w:ind w:firstLine="640" w:firstLineChars="200"/>
        <w:textAlignment w:val="auto"/>
        <w:rPr>
          <w:rFonts w:ascii="仿宋" w:hAnsi="仿宋" w:eastAsia="仿宋" w:cs="仿宋"/>
          <w:bCs/>
          <w:sz w:val="32"/>
          <w:szCs w:val="32"/>
        </w:rPr>
      </w:pPr>
      <w:r>
        <w:rPr>
          <w:rFonts w:hint="eastAsia" w:ascii="仿宋" w:hAnsi="仿宋" w:eastAsia="仿宋" w:cs="仿宋"/>
          <w:bCs/>
          <w:sz w:val="32"/>
          <w:szCs w:val="32"/>
        </w:rPr>
        <w:t>平山县人民法院单位性质为行政单位；单位规格为</w:t>
      </w:r>
      <w:r>
        <w:rPr>
          <w:rFonts w:ascii="仿宋" w:hAnsi="仿宋" w:eastAsia="仿宋"/>
          <w:sz w:val="32"/>
          <w:szCs w:val="32"/>
        </w:rPr>
        <w:t>副处（县）级</w:t>
      </w:r>
      <w:r>
        <w:rPr>
          <w:rFonts w:hint="eastAsia" w:ascii="仿宋" w:hAnsi="仿宋" w:eastAsia="仿宋" w:cs="仿宋"/>
          <w:bCs/>
          <w:sz w:val="32"/>
          <w:szCs w:val="32"/>
        </w:rPr>
        <w:t>；经费保障形式为财政拨款；202</w:t>
      </w:r>
      <w:r>
        <w:rPr>
          <w:rFonts w:hint="eastAsia" w:ascii="仿宋" w:hAnsi="仿宋" w:eastAsia="仿宋" w:cs="仿宋"/>
          <w:bCs/>
          <w:sz w:val="32"/>
          <w:szCs w:val="32"/>
          <w:lang w:val="en-US" w:eastAsia="zh-CN"/>
        </w:rPr>
        <w:t>5</w:t>
      </w:r>
      <w:r>
        <w:rPr>
          <w:rFonts w:hint="eastAsia" w:ascii="仿宋" w:hAnsi="仿宋" w:eastAsia="仿宋" w:cs="仿宋"/>
          <w:bCs/>
          <w:sz w:val="32"/>
          <w:szCs w:val="32"/>
        </w:rPr>
        <w:t>年年末实有人数</w:t>
      </w:r>
      <w:r>
        <w:rPr>
          <w:rFonts w:hint="eastAsia" w:ascii="仿宋" w:hAnsi="仿宋" w:eastAsia="仿宋" w:cs="仿宋"/>
          <w:bCs/>
          <w:sz w:val="32"/>
          <w:szCs w:val="32"/>
          <w:lang w:val="en-US" w:eastAsia="zh-CN"/>
        </w:rPr>
        <w:t>170</w:t>
      </w:r>
      <w:r>
        <w:rPr>
          <w:rFonts w:hint="eastAsia" w:ascii="仿宋" w:hAnsi="仿宋" w:eastAsia="仿宋" w:cs="仿宋"/>
          <w:bCs/>
          <w:sz w:val="32"/>
          <w:szCs w:val="32"/>
        </w:rPr>
        <w:t>人，其中在职8</w:t>
      </w:r>
      <w:r>
        <w:rPr>
          <w:rFonts w:hint="eastAsia" w:ascii="仿宋" w:hAnsi="仿宋" w:eastAsia="仿宋" w:cs="仿宋"/>
          <w:bCs/>
          <w:sz w:val="32"/>
          <w:szCs w:val="32"/>
          <w:lang w:val="en-US" w:eastAsia="zh-CN"/>
        </w:rPr>
        <w:t>6</w:t>
      </w:r>
      <w:r>
        <w:rPr>
          <w:rFonts w:hint="eastAsia" w:ascii="仿宋" w:hAnsi="仿宋" w:eastAsia="仿宋" w:cs="仿宋"/>
          <w:bCs/>
          <w:sz w:val="32"/>
          <w:szCs w:val="32"/>
        </w:rPr>
        <w:t>人、退休</w:t>
      </w:r>
      <w:r>
        <w:rPr>
          <w:rFonts w:hint="eastAsia" w:ascii="仿宋" w:hAnsi="仿宋" w:eastAsia="仿宋" w:cs="仿宋"/>
          <w:bCs/>
          <w:sz w:val="32"/>
          <w:szCs w:val="32"/>
          <w:lang w:val="en-US" w:eastAsia="zh-CN"/>
        </w:rPr>
        <w:t>84</w:t>
      </w:r>
      <w:r>
        <w:rPr>
          <w:rFonts w:hint="eastAsia" w:ascii="仿宋" w:hAnsi="仿宋" w:eastAsia="仿宋" w:cs="仿宋"/>
          <w:bCs/>
          <w:sz w:val="32"/>
          <w:szCs w:val="32"/>
        </w:rPr>
        <w:t>人。</w:t>
      </w:r>
    </w:p>
    <w:p>
      <w:pPr>
        <w:pStyle w:val="6"/>
        <w:keepNext w:val="0"/>
        <w:keepLines w:val="0"/>
        <w:pageBreakBefore w:val="0"/>
        <w:kinsoku/>
        <w:wordWrap/>
        <w:overflowPunct/>
        <w:topLinePunct w:val="0"/>
        <w:autoSpaceDE/>
        <w:autoSpaceDN/>
        <w:bidi w:val="0"/>
        <w:spacing w:line="360" w:lineRule="auto"/>
        <w:textAlignment w:val="auto"/>
        <w:rPr>
          <w:rFonts w:ascii="仿宋" w:hAnsi="仿宋" w:eastAsia="仿宋"/>
          <w:lang w:eastAsia="zh-CN"/>
        </w:rPr>
      </w:pPr>
      <w:r>
        <w:rPr>
          <w:rFonts w:hint="eastAsia" w:ascii="仿宋" w:hAnsi="仿宋" w:eastAsia="仿宋"/>
          <w:sz w:val="32"/>
          <w:szCs w:val="32"/>
          <w:lang w:eastAsia="zh-CN"/>
        </w:rPr>
        <w:t>3、</w:t>
      </w:r>
      <w:r>
        <w:rPr>
          <w:rFonts w:hint="eastAsia" w:ascii="仿宋" w:hAnsi="仿宋" w:eastAsia="仿宋"/>
          <w:sz w:val="32"/>
          <w:szCs w:val="32"/>
        </w:rPr>
        <w:t>资产情况</w:t>
      </w:r>
      <w:r>
        <w:rPr>
          <w:rFonts w:hint="eastAsia" w:ascii="仿宋" w:hAnsi="仿宋" w:eastAsia="仿宋"/>
          <w:sz w:val="32"/>
          <w:szCs w:val="32"/>
          <w:lang w:eastAsia="zh-CN"/>
        </w:rPr>
        <w:t>：</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sz w:val="32"/>
          <w:szCs w:val="32"/>
        </w:rPr>
      </w:pPr>
      <w:r>
        <w:rPr>
          <w:rFonts w:ascii="仿宋" w:hAnsi="仿宋" w:eastAsia="仿宋"/>
          <w:color w:val="000000"/>
          <w:sz w:val="32"/>
          <w:szCs w:val="32"/>
        </w:rPr>
        <w:t>平山县人民法院</w:t>
      </w: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5</w:t>
      </w:r>
      <w:r>
        <w:rPr>
          <w:rFonts w:hint="eastAsia" w:ascii="仿宋" w:hAnsi="仿宋" w:eastAsia="仿宋"/>
          <w:color w:val="000000"/>
          <w:sz w:val="32"/>
          <w:szCs w:val="32"/>
        </w:rPr>
        <w:t>年</w:t>
      </w:r>
      <w:r>
        <w:rPr>
          <w:rFonts w:ascii="仿宋" w:hAnsi="仿宋" w:eastAsia="仿宋"/>
          <w:color w:val="000000"/>
          <w:sz w:val="32"/>
          <w:szCs w:val="32"/>
        </w:rPr>
        <w:t>年末</w:t>
      </w:r>
      <w:r>
        <w:rPr>
          <w:rFonts w:hint="eastAsia" w:ascii="仿宋" w:hAnsi="仿宋" w:eastAsia="仿宋"/>
          <w:color w:val="000000"/>
          <w:sz w:val="32"/>
          <w:szCs w:val="32"/>
        </w:rPr>
        <w:t>固定资产总额</w:t>
      </w:r>
      <w:r>
        <w:rPr>
          <w:rFonts w:ascii="仿宋" w:hAnsi="仿宋" w:eastAsia="仿宋"/>
          <w:color w:val="000000"/>
          <w:sz w:val="32"/>
          <w:szCs w:val="32"/>
        </w:rPr>
        <w:t>为</w:t>
      </w:r>
      <w:r>
        <w:rPr>
          <w:rFonts w:hint="eastAsia" w:ascii="仿宋" w:hAnsi="仿宋" w:eastAsia="仿宋"/>
          <w:sz w:val="32"/>
          <w:szCs w:val="32"/>
          <w:lang w:val="en-US" w:eastAsia="zh-CN"/>
        </w:rPr>
        <w:t>3324.25</w:t>
      </w:r>
      <w:r>
        <w:rPr>
          <w:rFonts w:ascii="仿宋" w:hAnsi="仿宋" w:eastAsia="仿宋"/>
          <w:color w:val="000000"/>
          <w:sz w:val="32"/>
          <w:szCs w:val="32"/>
        </w:rPr>
        <w:t>万元</w:t>
      </w:r>
      <w:r>
        <w:rPr>
          <w:rFonts w:hint="eastAsia" w:ascii="仿宋" w:hAnsi="仿宋" w:eastAsia="仿宋"/>
          <w:color w:val="000000"/>
          <w:sz w:val="32"/>
          <w:szCs w:val="32"/>
        </w:rPr>
        <w:t>。</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cs="仿宋"/>
          <w:bCs/>
          <w:sz w:val="32"/>
          <w:szCs w:val="32"/>
          <w:highlight w:val="none"/>
        </w:rPr>
      </w:pPr>
      <w:r>
        <w:rPr>
          <w:rFonts w:hint="eastAsia" w:ascii="仿宋" w:hAnsi="仿宋" w:eastAsia="仿宋" w:cs="仿宋"/>
          <w:bCs/>
          <w:sz w:val="32"/>
          <w:szCs w:val="32"/>
          <w:highlight w:val="none"/>
        </w:rPr>
        <w:t>平山县人民法院202</w:t>
      </w:r>
      <w:r>
        <w:rPr>
          <w:rFonts w:hint="eastAsia" w:ascii="仿宋" w:hAnsi="仿宋" w:eastAsia="仿宋" w:cs="仿宋"/>
          <w:bCs/>
          <w:sz w:val="32"/>
          <w:szCs w:val="32"/>
          <w:highlight w:val="none"/>
          <w:lang w:val="en-US" w:eastAsia="zh-CN"/>
        </w:rPr>
        <w:t>5</w:t>
      </w:r>
      <w:r>
        <w:rPr>
          <w:rFonts w:hint="eastAsia" w:ascii="仿宋" w:hAnsi="仿宋" w:eastAsia="仿宋" w:cs="仿宋"/>
          <w:bCs/>
          <w:sz w:val="32"/>
          <w:szCs w:val="32"/>
          <w:highlight w:val="none"/>
        </w:rPr>
        <w:t>年年初预算收入</w:t>
      </w:r>
      <w:r>
        <w:rPr>
          <w:rFonts w:hint="eastAsia" w:ascii="仿宋" w:hAnsi="仿宋" w:eastAsia="仿宋" w:cs="仿宋"/>
          <w:bCs/>
          <w:sz w:val="32"/>
          <w:szCs w:val="32"/>
          <w:highlight w:val="none"/>
          <w:lang w:val="en-US" w:eastAsia="zh-CN"/>
        </w:rPr>
        <w:t>3675.29</w:t>
      </w:r>
      <w:r>
        <w:rPr>
          <w:rFonts w:hint="eastAsia" w:ascii="仿宋" w:hAnsi="仿宋" w:eastAsia="仿宋" w:cs="仿宋"/>
          <w:bCs/>
          <w:sz w:val="32"/>
          <w:szCs w:val="32"/>
          <w:highlight w:val="none"/>
        </w:rPr>
        <w:t>万元，决算收入</w:t>
      </w:r>
      <w:r>
        <w:rPr>
          <w:rFonts w:hint="eastAsia" w:ascii="仿宋" w:hAnsi="仿宋" w:eastAsia="仿宋" w:cs="仿宋"/>
          <w:bCs/>
          <w:sz w:val="32"/>
          <w:szCs w:val="32"/>
          <w:highlight w:val="none"/>
          <w:lang w:val="en-US" w:eastAsia="zh-CN"/>
        </w:rPr>
        <w:t>3368</w:t>
      </w:r>
      <w:r>
        <w:rPr>
          <w:rFonts w:hint="eastAsia" w:ascii="仿宋" w:hAnsi="仿宋" w:eastAsia="仿宋" w:cs="仿宋"/>
          <w:bCs/>
          <w:sz w:val="32"/>
          <w:szCs w:val="32"/>
          <w:highlight w:val="none"/>
        </w:rPr>
        <w:t>万元，决算较预算少</w:t>
      </w:r>
      <w:r>
        <w:rPr>
          <w:rFonts w:hint="eastAsia" w:ascii="仿宋" w:hAnsi="仿宋" w:eastAsia="仿宋" w:cs="仿宋"/>
          <w:bCs/>
          <w:sz w:val="32"/>
          <w:szCs w:val="32"/>
          <w:highlight w:val="none"/>
          <w:lang w:val="en-US" w:eastAsia="zh-CN"/>
        </w:rPr>
        <w:t>307.29</w:t>
      </w:r>
      <w:r>
        <w:rPr>
          <w:rFonts w:hint="eastAsia" w:ascii="仿宋" w:hAnsi="仿宋" w:eastAsia="仿宋" w:cs="仿宋"/>
          <w:bCs/>
          <w:sz w:val="32"/>
          <w:szCs w:val="32"/>
          <w:highlight w:val="none"/>
        </w:rPr>
        <w:t>万元，原因是厉行节约，压减预算。年初预算支出</w:t>
      </w:r>
      <w:r>
        <w:rPr>
          <w:rFonts w:hint="eastAsia" w:ascii="仿宋" w:hAnsi="仿宋" w:eastAsia="仿宋" w:cs="仿宋"/>
          <w:bCs/>
          <w:sz w:val="32"/>
          <w:szCs w:val="32"/>
          <w:highlight w:val="none"/>
          <w:lang w:val="en-US" w:eastAsia="zh-CN"/>
        </w:rPr>
        <w:t>3675.29</w:t>
      </w:r>
      <w:r>
        <w:rPr>
          <w:rFonts w:hint="eastAsia" w:ascii="仿宋" w:hAnsi="仿宋" w:eastAsia="仿宋" w:cs="仿宋"/>
          <w:bCs/>
          <w:sz w:val="32"/>
          <w:szCs w:val="32"/>
          <w:highlight w:val="none"/>
        </w:rPr>
        <w:t>万元，决算支出</w:t>
      </w:r>
      <w:r>
        <w:rPr>
          <w:rFonts w:hint="eastAsia" w:ascii="仿宋" w:hAnsi="仿宋" w:eastAsia="仿宋" w:cs="仿宋"/>
          <w:bCs/>
          <w:sz w:val="32"/>
          <w:szCs w:val="32"/>
          <w:highlight w:val="none"/>
          <w:lang w:val="en-US" w:eastAsia="zh-CN"/>
        </w:rPr>
        <w:t>3368</w:t>
      </w:r>
      <w:r>
        <w:rPr>
          <w:rFonts w:hint="eastAsia" w:ascii="仿宋" w:hAnsi="仿宋" w:eastAsia="仿宋" w:cs="仿宋"/>
          <w:bCs/>
          <w:sz w:val="32"/>
          <w:szCs w:val="32"/>
          <w:highlight w:val="none"/>
        </w:rPr>
        <w:t>万元，决算较预算少</w:t>
      </w:r>
      <w:r>
        <w:rPr>
          <w:rFonts w:hint="eastAsia" w:ascii="仿宋" w:hAnsi="仿宋" w:eastAsia="仿宋" w:cs="仿宋"/>
          <w:bCs/>
          <w:sz w:val="32"/>
          <w:szCs w:val="32"/>
          <w:highlight w:val="none"/>
          <w:lang w:val="en-US" w:eastAsia="zh-CN"/>
        </w:rPr>
        <w:t>307.29</w:t>
      </w:r>
      <w:r>
        <w:rPr>
          <w:rFonts w:hint="eastAsia" w:ascii="仿宋" w:hAnsi="仿宋" w:eastAsia="仿宋" w:cs="仿宋"/>
          <w:bCs/>
          <w:sz w:val="32"/>
          <w:szCs w:val="32"/>
          <w:highlight w:val="none"/>
        </w:rPr>
        <w:t>万元，原因是厉行节约，压减预算。</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rPr>
      </w:pPr>
      <w:r>
        <w:rPr>
          <w:rFonts w:hint="default" w:ascii="仿宋" w:hAnsi="仿宋" w:eastAsia="仿宋" w:cs="仿宋"/>
          <w:bCs/>
          <w:sz w:val="32"/>
          <w:szCs w:val="32"/>
          <w:highlight w:val="none"/>
          <w:lang w:val="en-US" w:eastAsia="zh-CN"/>
        </w:rPr>
        <w:t xml:space="preserve">2025 </w:t>
      </w:r>
      <w:r>
        <w:rPr>
          <w:rFonts w:hint="eastAsia" w:ascii="仿宋" w:hAnsi="仿宋" w:eastAsia="仿宋" w:cs="仿宋"/>
          <w:bCs/>
          <w:sz w:val="32"/>
          <w:szCs w:val="32"/>
          <w:highlight w:val="none"/>
          <w:lang w:val="en-US" w:eastAsia="zh-CN"/>
        </w:rPr>
        <w:t>年，平山县人民法院要坚持以习近平新时代中国特色社会主义思想为指导，全面贯彻落实党的二十大精神，深入贯彻习近平法治思想，深刻领悟</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两个确立</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的决定性意义，增强</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四个意识</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、坚定</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四个自信</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、做到</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两个维护</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牢牢坚持党对司法工作的绝对领导，坚持司法为民、公正司法，坚持统筹发展和安全，坚持稳中求进工作总基调，奋力推进新时代新征程人民法院工作高质量发展，为建设产业振兴、生态宜居、和谐安定、充满活力的新平山提供精准有效的司法服务和保障。</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 xml:space="preserve">把政治建设摆在首位:全年组织理论中心组专题学习不少于12次，坚持党支部理论学习不少于20次，青年理论学习小组学习不少于 </w:t>
      </w:r>
      <w:r>
        <w:rPr>
          <w:rFonts w:hint="default" w:ascii="仿宋" w:hAnsi="仿宋" w:eastAsia="仿宋" w:cs="仿宋"/>
          <w:bCs/>
          <w:sz w:val="32"/>
          <w:szCs w:val="32"/>
          <w:highlight w:val="none"/>
          <w:lang w:val="en-US" w:eastAsia="zh-CN"/>
        </w:rPr>
        <w:t xml:space="preserve">12 </w:t>
      </w:r>
      <w:r>
        <w:rPr>
          <w:rFonts w:hint="eastAsia" w:ascii="仿宋" w:hAnsi="仿宋" w:eastAsia="仿宋" w:cs="仿宋"/>
          <w:bCs/>
          <w:sz w:val="32"/>
          <w:szCs w:val="32"/>
          <w:highlight w:val="none"/>
          <w:lang w:val="en-US" w:eastAsia="zh-CN"/>
        </w:rPr>
        <w:t xml:space="preserve">次，开展主题党日活动不少于 </w:t>
      </w:r>
      <w:r>
        <w:rPr>
          <w:rFonts w:hint="default" w:ascii="仿宋" w:hAnsi="仿宋" w:eastAsia="仿宋" w:cs="仿宋"/>
          <w:bCs/>
          <w:sz w:val="32"/>
          <w:szCs w:val="32"/>
          <w:highlight w:val="none"/>
          <w:lang w:val="en-US" w:eastAsia="zh-CN"/>
        </w:rPr>
        <w:t xml:space="preserve">10 </w:t>
      </w:r>
      <w:r>
        <w:rPr>
          <w:rFonts w:hint="eastAsia" w:ascii="仿宋" w:hAnsi="仿宋" w:eastAsia="仿宋" w:cs="仿宋"/>
          <w:bCs/>
          <w:sz w:val="32"/>
          <w:szCs w:val="32"/>
          <w:highlight w:val="none"/>
          <w:lang w:val="en-US" w:eastAsia="zh-CN"/>
        </w:rPr>
        <w:t>次。</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pPr>
      <w:r>
        <w:rPr>
          <w:rFonts w:hint="eastAsia" w:ascii="仿宋" w:hAnsi="仿宋" w:eastAsia="仿宋"/>
          <w:sz w:val="32"/>
          <w:szCs w:val="32"/>
          <w:highlight w:val="none"/>
          <w:lang w:eastAsia="zh-CN"/>
        </w:rPr>
        <w:t>维护稳定，助力平安</w:t>
      </w:r>
      <w:r>
        <w:rPr>
          <w:rFonts w:ascii="仿宋" w:hAnsi="仿宋" w:eastAsia="仿宋"/>
          <w:sz w:val="32"/>
          <w:szCs w:val="32"/>
          <w:highlight w:val="none"/>
        </w:rPr>
        <w:t>建设</w:t>
      </w:r>
      <w:r>
        <w:rPr>
          <w:rFonts w:hint="eastAsia" w:ascii="仿宋" w:hAnsi="仿宋" w:eastAsia="仿宋"/>
          <w:sz w:val="32"/>
          <w:szCs w:val="32"/>
          <w:highlight w:val="none"/>
          <w:lang w:eastAsia="zh-CN"/>
        </w:rPr>
        <w:t>:</w:t>
      </w:r>
      <w:r>
        <w:rPr>
          <w:rFonts w:hint="eastAsia" w:ascii="仿宋" w:hAnsi="仿宋" w:eastAsia="仿宋" w:cs="仿宋"/>
          <w:bCs/>
          <w:sz w:val="32"/>
          <w:szCs w:val="32"/>
          <w:highlight w:val="none"/>
          <w:lang w:val="en-US" w:eastAsia="zh-CN"/>
        </w:rPr>
        <w:t>全力提升案件办理质效，不断提高刑事审判质效和公信力，通过推出典型案例、发布司法建议等形式不断提炼经验做法，推动刑事审判整体提升，刑事案件结案率达标。</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ascii="仿宋" w:hAnsi="仿宋" w:eastAsia="仿宋"/>
          <w:sz w:val="32"/>
          <w:szCs w:val="32"/>
          <w:highlight w:val="none"/>
        </w:rPr>
        <w:t>坚持</w:t>
      </w:r>
      <w:r>
        <w:rPr>
          <w:rFonts w:hint="eastAsia" w:ascii="仿宋" w:hAnsi="仿宋" w:eastAsia="仿宋"/>
          <w:sz w:val="32"/>
          <w:szCs w:val="32"/>
          <w:highlight w:val="none"/>
          <w:lang w:eastAsia="zh-CN"/>
        </w:rPr>
        <w:t>发展为重:</w:t>
      </w:r>
      <w:r>
        <w:rPr>
          <w:rFonts w:hint="eastAsia" w:ascii="仿宋" w:hAnsi="仿宋" w:eastAsia="仿宋" w:cs="仿宋"/>
          <w:bCs/>
          <w:sz w:val="32"/>
          <w:szCs w:val="32"/>
          <w:highlight w:val="none"/>
          <w:lang w:val="en-US" w:eastAsia="zh-CN"/>
        </w:rPr>
        <w:t>将司法为民的理念不断贯彻到调解实践中，让人民群众获得更加高效、便捷的司法服务</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 xml:space="preserve">强化程序公正意 </w:t>
      </w:r>
    </w:p>
    <w:p>
      <w:pPr>
        <w:keepNext w:val="0"/>
        <w:keepLines w:val="0"/>
        <w:pageBreakBefore w:val="0"/>
        <w:kinsoku/>
        <w:wordWrap/>
        <w:overflowPunct/>
        <w:topLinePunct w:val="0"/>
        <w:autoSpaceDE/>
        <w:autoSpaceDN/>
        <w:bidi w:val="0"/>
        <w:adjustRightInd w:val="0"/>
        <w:snapToGrid w:val="0"/>
        <w:spacing w:line="360" w:lineRule="auto"/>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 xml:space="preserve">识，民事案件结案率达标。 </w:t>
      </w:r>
    </w:p>
    <w:p>
      <w:pPr>
        <w:keepNext w:val="0"/>
        <w:keepLines w:val="0"/>
        <w:pageBreakBefore w:val="0"/>
        <w:widowControl/>
        <w:suppressLineNumbers w:val="0"/>
        <w:kinsoku/>
        <w:wordWrap/>
        <w:overflowPunct/>
        <w:topLinePunct w:val="0"/>
        <w:autoSpaceDE/>
        <w:autoSpaceDN/>
        <w:bidi w:val="0"/>
        <w:spacing w:line="360" w:lineRule="auto"/>
        <w:ind w:firstLine="640" w:firstLineChars="200"/>
        <w:jc w:val="left"/>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eastAsia="zh-CN"/>
        </w:rPr>
        <w:t>促进依法行政:</w:t>
      </w:r>
      <w:r>
        <w:rPr>
          <w:rFonts w:hint="eastAsia" w:ascii="仿宋" w:hAnsi="仿宋" w:eastAsia="仿宋"/>
          <w:sz w:val="32"/>
          <w:szCs w:val="32"/>
          <w:highlight w:val="none"/>
          <w:lang w:val="en-US" w:eastAsia="zh-CN"/>
        </w:rPr>
        <w:t>注重实质化解行政争议，鼓励行政机关先行化解、强化府院联动机制、完善复议诉讼对接机制。</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坚持应执尽执:执结率、执行到位率达标，且均优于去年同期指标值。</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line="360" w:lineRule="auto"/>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仿宋" w:hAnsi="仿宋" w:eastAsia="仿宋" w:cs="楷体_GB2312"/>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sz w:val="32"/>
          <w:szCs w:val="32"/>
        </w:rPr>
      </w:pPr>
      <w:r>
        <w:rPr>
          <w:rFonts w:hint="eastAsia" w:ascii="仿宋" w:hAnsi="仿宋" w:eastAsia="仿宋"/>
          <w:sz w:val="32"/>
          <w:szCs w:val="32"/>
        </w:rPr>
        <w:t>1、评价工作管理组织：</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sz w:val="32"/>
          <w:szCs w:val="32"/>
        </w:rPr>
      </w:pPr>
      <w:r>
        <w:rPr>
          <w:rFonts w:hint="eastAsia" w:ascii="仿宋" w:hAnsi="仿宋" w:eastAsia="仿宋" w:cs="仿宋_GB2312"/>
          <w:sz w:val="32"/>
          <w:szCs w:val="32"/>
        </w:rPr>
        <w:t>按照统一安排部署，我单位及时成立自评工作组，对项目全程进行梳理和总结，根据评价指标体系、评价标准和评价方法，依据所收集的资料，对评价对象的绩效情况进行定量、定性分析和综合评价，并形成评价结论。</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sz w:val="32"/>
          <w:szCs w:val="32"/>
        </w:rPr>
      </w:pPr>
      <w:r>
        <w:rPr>
          <w:rFonts w:hint="eastAsia" w:ascii="仿宋" w:hAnsi="仿宋" w:eastAsia="仿宋"/>
          <w:sz w:val="32"/>
          <w:szCs w:val="32"/>
        </w:rPr>
        <w:t>2、评价资料收集：</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sz w:val="32"/>
          <w:szCs w:val="32"/>
        </w:rPr>
      </w:pPr>
      <w:r>
        <w:rPr>
          <w:rFonts w:hint="eastAsia" w:ascii="仿宋" w:hAnsi="仿宋" w:eastAsia="仿宋" w:cs="仿宋_GB2312"/>
          <w:sz w:val="32"/>
          <w:szCs w:val="32"/>
        </w:rPr>
        <w:t>通过对相关记账凭证和业务合同等财务资料查阅、核实、汇总分析，评价项目资金使用规范性、支出范围的合理性。</w:t>
      </w:r>
    </w:p>
    <w:p>
      <w:pPr>
        <w:keepNext w:val="0"/>
        <w:keepLines w:val="0"/>
        <w:pageBreakBefore w:val="0"/>
        <w:kinsoku/>
        <w:wordWrap/>
        <w:overflowPunct/>
        <w:topLinePunct w:val="0"/>
        <w:autoSpaceDE/>
        <w:autoSpaceDN/>
        <w:bidi w:val="0"/>
        <w:spacing w:line="360" w:lineRule="auto"/>
        <w:ind w:firstLine="640" w:firstLineChars="200"/>
        <w:textAlignment w:val="auto"/>
        <w:rPr>
          <w:rFonts w:ascii="楷体" w:hAnsi="楷体" w:eastAsia="楷体" w:cs="楷体_GB2312"/>
          <w:bCs/>
          <w:sz w:val="32"/>
          <w:szCs w:val="32"/>
        </w:rPr>
      </w:pPr>
      <w:r>
        <w:rPr>
          <w:rFonts w:hint="eastAsia" w:ascii="楷体" w:hAnsi="楷体" w:eastAsia="楷体" w:cs="仿宋_GB2312"/>
          <w:sz w:val="32"/>
          <w:szCs w:val="32"/>
        </w:rPr>
        <w:t>（二）</w:t>
      </w:r>
      <w:r>
        <w:rPr>
          <w:rFonts w:hint="eastAsia" w:ascii="楷体" w:hAnsi="楷体" w:eastAsia="楷体" w:cs="楷体_GB2312"/>
          <w:bCs/>
          <w:sz w:val="32"/>
          <w:szCs w:val="32"/>
        </w:rPr>
        <w:t>自评的方法和过程</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对照年初设定的绩效目标，逐项进行对比分析，评判各项绩效目标指标完成情况，查找资金使用的薄弱环节，认真分析评价结果反映的问题，制定改进和提高工作成绩的措施，建立问题整改责任制，提高预算项目和资金管理水平，进一步提高财政资金的使用效益。根据</w:t>
      </w:r>
      <w:r>
        <w:rPr>
          <w:rFonts w:hint="eastAsia" w:ascii="仿宋" w:hAnsi="仿宋" w:eastAsia="仿宋"/>
          <w:sz w:val="32"/>
          <w:szCs w:val="32"/>
        </w:rPr>
        <w:t>部门职责定位和各项工作履职情况</w:t>
      </w:r>
      <w:r>
        <w:rPr>
          <w:rFonts w:hint="eastAsia" w:ascii="仿宋" w:hAnsi="仿宋" w:eastAsia="仿宋" w:cs="仿宋_GB2312"/>
          <w:sz w:val="32"/>
          <w:szCs w:val="32"/>
        </w:rPr>
        <w:t>，综合绩效评价设定满分100分。</w:t>
      </w:r>
      <w:r>
        <w:rPr>
          <w:rFonts w:hint="eastAsia" w:ascii="仿宋" w:hAnsi="仿宋" w:eastAsia="仿宋" w:cs="楷体_GB2312"/>
          <w:bCs/>
          <w:sz w:val="32"/>
          <w:szCs w:val="32"/>
        </w:rPr>
        <w:t>总体绩效目标实现情况设定</w:t>
      </w:r>
      <w:r>
        <w:rPr>
          <w:rFonts w:hint="eastAsia" w:ascii="仿宋" w:hAnsi="仿宋" w:eastAsia="仿宋" w:cs="楷体_GB2312"/>
          <w:bCs/>
          <w:sz w:val="32"/>
          <w:szCs w:val="32"/>
          <w:lang w:val="en-US" w:eastAsia="zh-CN"/>
        </w:rPr>
        <w:t>50</w:t>
      </w:r>
      <w:r>
        <w:rPr>
          <w:rFonts w:hint="eastAsia" w:ascii="仿宋" w:hAnsi="仿宋" w:eastAsia="仿宋" w:cs="楷体_GB2312"/>
          <w:bCs/>
          <w:sz w:val="32"/>
          <w:szCs w:val="32"/>
        </w:rPr>
        <w:t>分，分项绩效目标实现情况设定</w:t>
      </w:r>
      <w:r>
        <w:rPr>
          <w:rFonts w:hint="eastAsia" w:ascii="仿宋" w:hAnsi="仿宋" w:eastAsia="仿宋" w:cs="楷体_GB2312"/>
          <w:bCs/>
          <w:sz w:val="32"/>
          <w:szCs w:val="32"/>
          <w:lang w:val="en-US" w:eastAsia="zh-CN"/>
        </w:rPr>
        <w:t>5</w:t>
      </w:r>
      <w:r>
        <w:rPr>
          <w:rFonts w:hint="eastAsia" w:ascii="仿宋" w:hAnsi="仿宋" w:eastAsia="仿宋" w:cs="楷体_GB2312"/>
          <w:bCs/>
          <w:sz w:val="32"/>
          <w:szCs w:val="32"/>
        </w:rPr>
        <w:t>0分，其中：</w:t>
      </w:r>
      <w:r>
        <w:rPr>
          <w:rFonts w:hint="eastAsia" w:ascii="仿宋" w:hAnsi="仿宋" w:eastAsia="仿宋" w:cs="仿宋"/>
          <w:bCs/>
          <w:sz w:val="32"/>
          <w:szCs w:val="32"/>
          <w:highlight w:val="none"/>
          <w:lang w:val="en-US" w:eastAsia="zh-CN"/>
        </w:rPr>
        <w:t>把政治建设摆在首位</w:t>
      </w:r>
      <w:r>
        <w:rPr>
          <w:rFonts w:hint="eastAsia" w:ascii="仿宋" w:hAnsi="仿宋" w:eastAsia="仿宋"/>
          <w:sz w:val="32"/>
          <w:szCs w:val="32"/>
        </w:rPr>
        <w:t>，设定10分；</w:t>
      </w:r>
      <w:r>
        <w:rPr>
          <w:rFonts w:hint="eastAsia" w:ascii="仿宋" w:hAnsi="仿宋" w:eastAsia="仿宋"/>
          <w:sz w:val="32"/>
          <w:szCs w:val="32"/>
          <w:highlight w:val="none"/>
          <w:lang w:eastAsia="zh-CN"/>
        </w:rPr>
        <w:t>维护稳定，助力平安</w:t>
      </w:r>
      <w:r>
        <w:rPr>
          <w:rFonts w:ascii="仿宋" w:hAnsi="仿宋" w:eastAsia="仿宋"/>
          <w:sz w:val="32"/>
          <w:szCs w:val="32"/>
          <w:highlight w:val="none"/>
        </w:rPr>
        <w:t>建设</w:t>
      </w:r>
      <w:r>
        <w:rPr>
          <w:rFonts w:hint="eastAsia" w:ascii="仿宋" w:hAnsi="仿宋" w:eastAsia="仿宋"/>
          <w:sz w:val="32"/>
          <w:szCs w:val="32"/>
        </w:rPr>
        <w:t>，设定10分；</w:t>
      </w:r>
      <w:r>
        <w:rPr>
          <w:rFonts w:ascii="仿宋" w:hAnsi="仿宋" w:eastAsia="仿宋"/>
          <w:sz w:val="32"/>
          <w:szCs w:val="32"/>
          <w:highlight w:val="none"/>
        </w:rPr>
        <w:t>坚持</w:t>
      </w:r>
      <w:r>
        <w:rPr>
          <w:rFonts w:hint="eastAsia" w:ascii="仿宋" w:hAnsi="仿宋" w:eastAsia="仿宋"/>
          <w:sz w:val="32"/>
          <w:szCs w:val="32"/>
          <w:highlight w:val="none"/>
          <w:lang w:eastAsia="zh-CN"/>
        </w:rPr>
        <w:t>发展为重</w:t>
      </w:r>
      <w:r>
        <w:rPr>
          <w:rFonts w:hint="eastAsia" w:ascii="仿宋" w:hAnsi="仿宋" w:eastAsia="仿宋"/>
          <w:sz w:val="32"/>
          <w:szCs w:val="32"/>
        </w:rPr>
        <w:t>，设定10分；</w:t>
      </w:r>
      <w:r>
        <w:rPr>
          <w:rFonts w:hint="eastAsia" w:ascii="仿宋" w:hAnsi="仿宋" w:eastAsia="仿宋"/>
          <w:sz w:val="32"/>
          <w:szCs w:val="32"/>
          <w:highlight w:val="none"/>
          <w:lang w:eastAsia="zh-CN"/>
        </w:rPr>
        <w:t>促进依法行政</w:t>
      </w:r>
      <w:r>
        <w:rPr>
          <w:rFonts w:hint="eastAsia" w:ascii="仿宋" w:hAnsi="仿宋" w:eastAsia="仿宋"/>
          <w:sz w:val="32"/>
          <w:szCs w:val="32"/>
        </w:rPr>
        <w:t>，设定10分；</w:t>
      </w:r>
      <w:r>
        <w:rPr>
          <w:rFonts w:hint="eastAsia" w:ascii="仿宋" w:hAnsi="仿宋" w:eastAsia="仿宋"/>
          <w:sz w:val="32"/>
          <w:szCs w:val="32"/>
          <w:highlight w:val="none"/>
          <w:lang w:eastAsia="zh-CN"/>
        </w:rPr>
        <w:t>坚持应执尽执</w:t>
      </w:r>
      <w:r>
        <w:rPr>
          <w:rFonts w:hint="eastAsia" w:ascii="仿宋" w:hAnsi="仿宋" w:eastAsia="仿宋"/>
          <w:sz w:val="32"/>
          <w:szCs w:val="32"/>
        </w:rPr>
        <w:t>，设定10分。</w:t>
      </w:r>
    </w:p>
    <w:p>
      <w:pPr>
        <w:keepNext w:val="0"/>
        <w:keepLines w:val="0"/>
        <w:pageBreakBefore w:val="0"/>
        <w:kinsoku/>
        <w:wordWrap/>
        <w:overflowPunct/>
        <w:topLinePunct w:val="0"/>
        <w:autoSpaceDE/>
        <w:autoSpaceDN/>
        <w:bidi w:val="0"/>
        <w:spacing w:line="360" w:lineRule="auto"/>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numPr>
          <w:ilvl w:val="0"/>
          <w:numId w:val="1"/>
        </w:numPr>
        <w:kinsoku/>
        <w:wordWrap/>
        <w:overflowPunct/>
        <w:topLinePunct w:val="0"/>
        <w:autoSpaceDE/>
        <w:autoSpaceDN/>
        <w:bidi w:val="0"/>
        <w:spacing w:line="360" w:lineRule="auto"/>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sz w:val="32"/>
          <w:szCs w:val="32"/>
        </w:rPr>
      </w:pPr>
      <w:r>
        <w:rPr>
          <w:rFonts w:hint="default" w:ascii="仿宋" w:hAnsi="仿宋" w:eastAsia="仿宋" w:cs="仿宋"/>
          <w:bCs/>
          <w:sz w:val="32"/>
          <w:szCs w:val="32"/>
          <w:highlight w:val="none"/>
          <w:lang w:val="en-US" w:eastAsia="zh-CN"/>
        </w:rPr>
        <w:t xml:space="preserve">2025 </w:t>
      </w:r>
      <w:r>
        <w:rPr>
          <w:rFonts w:hint="eastAsia" w:ascii="仿宋" w:hAnsi="仿宋" w:eastAsia="仿宋" w:cs="仿宋"/>
          <w:bCs/>
          <w:sz w:val="32"/>
          <w:szCs w:val="32"/>
          <w:highlight w:val="none"/>
          <w:lang w:val="en-US" w:eastAsia="zh-CN"/>
        </w:rPr>
        <w:t>年，平山县人民法院坚持以习近平新时代中国特色社会主义思想为指导，全面贯彻落实党的二十大精神，深入贯彻习近平法治思想，深刻领悟</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两个确立</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的决定性意义，增强</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四个意识</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、坚定</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四个自信</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、做到</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两个维护</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牢牢坚持党对司法工作的绝对领导，坚持司法为民、公正司法，坚持统筹发展和安全，坚持稳中求进工作总基调，奋力推进新时代新征程人民法院工作高质量发展，为建设产业振兴、生态宜居、和谐安定、充满活力的新平山提供精准有效的司法服务和保障。</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_GB2312" w:eastAsia="仿宋_GB2312"/>
          <w:sz w:val="32"/>
          <w:szCs w:val="32"/>
        </w:rPr>
      </w:pPr>
      <w:r>
        <w:rPr>
          <w:rFonts w:hint="eastAsia" w:ascii="仿宋" w:hAnsi="仿宋" w:eastAsia="仿宋"/>
          <w:sz w:val="32"/>
          <w:szCs w:val="32"/>
        </w:rPr>
        <w:t>该项得分为</w:t>
      </w:r>
      <w:r>
        <w:rPr>
          <w:rFonts w:hint="eastAsia" w:ascii="仿宋" w:hAnsi="仿宋" w:eastAsia="仿宋"/>
          <w:sz w:val="32"/>
          <w:szCs w:val="32"/>
          <w:lang w:val="en-US" w:eastAsia="zh-CN"/>
        </w:rPr>
        <w:t>5</w:t>
      </w:r>
      <w:r>
        <w:rPr>
          <w:rFonts w:hint="eastAsia" w:ascii="仿宋" w:hAnsi="仿宋" w:eastAsia="仿宋"/>
          <w:sz w:val="32"/>
          <w:szCs w:val="32"/>
        </w:rPr>
        <w:t>0分。</w:t>
      </w:r>
    </w:p>
    <w:p>
      <w:pPr>
        <w:keepNext w:val="0"/>
        <w:keepLines w:val="0"/>
        <w:pageBreakBefore w:val="0"/>
        <w:kinsoku/>
        <w:wordWrap/>
        <w:overflowPunct/>
        <w:topLinePunct w:val="0"/>
        <w:autoSpaceDE/>
        <w:autoSpaceDN/>
        <w:bidi w:val="0"/>
        <w:spacing w:line="360" w:lineRule="auto"/>
        <w:ind w:firstLine="645"/>
        <w:textAlignment w:val="auto"/>
        <w:rPr>
          <w:rFonts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（1）把政治建设摆在首位</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绩效目标：坚持</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抓党建带队建促审判</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，将习近平法治思想、宪法法律、党内法规列入党组中心组年度学习计划、干部培训计划，严格执行党章和新形势下党内政治生活若干准则，认真落实</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三会一课</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，坚持</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一把手</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带头抓意识形态工作，强化党组抓意识形态工作的主体责任，严格按照</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三同步</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 xml:space="preserve">工作原则加强负面舆情防控和引导。 </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default" w:ascii="仿宋" w:hAnsi="仿宋" w:eastAsia="仿宋" w:cs="仿宋"/>
          <w:bCs/>
          <w:sz w:val="32"/>
          <w:szCs w:val="32"/>
          <w:highlight w:val="none"/>
          <w:lang w:val="en-US" w:eastAsia="zh-CN"/>
        </w:rPr>
      </w:pPr>
      <w:r>
        <w:rPr>
          <w:rFonts w:hint="default" w:ascii="仿宋" w:hAnsi="仿宋" w:eastAsia="仿宋" w:cs="仿宋"/>
          <w:bCs/>
          <w:sz w:val="32"/>
          <w:szCs w:val="32"/>
          <w:highlight w:val="none"/>
          <w:lang w:val="en-US" w:eastAsia="zh-CN"/>
        </w:rPr>
        <w:t>绩效指标：</w:t>
      </w:r>
      <w:r>
        <w:rPr>
          <w:rFonts w:hint="eastAsia" w:ascii="仿宋" w:hAnsi="仿宋" w:eastAsia="仿宋" w:cs="仿宋"/>
          <w:bCs/>
          <w:sz w:val="32"/>
          <w:szCs w:val="32"/>
          <w:highlight w:val="none"/>
          <w:lang w:val="en-US" w:eastAsia="zh-CN"/>
        </w:rPr>
        <w:t xml:space="preserve">全年组织党组理论中心组专题学习 </w:t>
      </w:r>
      <w:r>
        <w:rPr>
          <w:rFonts w:hint="default" w:ascii="仿宋" w:hAnsi="仿宋" w:eastAsia="仿宋" w:cs="仿宋"/>
          <w:bCs/>
          <w:sz w:val="32"/>
          <w:szCs w:val="32"/>
          <w:highlight w:val="none"/>
          <w:lang w:val="en-US" w:eastAsia="zh-CN"/>
        </w:rPr>
        <w:t xml:space="preserve">12 </w:t>
      </w:r>
      <w:r>
        <w:rPr>
          <w:rFonts w:hint="eastAsia" w:ascii="仿宋" w:hAnsi="仿宋" w:eastAsia="仿宋" w:cs="仿宋"/>
          <w:bCs/>
          <w:sz w:val="32"/>
          <w:szCs w:val="32"/>
          <w:highlight w:val="none"/>
          <w:lang w:val="en-US" w:eastAsia="zh-CN"/>
        </w:rPr>
        <w:t xml:space="preserve">次，支部理论学习 </w:t>
      </w:r>
      <w:r>
        <w:rPr>
          <w:rFonts w:hint="default" w:ascii="仿宋" w:hAnsi="仿宋" w:eastAsia="仿宋" w:cs="仿宋"/>
          <w:bCs/>
          <w:sz w:val="32"/>
          <w:szCs w:val="32"/>
          <w:highlight w:val="none"/>
          <w:lang w:val="en-US" w:eastAsia="zh-CN"/>
        </w:rPr>
        <w:t xml:space="preserve">20 </w:t>
      </w:r>
      <w:r>
        <w:rPr>
          <w:rFonts w:hint="eastAsia" w:ascii="仿宋" w:hAnsi="仿宋" w:eastAsia="仿宋" w:cs="仿宋"/>
          <w:bCs/>
          <w:sz w:val="32"/>
          <w:szCs w:val="32"/>
          <w:highlight w:val="none"/>
          <w:lang w:val="en-US" w:eastAsia="zh-CN"/>
        </w:rPr>
        <w:t xml:space="preserve">次，青年理论学习小组学习 </w:t>
      </w:r>
      <w:r>
        <w:rPr>
          <w:rFonts w:hint="default" w:ascii="仿宋" w:hAnsi="仿宋" w:eastAsia="仿宋" w:cs="仿宋"/>
          <w:bCs/>
          <w:sz w:val="32"/>
          <w:szCs w:val="32"/>
          <w:highlight w:val="none"/>
          <w:lang w:val="en-US" w:eastAsia="zh-CN"/>
        </w:rPr>
        <w:t xml:space="preserve">12 </w:t>
      </w:r>
      <w:r>
        <w:rPr>
          <w:rFonts w:hint="eastAsia" w:ascii="仿宋" w:hAnsi="仿宋" w:eastAsia="仿宋" w:cs="仿宋"/>
          <w:bCs/>
          <w:sz w:val="32"/>
          <w:szCs w:val="32"/>
          <w:highlight w:val="none"/>
          <w:lang w:val="en-US" w:eastAsia="zh-CN"/>
        </w:rPr>
        <w:t xml:space="preserve">次，开展主题党日活动 </w:t>
      </w:r>
      <w:r>
        <w:rPr>
          <w:rFonts w:hint="default" w:ascii="仿宋" w:hAnsi="仿宋" w:eastAsia="仿宋" w:cs="仿宋"/>
          <w:bCs/>
          <w:sz w:val="32"/>
          <w:szCs w:val="32"/>
          <w:highlight w:val="none"/>
          <w:lang w:val="en-US" w:eastAsia="zh-CN"/>
        </w:rPr>
        <w:t xml:space="preserve">10 </w:t>
      </w:r>
      <w:r>
        <w:rPr>
          <w:rFonts w:hint="eastAsia" w:ascii="仿宋" w:hAnsi="仿宋" w:eastAsia="仿宋" w:cs="仿宋"/>
          <w:bCs/>
          <w:sz w:val="32"/>
          <w:szCs w:val="32"/>
          <w:highlight w:val="none"/>
          <w:lang w:val="en-US" w:eastAsia="zh-CN"/>
        </w:rPr>
        <w:t>次。</w:t>
      </w:r>
    </w:p>
    <w:p>
      <w:pPr>
        <w:pStyle w:val="9"/>
        <w:keepNext w:val="0"/>
        <w:keepLines w:val="0"/>
        <w:pageBreakBefore w:val="0"/>
        <w:kinsoku/>
        <w:wordWrap/>
        <w:overflowPunct/>
        <w:topLinePunct w:val="0"/>
        <w:autoSpaceDE/>
        <w:autoSpaceDN/>
        <w:bidi w:val="0"/>
        <w:spacing w:line="360" w:lineRule="auto"/>
        <w:textAlignment w:val="auto"/>
        <w:rPr>
          <w:rFonts w:hint="default" w:ascii="仿宋" w:hAnsi="仿宋" w:eastAsia="仿宋"/>
          <w:bCs/>
          <w:sz w:val="32"/>
          <w:szCs w:val="32"/>
          <w:lang w:val="en-US" w:eastAsia="zh-CN"/>
        </w:rPr>
      </w:pPr>
      <w:r>
        <w:rPr>
          <w:rFonts w:hint="eastAsia" w:ascii="仿宋" w:hAnsi="仿宋" w:eastAsia="仿宋"/>
          <w:bCs/>
          <w:sz w:val="32"/>
          <w:szCs w:val="32"/>
          <w:lang w:val="uk-UA"/>
        </w:rPr>
        <w:t>该项得分10分</w:t>
      </w:r>
      <w:r>
        <w:rPr>
          <w:rFonts w:hint="eastAsia" w:ascii="仿宋" w:hAnsi="仿宋" w:eastAsia="仿宋"/>
          <w:bCs/>
          <w:sz w:val="32"/>
          <w:szCs w:val="32"/>
          <w:lang w:val="uk-UA" w:eastAsia="zh-CN"/>
        </w:rPr>
        <w:t>。</w:t>
      </w:r>
      <w:r>
        <w:rPr>
          <w:rFonts w:hint="eastAsia" w:ascii="仿宋" w:hAnsi="仿宋" w:eastAsia="仿宋"/>
          <w:bCs/>
          <w:sz w:val="32"/>
          <w:szCs w:val="32"/>
          <w:lang w:val="en-US" w:eastAsia="zh-CN"/>
        </w:rPr>
        <w:t xml:space="preserve"> </w:t>
      </w:r>
    </w:p>
    <w:p>
      <w:pPr>
        <w:pStyle w:val="9"/>
        <w:keepNext w:val="0"/>
        <w:keepLines w:val="0"/>
        <w:pageBreakBefore w:val="0"/>
        <w:kinsoku/>
        <w:wordWrap/>
        <w:overflowPunct/>
        <w:topLinePunct w:val="0"/>
        <w:autoSpaceDE/>
        <w:autoSpaceDN/>
        <w:bidi w:val="0"/>
        <w:spacing w:line="360" w:lineRule="auto"/>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（2）维护稳定，助力平安建设</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绩效目标：依法严惩严重危害社会治安犯罪，审结故意杀人、抢劫、强奸等暴力犯罪和毒品犯罪</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常态化开展扫黑除恶斗争，保持惩治腐败犯罪高压态势，加大多发涉众型经济犯罪惩治力度。全面准确落实司法责任制，精准把握宽严相济刑事政策，严把案件事实关、证据关、程序关、法律适用关。</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绩效指标：全力提升案件办理质效，不断提高刑事审判质效和公信力，通过推出典型案例、发布司法建议等形式不断提炼经验做法，推动刑事审判整体提升，刑事案件结案率达标。</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uk-UA" w:eastAsia="zh-CN"/>
        </w:rPr>
        <w:t>该项得分10分。</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（3）坚持发展为重</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绩效目标：将优化法治化营商环境融入</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立案、审判、执行</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全过程，依法规范全县金融秩序。积极参与稳妥推进企业债务纠纷案件审理，统一融资担保合同纠纷案件裁判尺度，编纂服务企业高质量发展法律提示系列，指引企业依法经营。</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绩效指标：将司法为民的理念不断贯彻到调解实践中，让人民群众获得更加高效、便捷的司法服务</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强化程序公正意识，民事案件结案率达标。</w:t>
      </w:r>
    </w:p>
    <w:p>
      <w:pPr>
        <w:pStyle w:val="9"/>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lang w:eastAsia="zh-CN"/>
        </w:rPr>
      </w:pPr>
      <w:r>
        <w:rPr>
          <w:rFonts w:hint="eastAsia" w:ascii="仿宋" w:hAnsi="仿宋" w:eastAsia="仿宋"/>
          <w:bCs/>
          <w:sz w:val="32"/>
          <w:szCs w:val="32"/>
          <w:lang w:val="uk-UA"/>
        </w:rPr>
        <w:t>该项得分</w:t>
      </w:r>
      <w:r>
        <w:rPr>
          <w:rFonts w:hint="eastAsia" w:ascii="仿宋" w:hAnsi="仿宋" w:eastAsia="仿宋"/>
          <w:bCs/>
          <w:sz w:val="32"/>
          <w:szCs w:val="32"/>
          <w:lang w:val="en-US" w:eastAsia="zh-CN"/>
        </w:rPr>
        <w:t>9</w:t>
      </w:r>
      <w:r>
        <w:rPr>
          <w:rFonts w:hint="eastAsia" w:ascii="仿宋" w:hAnsi="仿宋" w:eastAsia="仿宋"/>
          <w:bCs/>
          <w:sz w:val="32"/>
          <w:szCs w:val="32"/>
          <w:lang w:val="uk-UA"/>
        </w:rPr>
        <w:t>分</w:t>
      </w:r>
      <w:r>
        <w:rPr>
          <w:rFonts w:hint="eastAsia" w:ascii="仿宋" w:hAnsi="仿宋" w:eastAsia="仿宋"/>
          <w:bCs/>
          <w:sz w:val="32"/>
          <w:szCs w:val="32"/>
          <w:lang w:val="uk-UA" w:eastAsia="zh-CN"/>
        </w:rPr>
        <w:t>。</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（4）促进依法行政</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绩效目标：为行政执法人员进行专题辅导。发布年度行政案件司法审查报告，定期为乡镇综合行政执法人员进行专题辅导。依托</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府院联动</w:t>
      </w:r>
      <w:r>
        <w:rPr>
          <w:rFonts w:hint="default" w:ascii="仿宋" w:hAnsi="仿宋" w:eastAsia="仿宋" w:cs="仿宋"/>
          <w:bCs/>
          <w:sz w:val="32"/>
          <w:szCs w:val="32"/>
          <w:highlight w:val="none"/>
          <w:lang w:val="en-US" w:eastAsia="zh-CN"/>
        </w:rPr>
        <w:t>”</w:t>
      </w:r>
      <w:r>
        <w:rPr>
          <w:rFonts w:hint="eastAsia" w:ascii="仿宋" w:hAnsi="仿宋" w:eastAsia="仿宋" w:cs="仿宋"/>
          <w:bCs/>
          <w:sz w:val="32"/>
          <w:szCs w:val="32"/>
          <w:highlight w:val="none"/>
          <w:lang w:val="en-US" w:eastAsia="zh-CN"/>
        </w:rPr>
        <w:t xml:space="preserve">机制，联合司法局以会商会的形式，邀请涉案行政机关参与化解行政争议。 </w:t>
      </w:r>
    </w:p>
    <w:p>
      <w:pPr>
        <w:keepNext w:val="0"/>
        <w:keepLines w:val="0"/>
        <w:pageBreakBefore w:val="0"/>
        <w:widowControl/>
        <w:suppressLineNumbers w:val="0"/>
        <w:kinsoku/>
        <w:wordWrap/>
        <w:overflowPunct/>
        <w:topLinePunct w:val="0"/>
        <w:autoSpaceDE/>
        <w:autoSpaceDN/>
        <w:bidi w:val="0"/>
        <w:spacing w:line="360" w:lineRule="auto"/>
        <w:ind w:firstLine="640" w:firstLineChars="200"/>
        <w:jc w:val="left"/>
        <w:textAlignment w:val="auto"/>
      </w:pPr>
      <w:r>
        <w:rPr>
          <w:rFonts w:ascii="仿宋" w:hAnsi="仿宋" w:eastAsia="仿宋"/>
          <w:sz w:val="32"/>
          <w:szCs w:val="32"/>
        </w:rPr>
        <w:t>绩效指标：</w:t>
      </w:r>
      <w:r>
        <w:rPr>
          <w:rFonts w:hint="eastAsia" w:ascii="仿宋" w:hAnsi="仿宋" w:eastAsia="仿宋" w:cs="仿宋"/>
          <w:bCs/>
          <w:sz w:val="32"/>
          <w:szCs w:val="32"/>
          <w:highlight w:val="none"/>
          <w:lang w:val="en-US" w:eastAsia="zh-CN"/>
        </w:rPr>
        <w:t>注重实质化解行政争议，鼓励行政机关先行化解、强化府院联动机制、完善复议诉讼对接机制。</w:t>
      </w:r>
    </w:p>
    <w:p>
      <w:pPr>
        <w:pStyle w:val="9"/>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lang w:eastAsia="zh-CN"/>
        </w:rPr>
      </w:pPr>
      <w:r>
        <w:rPr>
          <w:rFonts w:hint="eastAsia" w:ascii="仿宋" w:hAnsi="仿宋" w:eastAsia="仿宋"/>
          <w:bCs/>
          <w:sz w:val="32"/>
          <w:szCs w:val="32"/>
          <w:lang w:val="uk-UA"/>
        </w:rPr>
        <w:t>该项得分</w:t>
      </w:r>
      <w:r>
        <w:rPr>
          <w:rFonts w:hint="eastAsia" w:ascii="仿宋" w:hAnsi="仿宋" w:eastAsia="仿宋"/>
          <w:bCs/>
          <w:sz w:val="32"/>
          <w:szCs w:val="32"/>
          <w:lang w:val="en-US" w:eastAsia="zh-CN"/>
        </w:rPr>
        <w:t>9</w:t>
      </w:r>
      <w:r>
        <w:rPr>
          <w:rFonts w:hint="eastAsia" w:ascii="仿宋" w:hAnsi="仿宋" w:eastAsia="仿宋"/>
          <w:bCs/>
          <w:sz w:val="32"/>
          <w:szCs w:val="32"/>
          <w:lang w:val="uk-UA"/>
        </w:rPr>
        <w:t>分</w:t>
      </w:r>
      <w:r>
        <w:rPr>
          <w:rFonts w:hint="eastAsia" w:ascii="仿宋" w:hAnsi="仿宋" w:eastAsia="仿宋"/>
          <w:bCs/>
          <w:sz w:val="32"/>
          <w:szCs w:val="32"/>
          <w:lang w:val="uk-UA" w:eastAsia="zh-CN"/>
        </w:rPr>
        <w:t>。</w:t>
      </w:r>
    </w:p>
    <w:p>
      <w:pPr>
        <w:keepNext w:val="0"/>
        <w:keepLines w:val="0"/>
        <w:pageBreakBefore w:val="0"/>
        <w:widowControl/>
        <w:suppressLineNumbers w:val="0"/>
        <w:kinsoku/>
        <w:wordWrap/>
        <w:overflowPunct/>
        <w:topLinePunct w:val="0"/>
        <w:autoSpaceDE/>
        <w:autoSpaceDN/>
        <w:bidi w:val="0"/>
        <w:spacing w:line="360" w:lineRule="auto"/>
        <w:ind w:firstLine="640" w:firstLineChars="200"/>
        <w:jc w:val="left"/>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5</w:t>
      </w:r>
      <w:r>
        <w:rPr>
          <w:rFonts w:ascii="仿宋" w:hAnsi="仿宋" w:eastAsia="仿宋"/>
          <w:sz w:val="32"/>
          <w:szCs w:val="32"/>
        </w:rPr>
        <w:t>）</w:t>
      </w:r>
      <w:r>
        <w:rPr>
          <w:rFonts w:hint="eastAsia" w:ascii="仿宋" w:hAnsi="仿宋" w:eastAsia="仿宋"/>
          <w:sz w:val="32"/>
          <w:szCs w:val="32"/>
          <w:lang w:val="en-US" w:eastAsia="zh-CN"/>
        </w:rPr>
        <w:t>坚持应执尽执</w:t>
      </w:r>
    </w:p>
    <w:p>
      <w:pPr>
        <w:keepNext w:val="0"/>
        <w:keepLines w:val="0"/>
        <w:pageBreakBefore w:val="0"/>
        <w:widowControl/>
        <w:suppressLineNumbers w:val="0"/>
        <w:kinsoku/>
        <w:wordWrap/>
        <w:overflowPunct/>
        <w:topLinePunct w:val="0"/>
        <w:autoSpaceDE/>
        <w:autoSpaceDN/>
        <w:bidi w:val="0"/>
        <w:spacing w:line="360" w:lineRule="auto"/>
        <w:ind w:firstLine="640" w:firstLineChars="200"/>
        <w:jc w:val="left"/>
        <w:textAlignment w:val="auto"/>
        <w:rPr>
          <w:rFonts w:ascii="仿宋" w:hAnsi="仿宋" w:eastAsia="仿宋"/>
          <w:sz w:val="32"/>
          <w:szCs w:val="32"/>
        </w:rPr>
      </w:pPr>
      <w:r>
        <w:rPr>
          <w:rFonts w:ascii="仿宋" w:hAnsi="仿宋" w:eastAsia="仿宋"/>
          <w:sz w:val="32"/>
          <w:szCs w:val="32"/>
        </w:rPr>
        <w:t>绩效目标：</w:t>
      </w:r>
      <w:r>
        <w:rPr>
          <w:rFonts w:hint="eastAsia" w:ascii="仿宋" w:hAnsi="仿宋" w:eastAsia="仿宋"/>
          <w:sz w:val="32"/>
          <w:szCs w:val="32"/>
          <w:lang w:val="en-US" w:eastAsia="zh-CN"/>
        </w:rPr>
        <w:t>充分利用各种执行措施，结合集中执行、交叉执行活动压缩被执行人自由活动空间，采取</w:t>
      </w:r>
      <w:r>
        <w:rPr>
          <w:rFonts w:hint="default" w:ascii="仿宋" w:hAnsi="仿宋" w:eastAsia="仿宋"/>
          <w:sz w:val="32"/>
          <w:szCs w:val="32"/>
          <w:lang w:val="en-US" w:eastAsia="zh-CN"/>
        </w:rPr>
        <w:t>“</w:t>
      </w:r>
      <w:r>
        <w:rPr>
          <w:rFonts w:hint="eastAsia" w:ascii="仿宋" w:hAnsi="仿宋" w:eastAsia="仿宋"/>
          <w:sz w:val="32"/>
          <w:szCs w:val="32"/>
          <w:lang w:val="en-US" w:eastAsia="zh-CN"/>
        </w:rPr>
        <w:t>理旧账、拒新账</w:t>
      </w:r>
      <w:r>
        <w:rPr>
          <w:rFonts w:hint="default" w:ascii="仿宋" w:hAnsi="仿宋" w:eastAsia="仿宋"/>
          <w:sz w:val="32"/>
          <w:szCs w:val="32"/>
          <w:lang w:val="en-US" w:eastAsia="zh-CN"/>
        </w:rPr>
        <w:t>”</w:t>
      </w:r>
      <w:r>
        <w:rPr>
          <w:rFonts w:hint="eastAsia" w:ascii="仿宋" w:hAnsi="仿宋" w:eastAsia="仿宋"/>
          <w:sz w:val="32"/>
          <w:szCs w:val="32"/>
          <w:lang w:val="en-US" w:eastAsia="zh-CN"/>
        </w:rPr>
        <w:t>的工作策略，推动执行案款</w:t>
      </w:r>
      <w:r>
        <w:rPr>
          <w:rFonts w:hint="default" w:ascii="仿宋" w:hAnsi="仿宋" w:eastAsia="仿宋"/>
          <w:sz w:val="32"/>
          <w:szCs w:val="32"/>
          <w:lang w:val="en-US" w:eastAsia="zh-CN"/>
        </w:rPr>
        <w:t>“</w:t>
      </w:r>
      <w:r>
        <w:rPr>
          <w:rFonts w:hint="eastAsia" w:ascii="仿宋" w:hAnsi="仿宋" w:eastAsia="仿宋"/>
          <w:sz w:val="32"/>
          <w:szCs w:val="32"/>
          <w:lang w:val="en-US" w:eastAsia="zh-CN"/>
        </w:rPr>
        <w:t>源头清零</w:t>
      </w:r>
      <w:r>
        <w:rPr>
          <w:rFonts w:hint="default" w:ascii="仿宋" w:hAnsi="仿宋" w:eastAsia="仿宋"/>
          <w:sz w:val="32"/>
          <w:szCs w:val="32"/>
          <w:lang w:val="en-US" w:eastAsia="zh-CN"/>
        </w:rPr>
        <w:t>”</w:t>
      </w:r>
      <w:r>
        <w:rPr>
          <w:rFonts w:hint="eastAsia" w:ascii="仿宋" w:hAnsi="仿宋" w:eastAsia="仿宋"/>
          <w:sz w:val="32"/>
          <w:szCs w:val="32"/>
          <w:lang w:val="en-US" w:eastAsia="zh-CN"/>
        </w:rPr>
        <w:t>。积极开展规范化管理试点工作，将我院执行工作逐步达到规范化管理要求的标准。</w:t>
      </w:r>
    </w:p>
    <w:p>
      <w:pPr>
        <w:keepNext w:val="0"/>
        <w:keepLines w:val="0"/>
        <w:pageBreakBefore w:val="0"/>
        <w:widowControl/>
        <w:suppressLineNumbers w:val="0"/>
        <w:kinsoku/>
        <w:wordWrap/>
        <w:overflowPunct/>
        <w:topLinePunct w:val="0"/>
        <w:autoSpaceDE/>
        <w:autoSpaceDN/>
        <w:bidi w:val="0"/>
        <w:spacing w:line="360" w:lineRule="auto"/>
        <w:ind w:firstLine="640" w:firstLineChars="200"/>
        <w:jc w:val="left"/>
        <w:textAlignment w:val="auto"/>
        <w:rPr>
          <w:rFonts w:ascii="仿宋" w:hAnsi="仿宋" w:eastAsia="仿宋"/>
          <w:sz w:val="32"/>
          <w:szCs w:val="32"/>
        </w:rPr>
      </w:pPr>
      <w:r>
        <w:rPr>
          <w:rFonts w:ascii="仿宋" w:hAnsi="仿宋" w:eastAsia="仿宋"/>
          <w:sz w:val="32"/>
          <w:szCs w:val="32"/>
        </w:rPr>
        <w:t>绩效指标：</w:t>
      </w:r>
      <w:r>
        <w:rPr>
          <w:rFonts w:hint="eastAsia" w:ascii="仿宋" w:hAnsi="仿宋" w:eastAsia="仿宋"/>
          <w:sz w:val="32"/>
          <w:szCs w:val="32"/>
          <w:lang w:val="en-US" w:eastAsia="zh-CN"/>
        </w:rPr>
        <w:t xml:space="preserve">执结率、执行到位率达标，且均优于去年同期指标值。 </w:t>
      </w:r>
    </w:p>
    <w:p>
      <w:pPr>
        <w:pStyle w:val="9"/>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lang w:eastAsia="zh-CN"/>
        </w:rPr>
      </w:pPr>
      <w:r>
        <w:rPr>
          <w:rFonts w:hint="eastAsia" w:ascii="仿宋" w:hAnsi="仿宋" w:eastAsia="仿宋"/>
          <w:bCs/>
          <w:sz w:val="32"/>
          <w:szCs w:val="32"/>
          <w:lang w:val="uk-UA"/>
        </w:rPr>
        <w:t>该项得分</w:t>
      </w:r>
      <w:r>
        <w:rPr>
          <w:rFonts w:hint="eastAsia" w:ascii="仿宋" w:hAnsi="仿宋" w:eastAsia="仿宋"/>
          <w:bCs/>
          <w:sz w:val="32"/>
          <w:szCs w:val="32"/>
          <w:lang w:val="uk-UA" w:eastAsia="zh-CN"/>
        </w:rPr>
        <w:t>8</w:t>
      </w:r>
      <w:r>
        <w:rPr>
          <w:rFonts w:hint="eastAsia" w:ascii="仿宋" w:hAnsi="仿宋" w:eastAsia="仿宋"/>
          <w:bCs/>
          <w:sz w:val="32"/>
          <w:szCs w:val="32"/>
          <w:lang w:val="uk-UA"/>
        </w:rPr>
        <w:t>分</w:t>
      </w:r>
      <w:r>
        <w:rPr>
          <w:rFonts w:hint="eastAsia" w:ascii="仿宋" w:hAnsi="仿宋" w:eastAsia="仿宋"/>
          <w:bCs/>
          <w:sz w:val="32"/>
          <w:szCs w:val="32"/>
          <w:lang w:val="uk-UA" w:eastAsia="zh-CN"/>
        </w:rPr>
        <w:t>。</w:t>
      </w:r>
    </w:p>
    <w:p>
      <w:pPr>
        <w:keepNext w:val="0"/>
        <w:keepLines w:val="0"/>
        <w:pageBreakBefore w:val="0"/>
        <w:kinsoku/>
        <w:wordWrap/>
        <w:overflowPunct/>
        <w:topLinePunct w:val="0"/>
        <w:autoSpaceDE/>
        <w:autoSpaceDN/>
        <w:bidi w:val="0"/>
        <w:spacing w:line="360" w:lineRule="auto"/>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sz w:val="32"/>
          <w:szCs w:val="32"/>
        </w:rPr>
      </w:pPr>
      <w:r>
        <w:rPr>
          <w:rFonts w:hint="eastAsia" w:ascii="仿宋" w:hAnsi="仿宋" w:eastAsia="仿宋" w:cs="仿宋_GB2312"/>
          <w:sz w:val="32"/>
          <w:szCs w:val="32"/>
        </w:rPr>
        <w:t>根据</w:t>
      </w:r>
      <w:r>
        <w:rPr>
          <w:rFonts w:hint="eastAsia" w:ascii="仿宋" w:hAnsi="仿宋" w:eastAsia="仿宋"/>
          <w:sz w:val="32"/>
          <w:szCs w:val="32"/>
        </w:rPr>
        <w:t>部门职责定位和各项工作履职情况进行综合评价</w:t>
      </w:r>
      <w:r>
        <w:rPr>
          <w:rFonts w:hint="eastAsia" w:ascii="仿宋" w:hAnsi="仿宋" w:eastAsia="仿宋" w:cs="仿宋_GB2312"/>
          <w:sz w:val="32"/>
          <w:szCs w:val="32"/>
        </w:rPr>
        <w:t>，我单位自评得分为96分，综合绩效评价等级为优秀。</w:t>
      </w:r>
    </w:p>
    <w:p>
      <w:pPr>
        <w:keepNext w:val="0"/>
        <w:keepLines w:val="0"/>
        <w:pageBreakBefore w:val="0"/>
        <w:kinsoku/>
        <w:wordWrap/>
        <w:overflowPunct/>
        <w:topLinePunct w:val="0"/>
        <w:autoSpaceDE/>
        <w:autoSpaceDN/>
        <w:bidi w:val="0"/>
        <w:spacing w:line="360" w:lineRule="auto"/>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spacing w:line="360" w:lineRule="auto"/>
        <w:ind w:firstLine="640" w:firstLineChars="200"/>
        <w:textAlignment w:val="auto"/>
        <w:rPr>
          <w:rFonts w:ascii="仿宋" w:hAnsi="仿宋" w:eastAsia="仿宋"/>
          <w:sz w:val="32"/>
          <w:szCs w:val="32"/>
        </w:rPr>
      </w:pPr>
      <w:r>
        <w:rPr>
          <w:rFonts w:hint="eastAsia" w:ascii="仿宋" w:hAnsi="仿宋" w:eastAsia="仿宋"/>
          <w:sz w:val="32"/>
          <w:szCs w:val="32"/>
        </w:rPr>
        <w:t>在项目实施方面，我院将进一步提高工作效率，加大项目经费绩效评价考核力度，保证项目实施进度，切实提高预算管理水平。充分发挥各个项目的效能，在解决问题之时，要确保把解决执行难落到实处，让群众切实感受到我院司法为民的初心，全力保障经济社会平稳健康发展，增强人民群众司法获得感。</w:t>
      </w:r>
    </w:p>
    <w:p>
      <w:pPr>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rPr>
      </w:pPr>
    </w:p>
    <w:p>
      <w:pPr>
        <w:keepNext w:val="0"/>
        <w:keepLines w:val="0"/>
        <w:pageBreakBefore w:val="0"/>
        <w:kinsoku/>
        <w:wordWrap/>
        <w:overflowPunct/>
        <w:topLinePunct w:val="0"/>
        <w:autoSpaceDE/>
        <w:autoSpaceDN/>
        <w:bidi w:val="0"/>
        <w:spacing w:line="360" w:lineRule="auto"/>
        <w:textAlignment w:val="auto"/>
        <w:rPr>
          <w:rFonts w:ascii="仿宋" w:hAnsi="仿宋" w:eastAsia="仿宋"/>
          <w:sz w:val="32"/>
          <w:szCs w:val="32"/>
        </w:rPr>
      </w:pPr>
    </w:p>
    <w:p>
      <w:pPr>
        <w:keepNext w:val="0"/>
        <w:keepLines w:val="0"/>
        <w:pageBreakBefore w:val="0"/>
        <w:kinsoku/>
        <w:wordWrap/>
        <w:overflowPunct/>
        <w:topLinePunct w:val="0"/>
        <w:autoSpaceDE/>
        <w:autoSpaceDN/>
        <w:bidi w:val="0"/>
        <w:spacing w:line="360" w:lineRule="auto"/>
        <w:ind w:right="160"/>
        <w:jc w:val="right"/>
        <w:textAlignment w:val="auto"/>
        <w:rPr>
          <w:rFonts w:ascii="仿宋" w:hAnsi="仿宋" w:eastAsia="仿宋"/>
          <w:sz w:val="32"/>
          <w:szCs w:val="32"/>
        </w:rPr>
      </w:pPr>
      <w:r>
        <w:rPr>
          <w:rFonts w:hint="eastAsia" w:ascii="仿宋" w:hAnsi="仿宋" w:eastAsia="仿宋"/>
          <w:sz w:val="32"/>
          <w:szCs w:val="32"/>
        </w:rPr>
        <w:t>平山县人民法院</w:t>
      </w:r>
    </w:p>
    <w:p>
      <w:pPr>
        <w:keepNext w:val="0"/>
        <w:keepLines w:val="0"/>
        <w:pageBreakBefore w:val="0"/>
        <w:kinsoku/>
        <w:wordWrap/>
        <w:overflowPunct/>
        <w:topLinePunct w:val="0"/>
        <w:autoSpaceDE/>
        <w:autoSpaceDN/>
        <w:bidi w:val="0"/>
        <w:spacing w:line="360" w:lineRule="auto"/>
        <w:jc w:val="right"/>
        <w:textAlignment w:val="auto"/>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年3月</w:t>
      </w:r>
      <w:r>
        <w:rPr>
          <w:rFonts w:hint="eastAsia" w:ascii="仿宋" w:hAnsi="仿宋" w:eastAsia="仿宋"/>
          <w:sz w:val="32"/>
          <w:szCs w:val="32"/>
          <w:lang w:val="en-US" w:eastAsia="zh-CN"/>
        </w:rPr>
        <w:t>19</w:t>
      </w:r>
      <w:r>
        <w:rPr>
          <w:rFonts w:hint="eastAsia" w:ascii="仿宋" w:hAnsi="仿宋" w:eastAsia="仿宋"/>
          <w:sz w:val="32"/>
          <w:szCs w:val="32"/>
        </w:rPr>
        <w:t>日</w:t>
      </w:r>
    </w:p>
    <w:bookmarkEnd w:id="2"/>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- 7 -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kzNTBiNjIzMTliNDhmNDI3MWM1MTk4M2EzMzhhZjUifQ=="/>
  </w:docVars>
  <w:rsids>
    <w:rsidRoot w:val="0EBD2122"/>
    <w:rsid w:val="000200B8"/>
    <w:rsid w:val="000361F0"/>
    <w:rsid w:val="00040E9B"/>
    <w:rsid w:val="00071CA9"/>
    <w:rsid w:val="000A79E0"/>
    <w:rsid w:val="000B0260"/>
    <w:rsid w:val="000D085B"/>
    <w:rsid w:val="001057B0"/>
    <w:rsid w:val="001321FA"/>
    <w:rsid w:val="00152D68"/>
    <w:rsid w:val="001745D7"/>
    <w:rsid w:val="001C15DD"/>
    <w:rsid w:val="001E699F"/>
    <w:rsid w:val="00236EB8"/>
    <w:rsid w:val="00242ED1"/>
    <w:rsid w:val="002A2D15"/>
    <w:rsid w:val="002A623C"/>
    <w:rsid w:val="00337AC5"/>
    <w:rsid w:val="00340390"/>
    <w:rsid w:val="0037528A"/>
    <w:rsid w:val="00375A8B"/>
    <w:rsid w:val="003B5DBE"/>
    <w:rsid w:val="00412522"/>
    <w:rsid w:val="00422316"/>
    <w:rsid w:val="004A3EC6"/>
    <w:rsid w:val="004D3357"/>
    <w:rsid w:val="0051059C"/>
    <w:rsid w:val="00551C3B"/>
    <w:rsid w:val="005E2F19"/>
    <w:rsid w:val="006111C9"/>
    <w:rsid w:val="0065458C"/>
    <w:rsid w:val="006815B8"/>
    <w:rsid w:val="006A7899"/>
    <w:rsid w:val="006E25B8"/>
    <w:rsid w:val="00775E04"/>
    <w:rsid w:val="007E6C1F"/>
    <w:rsid w:val="00871DB4"/>
    <w:rsid w:val="008943DC"/>
    <w:rsid w:val="008A2525"/>
    <w:rsid w:val="008B1F8A"/>
    <w:rsid w:val="00925252"/>
    <w:rsid w:val="00930CF8"/>
    <w:rsid w:val="00940919"/>
    <w:rsid w:val="00956A93"/>
    <w:rsid w:val="009E56FC"/>
    <w:rsid w:val="009E575C"/>
    <w:rsid w:val="00A33EFD"/>
    <w:rsid w:val="00A3444A"/>
    <w:rsid w:val="00A50B52"/>
    <w:rsid w:val="00A81401"/>
    <w:rsid w:val="00AD524D"/>
    <w:rsid w:val="00AF167E"/>
    <w:rsid w:val="00AF566A"/>
    <w:rsid w:val="00B2595C"/>
    <w:rsid w:val="00B478EA"/>
    <w:rsid w:val="00B52E45"/>
    <w:rsid w:val="00B60DB2"/>
    <w:rsid w:val="00B6553A"/>
    <w:rsid w:val="00B762BE"/>
    <w:rsid w:val="00B850FC"/>
    <w:rsid w:val="00B90866"/>
    <w:rsid w:val="00B91426"/>
    <w:rsid w:val="00B924C6"/>
    <w:rsid w:val="00BA550D"/>
    <w:rsid w:val="00BC6576"/>
    <w:rsid w:val="00C72213"/>
    <w:rsid w:val="00CA709A"/>
    <w:rsid w:val="00CD2CF2"/>
    <w:rsid w:val="00CE06BA"/>
    <w:rsid w:val="00CF20C4"/>
    <w:rsid w:val="00CF52B4"/>
    <w:rsid w:val="00D02ADF"/>
    <w:rsid w:val="00D70227"/>
    <w:rsid w:val="00D74D25"/>
    <w:rsid w:val="00D86649"/>
    <w:rsid w:val="00D96247"/>
    <w:rsid w:val="00DE3AD6"/>
    <w:rsid w:val="00E937ED"/>
    <w:rsid w:val="00E95F1C"/>
    <w:rsid w:val="00EC0019"/>
    <w:rsid w:val="00EC3A4E"/>
    <w:rsid w:val="00EC65C3"/>
    <w:rsid w:val="00ED48D2"/>
    <w:rsid w:val="00EE3E83"/>
    <w:rsid w:val="00F11403"/>
    <w:rsid w:val="00F441CC"/>
    <w:rsid w:val="00F51CCE"/>
    <w:rsid w:val="00FA31D0"/>
    <w:rsid w:val="00FB0D70"/>
    <w:rsid w:val="00FC30CF"/>
    <w:rsid w:val="00FF1A95"/>
    <w:rsid w:val="00FF3333"/>
    <w:rsid w:val="01B104CA"/>
    <w:rsid w:val="02106AB0"/>
    <w:rsid w:val="02B43A28"/>
    <w:rsid w:val="046F331E"/>
    <w:rsid w:val="059E36F3"/>
    <w:rsid w:val="062E4217"/>
    <w:rsid w:val="07956271"/>
    <w:rsid w:val="09721397"/>
    <w:rsid w:val="0BB63BED"/>
    <w:rsid w:val="0EB97A43"/>
    <w:rsid w:val="0EBD2122"/>
    <w:rsid w:val="0F214EAE"/>
    <w:rsid w:val="11B71E6A"/>
    <w:rsid w:val="17BD1E38"/>
    <w:rsid w:val="1A1A1078"/>
    <w:rsid w:val="1AAF0063"/>
    <w:rsid w:val="1BE140DE"/>
    <w:rsid w:val="247E54C9"/>
    <w:rsid w:val="248C197D"/>
    <w:rsid w:val="252959AF"/>
    <w:rsid w:val="277A6671"/>
    <w:rsid w:val="292D35B7"/>
    <w:rsid w:val="2DAB6AF5"/>
    <w:rsid w:val="33EB6CFF"/>
    <w:rsid w:val="35A12947"/>
    <w:rsid w:val="37387040"/>
    <w:rsid w:val="3B625C0A"/>
    <w:rsid w:val="3CEE1963"/>
    <w:rsid w:val="3CFB0B2B"/>
    <w:rsid w:val="436B78D3"/>
    <w:rsid w:val="471468C5"/>
    <w:rsid w:val="475353E4"/>
    <w:rsid w:val="4C9C27FE"/>
    <w:rsid w:val="4E1025B6"/>
    <w:rsid w:val="512260B4"/>
    <w:rsid w:val="52BD6ACB"/>
    <w:rsid w:val="55537534"/>
    <w:rsid w:val="561A74F1"/>
    <w:rsid w:val="597244E8"/>
    <w:rsid w:val="5BEC6455"/>
    <w:rsid w:val="5EB71C30"/>
    <w:rsid w:val="66AF0CE5"/>
    <w:rsid w:val="66B97AD3"/>
    <w:rsid w:val="679007F2"/>
    <w:rsid w:val="6AC537CF"/>
    <w:rsid w:val="6E5B14A6"/>
    <w:rsid w:val="711B255E"/>
    <w:rsid w:val="7BB51E06"/>
    <w:rsid w:val="7C387F7C"/>
    <w:rsid w:val="7F4305B8"/>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7">
    <w:name w:val="p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9">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0">
    <w:name w:val="插入文本样式-插入实现年度发展规划目标的保障措施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3095</Words>
  <Characters>3182</Characters>
  <Lines>30</Lines>
  <Paragraphs>8</Paragraphs>
  <TotalTime>41</TotalTime>
  <ScaleCrop>false</ScaleCrop>
  <LinksUpToDate>false</LinksUpToDate>
  <CharactersWithSpaces>3221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2025-03-14T09:12:00Z</dcterms:created>
  <dc:creator>欣欣大人</dc:creator>
  <cp:lastModifiedBy>Administrator</cp:lastModifiedBy>
  <cp:lastPrinted>2026-04-16T08:13:47Z</cp:lastPrinted>
  <dcterms:modified xsi:type="dcterms:W3CDTF">2026-04-16T08:13:49Z</dcterms:modified>
  <dc:title>附件3：</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96934721B1514D3FBAA28020338CE855_12</vt:lpwstr>
  </property>
</Properties>
</file>