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rPr>
          <w:rFonts w:ascii="Times New Roman" w:hAnsi="Times New Roman" w:eastAsia="黑体"/>
          <w:szCs w:val="32"/>
        </w:rPr>
      </w:pPr>
      <w:r>
        <w:rPr>
          <w:rFonts w:hint="eastAsia" w:ascii="Times New Roman" w:hAnsi="Times New Roman" w:eastAsia="黑体"/>
          <w:szCs w:val="32"/>
        </w:rPr>
        <w:t>附件</w:t>
      </w:r>
      <w:r>
        <w:rPr>
          <w:rFonts w:hint="eastAsia" w:ascii="黑体" w:hAnsi="黑体" w:eastAsia="黑体"/>
          <w:szCs w:val="32"/>
        </w:rPr>
        <w:t>4</w:t>
      </w:r>
    </w:p>
    <w:p>
      <w:pPr>
        <w:jc w:val="center"/>
        <w:rPr>
          <w:rFonts w:ascii="Times New Roman" w:hAnsi="Times New Roman" w:cs="宋体"/>
          <w:b/>
          <w:bCs/>
          <w:sz w:val="44"/>
          <w:szCs w:val="44"/>
        </w:rPr>
      </w:pPr>
    </w:p>
    <w:p>
      <w:pPr>
        <w:jc w:val="center"/>
        <w:rPr>
          <w:rFonts w:ascii="Times New Roman" w:hAnsi="Times New Roman" w:cs="宋体"/>
          <w:b/>
          <w:bCs/>
          <w:sz w:val="44"/>
          <w:szCs w:val="44"/>
        </w:rPr>
      </w:pPr>
      <w:r>
        <w:rPr>
          <w:rFonts w:hint="eastAsia" w:ascii="Times New Roman" w:hAnsi="Times New Roman" w:cs="宋体"/>
          <w:b/>
          <w:bCs/>
          <w:sz w:val="44"/>
          <w:szCs w:val="44"/>
        </w:rPr>
        <w:t>石家庄住房公积金管理中心</w:t>
      </w:r>
    </w:p>
    <w:p>
      <w:pPr>
        <w:jc w:val="center"/>
        <w:rPr>
          <w:rFonts w:ascii="Times New Roman" w:hAnsi="Times New Roman" w:cs="宋体"/>
          <w:b/>
          <w:bCs/>
          <w:sz w:val="44"/>
          <w:szCs w:val="44"/>
        </w:rPr>
      </w:pPr>
      <w:r>
        <w:rPr>
          <w:rFonts w:hint="eastAsia" w:ascii="Times New Roman" w:hAnsi="Times New Roman" w:cs="宋体"/>
          <w:b/>
          <w:bCs/>
          <w:sz w:val="44"/>
          <w:szCs w:val="44"/>
        </w:rPr>
        <w:t>202</w:t>
      </w:r>
      <w:r>
        <w:rPr>
          <w:rFonts w:hint="eastAsia" w:ascii="Times New Roman" w:hAnsi="Times New Roman" w:cs="宋体"/>
          <w:b/>
          <w:bCs/>
          <w:sz w:val="44"/>
          <w:szCs w:val="44"/>
          <w:lang w:val="en-US" w:eastAsia="zh-CN"/>
        </w:rPr>
        <w:t>5</w:t>
      </w:r>
      <w:r>
        <w:rPr>
          <w:rFonts w:hint="eastAsia" w:ascii="Times New Roman" w:hAnsi="Times New Roman" w:cs="宋体"/>
          <w:b/>
          <w:bCs/>
          <w:sz w:val="44"/>
          <w:szCs w:val="44"/>
        </w:rPr>
        <w:t>年度整体支出绩效自评报告</w:t>
      </w:r>
    </w:p>
    <w:p>
      <w:pPr>
        <w:ind w:firstLine="640" w:firstLineChars="200"/>
        <w:jc w:val="center"/>
        <w:rPr>
          <w:rFonts w:ascii="Times New Roman" w:hAnsi="Times New Roman" w:eastAsia="华文楷体"/>
          <w:szCs w:val="32"/>
        </w:rPr>
      </w:pP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rPr>
      </w:pPr>
      <w:r>
        <w:rPr>
          <w:rFonts w:hint="eastAsia" w:ascii="Times New Roman" w:hAnsi="Times New Roman"/>
          <w:szCs w:val="32"/>
        </w:rPr>
        <w:t>贯彻落实市委市政府《关于全面落实预算绩效管理的实施意见》（石发﹝2019﹞8号）文件精神，遵循“科学性、规范性、客观性和公正性”的原则，</w:t>
      </w:r>
      <w:r>
        <w:rPr>
          <w:rFonts w:hint="eastAsia" w:ascii="Times New Roman" w:hAnsi="Times New Roman"/>
          <w:szCs w:val="32"/>
          <w:lang w:val="en-US" w:eastAsia="zh-CN"/>
        </w:rPr>
        <w:t>对</w:t>
      </w:r>
      <w:r>
        <w:rPr>
          <w:rFonts w:hint="eastAsia" w:ascii="Times New Roman" w:hAnsi="Times New Roman"/>
          <w:szCs w:val="32"/>
        </w:rPr>
        <w:t>石家庄住房公积金管理中心</w:t>
      </w:r>
      <w:r>
        <w:rPr>
          <w:rFonts w:hint="eastAsia" w:ascii="Times New Roman" w:hAnsi="Times New Roman"/>
          <w:szCs w:val="32"/>
          <w:lang w:eastAsia="zh-CN"/>
        </w:rPr>
        <w:t>（</w:t>
      </w:r>
      <w:r>
        <w:rPr>
          <w:rFonts w:hint="eastAsia" w:ascii="Times New Roman" w:hAnsi="Times New Roman"/>
          <w:szCs w:val="32"/>
          <w:lang w:val="en-US" w:eastAsia="zh-CN"/>
        </w:rPr>
        <w:t>以下简称“我中心”）</w:t>
      </w:r>
      <w:r>
        <w:rPr>
          <w:rFonts w:hint="eastAsia" w:ascii="Times New Roman" w:hAnsi="Times New Roman"/>
          <w:szCs w:val="32"/>
        </w:rPr>
        <w:t>202</w:t>
      </w:r>
      <w:r>
        <w:rPr>
          <w:rFonts w:hint="eastAsia" w:ascii="Times New Roman" w:hAnsi="Times New Roman"/>
          <w:szCs w:val="32"/>
          <w:lang w:val="en-US" w:eastAsia="zh-CN"/>
        </w:rPr>
        <w:t>5</w:t>
      </w:r>
      <w:r>
        <w:rPr>
          <w:rFonts w:hint="eastAsia" w:ascii="Times New Roman" w:hAnsi="Times New Roman"/>
          <w:szCs w:val="32"/>
        </w:rPr>
        <w:t>年整体支出情况实施了财政支出绩效自评价，形成本评价报告。</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outlineLvl w:val="0"/>
        <w:rPr>
          <w:rFonts w:ascii="Times New Roman" w:hAnsi="Times New Roman" w:eastAsia="黑体"/>
          <w:b/>
          <w:bCs/>
          <w:szCs w:val="36"/>
        </w:rPr>
      </w:pPr>
      <w:r>
        <w:rPr>
          <w:rFonts w:hint="eastAsia" w:ascii="Times New Roman" w:hAnsi="Times New Roman" w:eastAsia="黑体"/>
          <w:szCs w:val="32"/>
        </w:rPr>
        <w:t>一、部门</w:t>
      </w:r>
      <w:r>
        <w:rPr>
          <w:rFonts w:hint="eastAsia" w:ascii="Times New Roman" w:hAnsi="Times New Roman" w:eastAsia="黑体"/>
          <w:szCs w:val="36"/>
        </w:rPr>
        <w:t>基本情况</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outlineLvl w:val="1"/>
        <w:rPr>
          <w:rFonts w:ascii="Times New Roman" w:hAnsi="Times New Roman" w:eastAsia="楷体" w:cs="楷体_GB2312"/>
          <w:bCs/>
          <w:szCs w:val="32"/>
        </w:rPr>
      </w:pPr>
      <w:r>
        <w:rPr>
          <w:rFonts w:hint="eastAsia" w:ascii="Times New Roman" w:hAnsi="Times New Roman" w:eastAsia="楷体" w:cs="楷体_GB2312"/>
          <w:bCs/>
          <w:szCs w:val="32"/>
        </w:rPr>
        <w:t>（一）部门概况</w:t>
      </w:r>
    </w:p>
    <w:p>
      <w:pPr>
        <w:keepNext w:val="0"/>
        <w:keepLines w:val="0"/>
        <w:pageBreakBefore w:val="0"/>
        <w:widowControl w:val="0"/>
        <w:kinsoku/>
        <w:wordWrap/>
        <w:overflowPunct/>
        <w:topLinePunct w:val="0"/>
        <w:autoSpaceDE/>
        <w:autoSpaceDN/>
        <w:bidi w:val="0"/>
        <w:adjustRightInd w:val="0"/>
        <w:snapToGrid w:val="0"/>
        <w:ind w:firstLine="643" w:firstLineChars="200"/>
        <w:textAlignment w:val="auto"/>
        <w:outlineLvl w:val="2"/>
        <w:rPr>
          <w:rFonts w:ascii="Times New Roman" w:hAnsi="Times New Roman"/>
          <w:b/>
          <w:bCs/>
          <w:szCs w:val="32"/>
        </w:rPr>
      </w:pPr>
      <w:r>
        <w:rPr>
          <w:rFonts w:hint="eastAsia" w:ascii="Times New Roman" w:hAnsi="Times New Roman"/>
          <w:b/>
          <w:bCs/>
          <w:szCs w:val="32"/>
        </w:rPr>
        <w:t>1.部门职能</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rPr>
      </w:pPr>
      <w:r>
        <w:rPr>
          <w:rFonts w:hint="eastAsia" w:ascii="Times New Roman" w:hAnsi="Times New Roman"/>
          <w:szCs w:val="32"/>
        </w:rPr>
        <w:t>（1）编制、执行住房公积金的归集、使用计划。归集计划包括住房公积金的覆盖面、缴存基数、缴存比例、归集总额及归集措施等。使用计划包括公积金提取额、发放贷款额、风险准备金提取额及使用办法等。</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rPr>
      </w:pPr>
      <w:r>
        <w:rPr>
          <w:rFonts w:hint="eastAsia" w:ascii="Times New Roman" w:hAnsi="Times New Roman"/>
          <w:szCs w:val="32"/>
        </w:rPr>
        <w:t>（2）负责记载职工住房公积金的缴存、支取、使用等情况。真实、及时记载住房公积金缴存、提取、使用，准确掌握职工个人住房公积金账户内的资金数额和变动状况，并和委托银行定期对账。</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rPr>
      </w:pPr>
      <w:r>
        <w:rPr>
          <w:rFonts w:hint="eastAsia" w:ascii="Times New Roman" w:hAnsi="Times New Roman"/>
          <w:szCs w:val="32"/>
        </w:rPr>
        <w:t>（3）负责住房公积金的核算。真实、全面、准确、及时地建立公积金的总账与职工公积金明细账，建立完整的财务管理制度，并对公积金资金管理的过程进行资产管理、会计核算。</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rPr>
      </w:pPr>
      <w:r>
        <w:rPr>
          <w:rFonts w:hint="eastAsia" w:ascii="Times New Roman" w:hAnsi="Times New Roman"/>
          <w:szCs w:val="32"/>
        </w:rPr>
        <w:t>（4）审批住房公积金的提取、使用。缴存职工是否符合提取或申请住房公积金贷款条件，可以提取余额多少、贷款额度多少等问题，都需要由住房公积金管理中心审批，职工根据住房公积金管理中心的审批结果到受托银行办理公积金提取、贷款手续。</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rPr>
      </w:pPr>
      <w:r>
        <w:rPr>
          <w:rFonts w:hint="eastAsia" w:ascii="Times New Roman" w:hAnsi="Times New Roman"/>
          <w:szCs w:val="32"/>
        </w:rPr>
        <w:t>（5）负责住房公积金的保值和归还。住房公积金中心在发展个人购房消费贷款的同时，应按规定对归集的住房公积金进行保值投资。在保证提取和贷款的前提下，可以将住房公积金用于购买国债投资，并用部分增值收益建立贷款风险准备金。</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rPr>
      </w:pPr>
      <w:r>
        <w:rPr>
          <w:rFonts w:hint="eastAsia" w:ascii="Times New Roman" w:hAnsi="Times New Roman"/>
          <w:szCs w:val="32"/>
        </w:rPr>
        <w:t>（6）编制住房公积金归集、使用计划执行情况的报告。住房公积金归集、使用计划执行情况报告应当反映建立住房公积金制度的单位数和缴存职工数、归集总额、提取总额、发放贷款总额、贷款户数、保值情况及计划执行情况的说明等方面的情况。</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rPr>
      </w:pPr>
      <w:r>
        <w:rPr>
          <w:rFonts w:hint="eastAsia" w:ascii="Times New Roman" w:hAnsi="Times New Roman"/>
          <w:szCs w:val="32"/>
        </w:rPr>
        <w:t>（7）承办住房公积金管理委员会决定的其他事项。</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rPr>
      </w:pPr>
      <w:r>
        <w:rPr>
          <w:rFonts w:hint="eastAsia" w:ascii="Times New Roman" w:hAnsi="Times New Roman"/>
          <w:szCs w:val="32"/>
        </w:rPr>
        <w:t>2.组织机构及人员</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rPr>
      </w:pPr>
      <w:r>
        <w:rPr>
          <w:rFonts w:hint="eastAsia" w:ascii="Times New Roman" w:hAnsi="Times New Roman"/>
          <w:szCs w:val="32"/>
          <w:lang w:val="en-US" w:eastAsia="zh-CN"/>
        </w:rPr>
        <w:t>我</w:t>
      </w:r>
      <w:r>
        <w:rPr>
          <w:rFonts w:hint="eastAsia" w:ascii="Times New Roman" w:hAnsi="Times New Roman"/>
          <w:szCs w:val="32"/>
        </w:rPr>
        <w:t>中心于2003年8月组建成立，为直属市政府的事业单位，执行政府会计准则制度。编制人数165人，年末实有人数157人，离退休人员</w:t>
      </w:r>
      <w:r>
        <w:rPr>
          <w:rFonts w:hint="eastAsia" w:ascii="Times New Roman" w:hAnsi="Times New Roman"/>
          <w:szCs w:val="32"/>
          <w:lang w:val="en-US" w:eastAsia="zh-CN"/>
        </w:rPr>
        <w:t>40</w:t>
      </w:r>
      <w:r>
        <w:rPr>
          <w:rFonts w:hint="eastAsia" w:ascii="Times New Roman" w:hAnsi="Times New Roman"/>
          <w:szCs w:val="32"/>
        </w:rPr>
        <w:t>名。内设12个科室（办公室、机关党委、人事教育科、资金归集科、信贷科、会计科、政策法规科、信息技术科、稽核审计科、个贷中心、核算中心、档案科）；下辖6个城区管理部，17个县（市）区管理部。</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rPr>
      </w:pPr>
      <w:r>
        <w:rPr>
          <w:rFonts w:hint="eastAsia" w:ascii="Times New Roman" w:hAnsi="Times New Roman"/>
          <w:szCs w:val="32"/>
        </w:rPr>
        <w:t>3.资产情况</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default" w:ascii="Times New Roman" w:hAnsi="Times New Roman"/>
          <w:szCs w:val="32"/>
          <w:lang w:val="en-US" w:eastAsia="zh-CN"/>
        </w:rPr>
      </w:pPr>
      <w:r>
        <w:rPr>
          <w:rFonts w:hint="eastAsia" w:ascii="Times New Roman" w:hAnsi="Times New Roman"/>
          <w:szCs w:val="32"/>
          <w:lang w:val="en-US" w:eastAsia="zh-CN"/>
        </w:rPr>
        <w:t>截至2025年12月31日，我中心事业单位国有资产净值8080.57万元，其中固定资产7886.35万元，占资产总额97.6%；流动资产19.81万元，占资产总额0.24%；无形资产174.41万</w:t>
      </w:r>
      <w:r>
        <w:rPr>
          <w:rFonts w:hint="eastAsia" w:ascii="Times New Roman" w:hAnsi="Times New Roman"/>
          <w:szCs w:val="32"/>
        </w:rPr>
        <w:t>元，</w:t>
      </w:r>
      <w:r>
        <w:rPr>
          <w:rFonts w:hint="eastAsia" w:ascii="Times New Roman" w:hAnsi="Times New Roman"/>
          <w:szCs w:val="32"/>
          <w:lang w:val="en-US" w:eastAsia="zh-CN"/>
        </w:rPr>
        <w:t>占资产总额2.16%。</w:t>
      </w:r>
    </w:p>
    <w:p>
      <w:pPr>
        <w:keepNext w:val="0"/>
        <w:keepLines w:val="0"/>
        <w:pageBreakBefore w:val="0"/>
        <w:widowControl w:val="0"/>
        <w:numPr>
          <w:ilvl w:val="0"/>
          <w:numId w:val="1"/>
        </w:numPr>
        <w:kinsoku/>
        <w:wordWrap/>
        <w:overflowPunct/>
        <w:topLinePunct w:val="0"/>
        <w:autoSpaceDE/>
        <w:autoSpaceDN/>
        <w:bidi w:val="0"/>
        <w:adjustRightInd w:val="0"/>
        <w:snapToGrid w:val="0"/>
        <w:ind w:firstLine="640" w:firstLineChars="200"/>
        <w:textAlignment w:val="auto"/>
        <w:outlineLvl w:val="1"/>
        <w:rPr>
          <w:rFonts w:ascii="Times New Roman" w:hAnsi="Times New Roman" w:eastAsia="楷体" w:cs="楷体_GB2312"/>
          <w:bCs/>
          <w:szCs w:val="32"/>
        </w:rPr>
      </w:pPr>
      <w:r>
        <w:rPr>
          <w:rFonts w:hint="eastAsia" w:ascii="Times New Roman" w:hAnsi="Times New Roman" w:eastAsia="楷体" w:cs="楷体_GB2312"/>
          <w:bCs/>
          <w:szCs w:val="32"/>
        </w:rPr>
        <w:t>部门收支预决算情况</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rPr>
      </w:pPr>
      <w:r>
        <w:rPr>
          <w:rFonts w:hint="eastAsia" w:ascii="Times New Roman" w:hAnsi="Times New Roman"/>
          <w:szCs w:val="32"/>
        </w:rPr>
        <w:t>202</w:t>
      </w:r>
      <w:r>
        <w:rPr>
          <w:rFonts w:hint="eastAsia" w:ascii="Times New Roman" w:hAnsi="Times New Roman"/>
          <w:szCs w:val="32"/>
          <w:lang w:val="en-US" w:eastAsia="zh-CN"/>
        </w:rPr>
        <w:t>5</w:t>
      </w:r>
      <w:r>
        <w:rPr>
          <w:rFonts w:hint="eastAsia" w:ascii="Times New Roman" w:hAnsi="Times New Roman"/>
          <w:szCs w:val="32"/>
        </w:rPr>
        <w:t>年年初预算数为：一般公共预算财政拨款收入61</w:t>
      </w:r>
      <w:r>
        <w:rPr>
          <w:rFonts w:hint="eastAsia" w:ascii="Times New Roman" w:hAnsi="Times New Roman"/>
          <w:szCs w:val="32"/>
          <w:lang w:val="en-US" w:eastAsia="zh-CN"/>
        </w:rPr>
        <w:t>46.41</w:t>
      </w:r>
      <w:r>
        <w:rPr>
          <w:rFonts w:hint="eastAsia" w:ascii="Times New Roman" w:hAnsi="Times New Roman"/>
          <w:szCs w:val="32"/>
        </w:rPr>
        <w:t>万元，基本支出</w:t>
      </w:r>
      <w:r>
        <w:rPr>
          <w:rFonts w:hint="eastAsia" w:ascii="Times New Roman" w:hAnsi="Times New Roman"/>
          <w:szCs w:val="32"/>
          <w:lang w:val="en-US" w:eastAsia="zh-CN"/>
        </w:rPr>
        <w:t>4905.13</w:t>
      </w:r>
      <w:r>
        <w:rPr>
          <w:rFonts w:hint="eastAsia" w:ascii="Times New Roman" w:hAnsi="Times New Roman"/>
          <w:szCs w:val="32"/>
        </w:rPr>
        <w:t>万元，项目支出</w:t>
      </w:r>
      <w:r>
        <w:rPr>
          <w:rFonts w:hint="eastAsia" w:ascii="Times New Roman" w:hAnsi="Times New Roman"/>
          <w:szCs w:val="32"/>
          <w:lang w:val="en-US" w:eastAsia="zh-CN"/>
        </w:rPr>
        <w:t>1241.28</w:t>
      </w:r>
      <w:r>
        <w:rPr>
          <w:rFonts w:hint="eastAsia" w:ascii="Times New Roman" w:hAnsi="Times New Roman"/>
          <w:szCs w:val="32"/>
        </w:rPr>
        <w:t>万元。其中，基本支出包括人员经费</w:t>
      </w:r>
      <w:r>
        <w:rPr>
          <w:rFonts w:hint="eastAsia" w:ascii="Times New Roman" w:hAnsi="Times New Roman"/>
          <w:szCs w:val="32"/>
          <w:lang w:val="en-US" w:eastAsia="zh-CN"/>
        </w:rPr>
        <w:t>4546.12</w:t>
      </w:r>
      <w:r>
        <w:rPr>
          <w:rFonts w:hint="eastAsia" w:ascii="Times New Roman" w:hAnsi="Times New Roman"/>
          <w:szCs w:val="32"/>
        </w:rPr>
        <w:t>万元，公用经费</w:t>
      </w:r>
      <w:r>
        <w:rPr>
          <w:rFonts w:hint="eastAsia" w:ascii="Times New Roman" w:hAnsi="Times New Roman"/>
          <w:szCs w:val="32"/>
          <w:lang w:val="en-US" w:eastAsia="zh-CN"/>
        </w:rPr>
        <w:t>359.01</w:t>
      </w:r>
      <w:r>
        <w:rPr>
          <w:rFonts w:hint="eastAsia" w:ascii="Times New Roman" w:hAnsi="Times New Roman"/>
          <w:szCs w:val="32"/>
        </w:rPr>
        <w:t>万元。</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rPr>
      </w:pPr>
      <w:r>
        <w:rPr>
          <w:rFonts w:hint="eastAsia" w:ascii="Times New Roman" w:hAnsi="Times New Roman"/>
          <w:szCs w:val="32"/>
        </w:rPr>
        <w:t>202</w:t>
      </w:r>
      <w:r>
        <w:rPr>
          <w:rFonts w:hint="eastAsia" w:ascii="Times New Roman" w:hAnsi="Times New Roman"/>
          <w:szCs w:val="32"/>
          <w:lang w:val="en-US" w:eastAsia="zh-CN"/>
        </w:rPr>
        <w:t>5</w:t>
      </w:r>
      <w:r>
        <w:rPr>
          <w:rFonts w:hint="eastAsia" w:ascii="Times New Roman" w:hAnsi="Times New Roman"/>
          <w:szCs w:val="32"/>
        </w:rPr>
        <w:t>年</w:t>
      </w:r>
      <w:r>
        <w:rPr>
          <w:rFonts w:hint="eastAsia" w:ascii="Times New Roman" w:hAnsi="Times New Roman"/>
          <w:szCs w:val="32"/>
          <w:lang w:val="en-US" w:eastAsia="zh-CN"/>
        </w:rPr>
        <w:t>调整</w:t>
      </w:r>
      <w:r>
        <w:rPr>
          <w:rFonts w:hint="eastAsia" w:ascii="Times New Roman" w:hAnsi="Times New Roman"/>
          <w:szCs w:val="32"/>
        </w:rPr>
        <w:t>预算数为：一般公共预算财政拨款收入</w:t>
      </w:r>
      <w:r>
        <w:rPr>
          <w:rFonts w:hint="eastAsia" w:ascii="Times New Roman" w:hAnsi="Times New Roman"/>
          <w:szCs w:val="32"/>
          <w:lang w:val="en-US" w:eastAsia="zh-CN"/>
        </w:rPr>
        <w:t>6318.8</w:t>
      </w:r>
      <w:r>
        <w:rPr>
          <w:rFonts w:hint="eastAsia" w:ascii="Times New Roman" w:hAnsi="Times New Roman"/>
          <w:szCs w:val="32"/>
        </w:rPr>
        <w:t>万元，基本支出</w:t>
      </w:r>
      <w:r>
        <w:rPr>
          <w:rFonts w:hint="eastAsia" w:ascii="Times New Roman" w:hAnsi="Times New Roman"/>
          <w:szCs w:val="32"/>
          <w:lang w:val="en-US" w:eastAsia="zh-CN"/>
        </w:rPr>
        <w:t>5057.22</w:t>
      </w:r>
      <w:r>
        <w:rPr>
          <w:rFonts w:hint="eastAsia" w:ascii="Times New Roman" w:hAnsi="Times New Roman"/>
          <w:szCs w:val="32"/>
        </w:rPr>
        <w:t>万元，项目支出</w:t>
      </w:r>
      <w:r>
        <w:rPr>
          <w:rFonts w:hint="eastAsia" w:ascii="Times New Roman" w:hAnsi="Times New Roman"/>
          <w:szCs w:val="32"/>
          <w:lang w:val="en-US" w:eastAsia="zh-CN"/>
        </w:rPr>
        <w:t>1261.58</w:t>
      </w:r>
      <w:r>
        <w:rPr>
          <w:rFonts w:hint="eastAsia" w:ascii="Times New Roman" w:hAnsi="Times New Roman"/>
          <w:szCs w:val="32"/>
        </w:rPr>
        <w:t>万元。其中，基本支出包括人员经费</w:t>
      </w:r>
      <w:r>
        <w:rPr>
          <w:rFonts w:hint="eastAsia" w:ascii="Times New Roman" w:hAnsi="Times New Roman"/>
          <w:szCs w:val="32"/>
          <w:lang w:val="en-US" w:eastAsia="zh-CN"/>
        </w:rPr>
        <w:t>4698.21</w:t>
      </w:r>
      <w:r>
        <w:rPr>
          <w:rFonts w:hint="eastAsia" w:ascii="Times New Roman" w:hAnsi="Times New Roman"/>
          <w:szCs w:val="32"/>
        </w:rPr>
        <w:t>万元，公用经费</w:t>
      </w:r>
      <w:r>
        <w:rPr>
          <w:rFonts w:hint="eastAsia" w:ascii="Times New Roman" w:hAnsi="Times New Roman"/>
          <w:szCs w:val="32"/>
          <w:lang w:val="en-US" w:eastAsia="zh-CN"/>
        </w:rPr>
        <w:t>359.01</w:t>
      </w:r>
      <w:r>
        <w:rPr>
          <w:rFonts w:hint="eastAsia" w:ascii="Times New Roman" w:hAnsi="Times New Roman"/>
          <w:szCs w:val="32"/>
        </w:rPr>
        <w:t>万元。</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rPr>
      </w:pPr>
      <w:r>
        <w:rPr>
          <w:rFonts w:hint="eastAsia" w:ascii="Times New Roman" w:hAnsi="Times New Roman"/>
          <w:szCs w:val="32"/>
        </w:rPr>
        <w:t>202</w:t>
      </w:r>
      <w:r>
        <w:rPr>
          <w:rFonts w:hint="eastAsia" w:ascii="Times New Roman" w:hAnsi="Times New Roman"/>
          <w:szCs w:val="32"/>
          <w:lang w:val="en-US" w:eastAsia="zh-CN"/>
        </w:rPr>
        <w:t>5</w:t>
      </w:r>
      <w:r>
        <w:rPr>
          <w:rFonts w:hint="eastAsia" w:ascii="Times New Roman" w:hAnsi="Times New Roman"/>
          <w:szCs w:val="32"/>
        </w:rPr>
        <w:t>年决算数为：一般公共预算财政拨款收入</w:t>
      </w:r>
      <w:r>
        <w:rPr>
          <w:rFonts w:hint="eastAsia" w:ascii="Times New Roman" w:hAnsi="Times New Roman"/>
          <w:szCs w:val="32"/>
          <w:lang w:val="en-US" w:eastAsia="zh-CN"/>
        </w:rPr>
        <w:t>6163.89</w:t>
      </w:r>
      <w:r>
        <w:rPr>
          <w:rFonts w:hint="eastAsia" w:ascii="Times New Roman" w:hAnsi="Times New Roman"/>
          <w:szCs w:val="32"/>
        </w:rPr>
        <w:t>万元，基本支出</w:t>
      </w:r>
      <w:r>
        <w:rPr>
          <w:rFonts w:hint="eastAsia" w:ascii="Times New Roman" w:hAnsi="Times New Roman"/>
          <w:szCs w:val="32"/>
          <w:lang w:val="en-US" w:eastAsia="zh-CN"/>
        </w:rPr>
        <w:t>4912.59</w:t>
      </w:r>
      <w:r>
        <w:rPr>
          <w:rFonts w:hint="eastAsia" w:ascii="Times New Roman" w:hAnsi="Times New Roman"/>
          <w:szCs w:val="32"/>
        </w:rPr>
        <w:t>万元，项目支出</w:t>
      </w:r>
      <w:r>
        <w:rPr>
          <w:rFonts w:hint="eastAsia" w:ascii="Times New Roman" w:hAnsi="Times New Roman"/>
          <w:szCs w:val="32"/>
          <w:lang w:val="en-US" w:eastAsia="zh-CN"/>
        </w:rPr>
        <w:t>1251.3</w:t>
      </w:r>
      <w:r>
        <w:rPr>
          <w:rFonts w:hint="eastAsia" w:ascii="Times New Roman" w:hAnsi="Times New Roman"/>
          <w:szCs w:val="32"/>
        </w:rPr>
        <w:t>万元。其中，基本支出包括人员经费</w:t>
      </w:r>
      <w:r>
        <w:rPr>
          <w:rFonts w:hint="eastAsia" w:ascii="Times New Roman" w:hAnsi="Times New Roman"/>
          <w:szCs w:val="32"/>
          <w:lang w:val="en-US" w:eastAsia="zh-CN"/>
        </w:rPr>
        <w:t>4560.66</w:t>
      </w:r>
      <w:r>
        <w:rPr>
          <w:rFonts w:hint="eastAsia" w:ascii="Times New Roman" w:hAnsi="Times New Roman"/>
          <w:szCs w:val="32"/>
        </w:rPr>
        <w:t>万元，公用经费</w:t>
      </w:r>
      <w:r>
        <w:rPr>
          <w:rFonts w:hint="eastAsia" w:ascii="Times New Roman" w:hAnsi="Times New Roman"/>
          <w:szCs w:val="32"/>
          <w:lang w:val="en-US" w:eastAsia="zh-CN"/>
        </w:rPr>
        <w:t>351.93</w:t>
      </w:r>
      <w:r>
        <w:rPr>
          <w:rFonts w:hint="eastAsia" w:ascii="Times New Roman" w:hAnsi="Times New Roman"/>
          <w:szCs w:val="32"/>
        </w:rPr>
        <w:t>万元。</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outlineLvl w:val="1"/>
        <w:rPr>
          <w:rFonts w:ascii="Times New Roman" w:hAnsi="Times New Roman" w:eastAsia="楷体" w:cs="楷体_GB2312"/>
          <w:bCs/>
          <w:szCs w:val="32"/>
        </w:rPr>
      </w:pPr>
      <w:r>
        <w:rPr>
          <w:rFonts w:hint="eastAsia" w:ascii="Times New Roman" w:hAnsi="Times New Roman" w:eastAsia="楷体" w:cs="楷体_GB2312"/>
          <w:bCs/>
          <w:szCs w:val="32"/>
        </w:rPr>
        <w:t>（三）部门整体支出绩效目标、指标</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rPr>
      </w:pPr>
      <w:r>
        <w:rPr>
          <w:rFonts w:hint="eastAsia" w:ascii="Times New Roman" w:hAnsi="Times New Roman"/>
          <w:szCs w:val="32"/>
        </w:rPr>
        <w:t>1.总体绩效目标</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rPr>
      </w:pPr>
      <w:r>
        <w:rPr>
          <w:rFonts w:hint="eastAsia" w:ascii="Times New Roman" w:hAnsi="Times New Roman"/>
          <w:szCs w:val="32"/>
        </w:rPr>
        <w:t>以习近平新时代中国特色社会主义思想为指导，认真贯彻落实党的二十届</w:t>
      </w:r>
      <w:r>
        <w:rPr>
          <w:rFonts w:hint="eastAsia" w:ascii="Times New Roman" w:hAnsi="Times New Roman"/>
          <w:szCs w:val="32"/>
          <w:lang w:eastAsia="zh-CN"/>
        </w:rPr>
        <w:t>历次</w:t>
      </w:r>
      <w:r>
        <w:rPr>
          <w:rFonts w:hint="eastAsia" w:ascii="Times New Roman" w:hAnsi="Times New Roman"/>
          <w:szCs w:val="32"/>
        </w:rPr>
        <w:t>全会及住建部、市委有关会议精神</w:t>
      </w:r>
      <w:r>
        <w:rPr>
          <w:rFonts w:hint="eastAsia" w:ascii="Times New Roman" w:hAnsi="Times New Roman"/>
          <w:szCs w:val="32"/>
          <w:lang w:eastAsia="zh-CN"/>
        </w:rPr>
        <w:t>，</w:t>
      </w:r>
      <w:r>
        <w:rPr>
          <w:rFonts w:hint="eastAsia" w:ascii="Times New Roman" w:hAnsi="Times New Roman"/>
          <w:szCs w:val="32"/>
        </w:rPr>
        <w:t>以助力房地产市场止跌回稳为主线，在严格落实《住房公积金管理条例》及《河北省住房公积金管理办法》等法规基础上，进一步挖掘政策潜力，进一步加强内部管</w:t>
      </w:r>
      <w:bookmarkStart w:id="6" w:name="_GoBack"/>
      <w:bookmarkEnd w:id="6"/>
      <w:r>
        <w:rPr>
          <w:rFonts w:hint="eastAsia" w:ascii="Times New Roman" w:hAnsi="Times New Roman"/>
          <w:szCs w:val="32"/>
        </w:rPr>
        <w:t>理，进一步防控风险隐患，进一步强化数据赋能，进一步提升服务水平</w:t>
      </w:r>
      <w:r>
        <w:rPr>
          <w:rFonts w:hint="eastAsia" w:ascii="Times New Roman" w:hAnsi="Times New Roman"/>
          <w:szCs w:val="32"/>
          <w:lang w:eastAsia="zh-CN"/>
        </w:rPr>
        <w:t>，</w:t>
      </w:r>
      <w:r>
        <w:rPr>
          <w:rFonts w:hint="eastAsia" w:ascii="Times New Roman" w:hAnsi="Times New Roman"/>
          <w:szCs w:val="32"/>
        </w:rPr>
        <w:t>更大程度发挥住房公积金制度作用，确保各项主要业务指标继续保持全省首位，奋力开创我市住房公积金管理新局面。力争2025年归集住房公积金160亿元，实现增值收益6亿元，发放住房公积金个人贷款42亿元，将住房公积金个人</w:t>
      </w:r>
      <w:r>
        <w:rPr>
          <w:rFonts w:hint="eastAsia" w:ascii="Times New Roman" w:hAnsi="Times New Roman"/>
          <w:szCs w:val="32"/>
          <w:lang w:eastAsia="zh-CN"/>
        </w:rPr>
        <w:t>贷款</w:t>
      </w:r>
      <w:r>
        <w:rPr>
          <w:rFonts w:hint="eastAsia" w:ascii="Times New Roman" w:hAnsi="Times New Roman"/>
          <w:szCs w:val="32"/>
        </w:rPr>
        <w:t>逾期率控制在0.02%以下。</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rPr>
      </w:pPr>
      <w:r>
        <w:rPr>
          <w:rFonts w:hint="eastAsia" w:ascii="Times New Roman" w:hAnsi="Times New Roman"/>
          <w:szCs w:val="32"/>
        </w:rPr>
        <w:t>2.分项绩效目标</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rPr>
      </w:pPr>
      <w:r>
        <w:rPr>
          <w:rFonts w:hint="eastAsia" w:ascii="Times New Roman" w:hAnsi="Times New Roman"/>
          <w:szCs w:val="32"/>
        </w:rPr>
        <w:t>（1）住房公积金归集进一步增长</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rPr>
      </w:pPr>
      <w:r>
        <w:rPr>
          <w:rFonts w:hint="eastAsia" w:ascii="Times New Roman" w:hAnsi="Times New Roman"/>
          <w:szCs w:val="32"/>
        </w:rPr>
        <w:t>绩效目标：完善灵活就业群体建缴机制，坚持“应缴尽缴、愿缴能缴”的原则，稳步扩大保障范围，积极把城镇稳定就业的农业转移人口纳入制度范围，使更多群众享受到公积金制度的实惠，确保住房公积金归集额稳步增长。</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rPr>
      </w:pPr>
      <w:r>
        <w:rPr>
          <w:rFonts w:hint="eastAsia" w:ascii="Times New Roman" w:hAnsi="Times New Roman"/>
          <w:szCs w:val="32"/>
        </w:rPr>
        <w:t>绩效指标：推动建立政府相关部门协调沟通机制，促进住房</w:t>
      </w:r>
      <w:r>
        <w:rPr>
          <w:rFonts w:hint="eastAsia" w:ascii="Times New Roman" w:hAnsi="Times New Roman"/>
          <w:szCs w:val="32"/>
          <w:lang w:eastAsia="zh-CN"/>
        </w:rPr>
        <w:t>、</w:t>
      </w:r>
      <w:r>
        <w:rPr>
          <w:rFonts w:hint="eastAsia" w:ascii="Times New Roman" w:hAnsi="Times New Roman"/>
          <w:szCs w:val="32"/>
        </w:rPr>
        <w:t>人才、就业等各项政策贯通协同；借鉴试点经验，科学制定缴存使用制度，提高政策灵活性和吸引力充分发挥京津冀协同发展优势；强化宣传发动，吸引更多灵活就业人员参加住房公积金制度。力争2025年归集住房公积金160亿元，归集职工覆盖率超85%。</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lang w:val="en-US" w:eastAsia="zh-CN"/>
        </w:rPr>
      </w:pPr>
      <w:r>
        <w:rPr>
          <w:rFonts w:hint="eastAsia" w:ascii="Times New Roman" w:hAnsi="Times New Roman"/>
          <w:szCs w:val="32"/>
        </w:rPr>
        <w:t>（2）住房公积金贷款业务管理进一步</w:t>
      </w:r>
      <w:r>
        <w:rPr>
          <w:rFonts w:hint="eastAsia" w:ascii="Times New Roman" w:hAnsi="Times New Roman"/>
          <w:szCs w:val="32"/>
          <w:lang w:val="en-US" w:eastAsia="zh-CN"/>
        </w:rPr>
        <w:t>加强</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rPr>
      </w:pPr>
      <w:r>
        <w:rPr>
          <w:rFonts w:hint="eastAsia" w:ascii="Times New Roman" w:hAnsi="Times New Roman"/>
          <w:szCs w:val="32"/>
        </w:rPr>
        <w:t>绩效目标：进一步充实完善政策工具箱，在严格贯彻落实《贷款业务实施细则》基础上，发挥贷款撬动性作用，着力提高贷款额度，放宽贷款条件，帮助提升职工购房支付能力，助力释放房地产市场消费需求；进一步建立和完善贷款风险准备金制度，做好逾期贷款催收管理，降低贷款逾期率，科学合理控制贷款风险。</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rPr>
      </w:pPr>
      <w:r>
        <w:rPr>
          <w:rFonts w:hint="eastAsia" w:ascii="Times New Roman" w:hAnsi="Times New Roman"/>
          <w:szCs w:val="32"/>
        </w:rPr>
        <w:t>绩效指标：2025年力争发放住房公积金个人贷款42亿元，按照要求足额提取贷款风险准备金，做到贷款风险准备金率不低于1%；进一步发挥治理违规贷款、失信行为惩戒专班作用，加强贷款逾期管理，贷款逾期率控制在0.02%以下。</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rPr>
      </w:pPr>
      <w:r>
        <w:rPr>
          <w:rFonts w:hint="eastAsia" w:ascii="Times New Roman" w:hAnsi="Times New Roman"/>
          <w:szCs w:val="32"/>
        </w:rPr>
        <w:t>（3）住房公积金增值收益稳步增长</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rPr>
      </w:pPr>
      <w:r>
        <w:rPr>
          <w:rFonts w:hint="eastAsia" w:ascii="Times New Roman" w:hAnsi="Times New Roman"/>
          <w:szCs w:val="32"/>
        </w:rPr>
        <w:t>绩效目标：合理运作资金，完善《资金存放管理办法》《业务经办银行考核办法》等多项制度规范，开展资金竞争性存放工作，在保证资金安全的前提下，进一步优化住房公积金存款结构，根据业务发展科学合理调配资金，提高住房公积金增值收益和资金使用率，按时足额向国库上缴增值收益。</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rPr>
      </w:pPr>
      <w:r>
        <w:rPr>
          <w:rFonts w:hint="eastAsia" w:ascii="Times New Roman" w:hAnsi="Times New Roman"/>
          <w:szCs w:val="32"/>
        </w:rPr>
        <w:t>绩效指标：2025年实现增值收益6亿元，增值收益率大于 1%。</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rPr>
      </w:pPr>
      <w:r>
        <w:rPr>
          <w:rFonts w:hint="eastAsia" w:ascii="Times New Roman" w:hAnsi="Times New Roman"/>
          <w:szCs w:val="32"/>
        </w:rPr>
        <w:t>（4）资金和数据信息安全进一步加强</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rPr>
      </w:pPr>
      <w:r>
        <w:rPr>
          <w:rFonts w:hint="eastAsia" w:ascii="Times New Roman" w:hAnsi="Times New Roman"/>
          <w:szCs w:val="32"/>
        </w:rPr>
        <w:t>绩效目标：积极优化内审模式，动态调整稽核重点，确保国家及省、市出台的政策法规、制度规定及中心内部的工作要求不折不扣的落地落实，为更好防风险、优服务提供保障。</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rPr>
      </w:pPr>
      <w:r>
        <w:rPr>
          <w:rFonts w:hint="eastAsia" w:ascii="Times New Roman" w:hAnsi="Times New Roman"/>
          <w:szCs w:val="32"/>
        </w:rPr>
        <w:t>绩效指标：综合运用日常稽核、定期稽核、离任稽核、专案稽核、财务稽核等多种方式，及时发现工作中存在的问题或漏洞，全力打造动态监管、硬性约束、超前防范的稽核模式。</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rPr>
      </w:pPr>
      <w:r>
        <w:rPr>
          <w:rFonts w:hint="eastAsia" w:ascii="Times New Roman" w:hAnsi="Times New Roman"/>
          <w:szCs w:val="32"/>
        </w:rPr>
        <w:t>（5）住房公积金服务效能全面提升</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rPr>
      </w:pPr>
      <w:r>
        <w:rPr>
          <w:rFonts w:hint="eastAsia" w:ascii="Times New Roman" w:hAnsi="Times New Roman"/>
          <w:szCs w:val="32"/>
        </w:rPr>
        <w:t>绩效目标：紧跟市场主体实际需求，设身处地改进管理和服务；切实加大对中小微企业、科创企业融资支持力度；积极回应群众关切，完善综合服务平台功能；延伸服务触角，扩大服务半径，为缴存人提供“一站式、集成化”便民服务。</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rPr>
      </w:pPr>
      <w:r>
        <w:rPr>
          <w:rFonts w:hint="eastAsia" w:ascii="Times New Roman" w:hAnsi="Times New Roman"/>
          <w:szCs w:val="32"/>
        </w:rPr>
        <w:t>绩效指标：充分发挥中心联系银行、企业的桥梁纽带作用，搭建好“政、银、企”合作交流平台，鼓励金融机构探索开发涉企信贷优惠产品；深化数字技术应用，加强数据共享支撑，着力打造更多智能化、全程网办的服务场景；积极构建“15分钟便民服务圈”，将归集、提取等前台业务植入银行网点。</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outlineLvl w:val="0"/>
        <w:rPr>
          <w:rFonts w:ascii="Times New Roman" w:hAnsi="Times New Roman" w:eastAsia="黑体"/>
          <w:szCs w:val="32"/>
        </w:rPr>
      </w:pPr>
      <w:r>
        <w:rPr>
          <w:rFonts w:hint="eastAsia" w:ascii="Times New Roman" w:hAnsi="Times New Roman" w:eastAsia="黑体"/>
          <w:szCs w:val="32"/>
        </w:rPr>
        <w:t>二、自评工作开展情况</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ascii="仿宋" w:hAnsi="仿宋" w:cs="仿宋"/>
          <w:b/>
          <w:bCs/>
          <w:kern w:val="0"/>
          <w:szCs w:val="32"/>
        </w:rPr>
      </w:pPr>
      <w:r>
        <w:rPr>
          <w:rFonts w:hint="eastAsia" w:ascii="Times New Roman" w:hAnsi="Times New Roman" w:eastAsia="楷体" w:cs="楷体_GB2312"/>
          <w:bCs/>
          <w:szCs w:val="32"/>
        </w:rPr>
        <w:t>（一）自评的组织工作</w:t>
      </w:r>
    </w:p>
    <w:p>
      <w:pPr>
        <w:keepNext w:val="0"/>
        <w:keepLines w:val="0"/>
        <w:pageBreakBefore w:val="0"/>
        <w:widowControl w:val="0"/>
        <w:kinsoku/>
        <w:wordWrap/>
        <w:overflowPunct/>
        <w:topLinePunct w:val="0"/>
        <w:autoSpaceDE/>
        <w:autoSpaceDN/>
        <w:bidi w:val="0"/>
        <w:adjustRightInd/>
        <w:snapToGrid/>
        <w:ind w:firstLine="643" w:firstLineChars="200"/>
        <w:textAlignment w:val="auto"/>
        <w:outlineLvl w:val="2"/>
        <w:rPr>
          <w:rFonts w:hint="eastAsia" w:ascii="Times New Roman" w:hAnsi="Times New Roman"/>
          <w:b/>
          <w:bCs/>
          <w:szCs w:val="32"/>
        </w:rPr>
      </w:pPr>
      <w:r>
        <w:rPr>
          <w:rFonts w:hint="eastAsia" w:ascii="Times New Roman" w:hAnsi="Times New Roman"/>
          <w:b/>
          <w:bCs/>
          <w:szCs w:val="32"/>
          <w:lang w:val="en-US" w:eastAsia="zh-CN"/>
        </w:rPr>
        <w:t>1</w:t>
      </w:r>
      <w:r>
        <w:rPr>
          <w:rFonts w:hint="eastAsia" w:ascii="Times New Roman" w:hAnsi="Times New Roman"/>
          <w:b/>
          <w:bCs/>
          <w:szCs w:val="32"/>
        </w:rPr>
        <w:t>.评价资料收集</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rPr>
      </w:pPr>
      <w:r>
        <w:rPr>
          <w:rFonts w:hint="eastAsia" w:ascii="Times New Roman" w:hAnsi="Times New Roman"/>
          <w:szCs w:val="32"/>
        </w:rPr>
        <w:t>我</w:t>
      </w:r>
      <w:r>
        <w:rPr>
          <w:rFonts w:hint="eastAsia" w:ascii="Times New Roman" w:hAnsi="Times New Roman"/>
          <w:szCs w:val="32"/>
          <w:lang w:val="en-US" w:eastAsia="zh-CN"/>
        </w:rPr>
        <w:t>中心</w:t>
      </w:r>
      <w:r>
        <w:rPr>
          <w:rFonts w:hint="eastAsia" w:ascii="Times New Roman" w:hAnsi="Times New Roman"/>
          <w:szCs w:val="32"/>
        </w:rPr>
        <w:t>为推进本年度预算绩效评价工作，依靠自身力量成立了绩效自评工作组，组长由公积金中心副主任董海林担任，成员包括底宪民、张富平、</w:t>
      </w:r>
      <w:r>
        <w:rPr>
          <w:rFonts w:hint="eastAsia" w:ascii="Times New Roman" w:hAnsi="Times New Roman"/>
          <w:szCs w:val="32"/>
          <w:lang w:eastAsia="zh-CN"/>
        </w:rPr>
        <w:t>东雅莉</w:t>
      </w:r>
      <w:r>
        <w:rPr>
          <w:rFonts w:hint="eastAsia" w:ascii="Times New Roman" w:hAnsi="Times New Roman"/>
          <w:szCs w:val="32"/>
        </w:rPr>
        <w:t>、周青、梁皓、苏月丽。</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eastAsia="仿宋"/>
          <w:szCs w:val="32"/>
          <w:lang w:val="en-US" w:eastAsia="zh-CN"/>
        </w:rPr>
      </w:pPr>
      <w:r>
        <w:rPr>
          <w:rFonts w:hint="eastAsia" w:ascii="Times New Roman" w:hAnsi="Times New Roman"/>
          <w:szCs w:val="32"/>
        </w:rPr>
        <w:t>由工作组牵头，全面收集</w:t>
      </w:r>
      <w:r>
        <w:rPr>
          <w:rFonts w:hint="eastAsia" w:ascii="Times New Roman" w:hAnsi="Times New Roman"/>
          <w:szCs w:val="32"/>
          <w:lang w:val="en-US" w:eastAsia="zh-CN"/>
        </w:rPr>
        <w:t>自评</w:t>
      </w:r>
      <w:r>
        <w:rPr>
          <w:rFonts w:hint="eastAsia" w:ascii="Times New Roman" w:hAnsi="Times New Roman"/>
          <w:szCs w:val="32"/>
        </w:rPr>
        <w:t>所需基础信息资料</w:t>
      </w:r>
      <w:r>
        <w:rPr>
          <w:rFonts w:hint="eastAsia" w:ascii="Times New Roman" w:hAnsi="Times New Roman"/>
          <w:szCs w:val="32"/>
          <w:lang w:eastAsia="zh-CN"/>
        </w:rPr>
        <w:t>，</w:t>
      </w:r>
      <w:r>
        <w:rPr>
          <w:rFonts w:hint="eastAsia" w:ascii="Times New Roman" w:hAnsi="Times New Roman"/>
          <w:szCs w:val="32"/>
        </w:rPr>
        <w:t>包括：202</w:t>
      </w:r>
      <w:r>
        <w:rPr>
          <w:rFonts w:hint="eastAsia" w:ascii="Times New Roman" w:hAnsi="Times New Roman"/>
          <w:szCs w:val="32"/>
          <w:lang w:val="en-US" w:eastAsia="zh-CN"/>
        </w:rPr>
        <w:t>5</w:t>
      </w:r>
      <w:r>
        <w:rPr>
          <w:rFonts w:hint="eastAsia" w:ascii="Times New Roman" w:hAnsi="Times New Roman"/>
          <w:szCs w:val="32"/>
        </w:rPr>
        <w:t>年公积金中心绩效文本</w:t>
      </w:r>
      <w:r>
        <w:rPr>
          <w:rFonts w:hint="eastAsia" w:ascii="Times New Roman" w:hAnsi="Times New Roman"/>
          <w:szCs w:val="32"/>
          <w:lang w:eastAsia="zh-CN"/>
        </w:rPr>
        <w:t>、</w:t>
      </w:r>
      <w:r>
        <w:rPr>
          <w:rFonts w:hint="eastAsia" w:ascii="Times New Roman" w:hAnsi="Times New Roman"/>
          <w:szCs w:val="32"/>
        </w:rPr>
        <w:t>202</w:t>
      </w:r>
      <w:r>
        <w:rPr>
          <w:rFonts w:hint="eastAsia" w:ascii="Times New Roman" w:hAnsi="Times New Roman"/>
          <w:szCs w:val="32"/>
          <w:lang w:val="en-US" w:eastAsia="zh-CN"/>
        </w:rPr>
        <w:t>5</w:t>
      </w:r>
      <w:r>
        <w:rPr>
          <w:rFonts w:hint="eastAsia" w:ascii="Times New Roman" w:hAnsi="Times New Roman"/>
          <w:szCs w:val="32"/>
        </w:rPr>
        <w:t>年公积金中心决算表、202</w:t>
      </w:r>
      <w:r>
        <w:rPr>
          <w:rFonts w:hint="eastAsia" w:ascii="Times New Roman" w:hAnsi="Times New Roman"/>
          <w:szCs w:val="32"/>
          <w:lang w:val="en-US" w:eastAsia="zh-CN"/>
        </w:rPr>
        <w:t>5</w:t>
      </w:r>
      <w:r>
        <w:rPr>
          <w:rFonts w:hint="eastAsia" w:ascii="Times New Roman" w:hAnsi="Times New Roman"/>
          <w:szCs w:val="32"/>
        </w:rPr>
        <w:t>年公积金中心预算文本、202</w:t>
      </w:r>
      <w:r>
        <w:rPr>
          <w:rFonts w:hint="eastAsia" w:ascii="Times New Roman" w:hAnsi="Times New Roman"/>
          <w:szCs w:val="32"/>
          <w:lang w:val="en-US" w:eastAsia="zh-CN"/>
        </w:rPr>
        <w:t>5</w:t>
      </w:r>
      <w:r>
        <w:rPr>
          <w:rFonts w:hint="eastAsia" w:ascii="Times New Roman" w:hAnsi="Times New Roman"/>
          <w:szCs w:val="32"/>
        </w:rPr>
        <w:t>年各项目预算资金支出情况汇总及其绩效指标、目标的实现情况。由工作组对收集的资料进行审查并分类整理，深入分析各项目以及部门整体的绩效目标实现情况，并与相关人员结合预决算资金安排综合评价部门预算绩效的实现情况。</w:t>
      </w:r>
      <w:r>
        <w:rPr>
          <w:rFonts w:hint="eastAsia" w:ascii="Times New Roman" w:hAnsi="Times New Roman"/>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ind w:firstLine="643" w:firstLineChars="200"/>
        <w:textAlignment w:val="auto"/>
        <w:outlineLvl w:val="2"/>
        <w:rPr>
          <w:rFonts w:ascii="仿宋" w:hAnsi="仿宋" w:cs="仿宋"/>
          <w:b/>
          <w:bCs/>
          <w:szCs w:val="32"/>
        </w:rPr>
      </w:pPr>
      <w:bookmarkStart w:id="0" w:name="_Toc8765"/>
      <w:bookmarkStart w:id="1" w:name="_Toc14749"/>
      <w:bookmarkStart w:id="2" w:name="_Toc13297"/>
      <w:r>
        <w:rPr>
          <w:rFonts w:hint="eastAsia" w:ascii="仿宋" w:hAnsi="仿宋" w:cs="仿宋"/>
          <w:b/>
          <w:bCs/>
          <w:szCs w:val="32"/>
          <w:lang w:val="en-US" w:eastAsia="zh-CN"/>
        </w:rPr>
        <w:t>2</w:t>
      </w:r>
      <w:r>
        <w:rPr>
          <w:rFonts w:hint="eastAsia" w:ascii="仿宋" w:hAnsi="仿宋" w:cs="仿宋"/>
          <w:b/>
          <w:bCs/>
          <w:szCs w:val="32"/>
        </w:rPr>
        <w:t>.</w:t>
      </w:r>
      <w:bookmarkEnd w:id="0"/>
      <w:bookmarkEnd w:id="1"/>
      <w:r>
        <w:rPr>
          <w:rFonts w:hint="eastAsia" w:ascii="仿宋" w:hAnsi="仿宋" w:cs="仿宋"/>
          <w:b/>
          <w:bCs/>
          <w:szCs w:val="32"/>
        </w:rPr>
        <w:t>评价过程</w:t>
      </w:r>
      <w:bookmarkEnd w:id="2"/>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rPr>
      </w:pPr>
      <w:r>
        <w:rPr>
          <w:rFonts w:hint="eastAsia" w:ascii="Times New Roman" w:hAnsi="Times New Roman"/>
          <w:szCs w:val="32"/>
        </w:rPr>
        <w:t>在接到自评通知后，我中心立刻做出工作安排，遵循全面覆盖、程序简便、客观公正、公开透明原则，开展自评工作。工作组事先制定科学完整的自评工作方案，明确评价内容、评价程序及时间安排，收集项目开展情况及资金使用情况，并进行现场核查</w:t>
      </w:r>
      <w:r>
        <w:rPr>
          <w:rFonts w:hint="eastAsia" w:ascii="Times New Roman" w:hAnsi="Times New Roman"/>
          <w:szCs w:val="32"/>
          <w:lang w:eastAsia="zh-CN"/>
        </w:rPr>
        <w:t>，</w:t>
      </w:r>
      <w:r>
        <w:rPr>
          <w:rFonts w:hint="eastAsia" w:ascii="Times New Roman" w:hAnsi="Times New Roman"/>
          <w:szCs w:val="32"/>
        </w:rPr>
        <w:t>确定项目开展进度，核实所掌握的有关信息资料</w:t>
      </w:r>
      <w:r>
        <w:rPr>
          <w:rFonts w:hint="eastAsia" w:ascii="Times New Roman" w:hAnsi="Times New Roman"/>
          <w:szCs w:val="32"/>
          <w:lang w:eastAsia="zh-CN"/>
        </w:rPr>
        <w:t>，</w:t>
      </w:r>
      <w:r>
        <w:rPr>
          <w:rFonts w:hint="eastAsia" w:ascii="Times New Roman" w:hAnsi="Times New Roman"/>
          <w:szCs w:val="32"/>
        </w:rPr>
        <w:t>并组织单位相关人员召开专题会议，要求各科室提前准备相关资料，积极配合做好自评工作。</w:t>
      </w:r>
    </w:p>
    <w:p>
      <w:pPr>
        <w:keepNext w:val="0"/>
        <w:keepLines w:val="0"/>
        <w:pageBreakBefore w:val="0"/>
        <w:widowControl w:val="0"/>
        <w:kinsoku/>
        <w:wordWrap/>
        <w:overflowPunct/>
        <w:topLinePunct w:val="0"/>
        <w:autoSpaceDE/>
        <w:autoSpaceDN/>
        <w:bidi w:val="0"/>
        <w:adjustRightInd/>
        <w:snapToGrid/>
        <w:ind w:firstLine="643" w:firstLineChars="200"/>
        <w:textAlignment w:val="auto"/>
        <w:outlineLvl w:val="2"/>
        <w:rPr>
          <w:rFonts w:hint="eastAsia" w:ascii="仿宋" w:hAnsi="仿宋" w:cs="仿宋"/>
          <w:b/>
          <w:bCs/>
          <w:szCs w:val="32"/>
          <w:lang w:val="en-US" w:eastAsia="zh-CN"/>
        </w:rPr>
      </w:pPr>
      <w:r>
        <w:rPr>
          <w:rFonts w:hint="eastAsia" w:ascii="仿宋" w:hAnsi="仿宋" w:cs="仿宋"/>
          <w:b/>
          <w:bCs/>
          <w:szCs w:val="32"/>
          <w:lang w:val="en-US" w:eastAsia="zh-CN"/>
        </w:rPr>
        <w:t>3.评价工作管理组织</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default" w:ascii="Times New Roman" w:hAnsi="Times New Roman"/>
          <w:szCs w:val="32"/>
          <w:lang w:val="en-US" w:eastAsia="zh-CN"/>
        </w:rPr>
      </w:pPr>
      <w:r>
        <w:rPr>
          <w:rFonts w:hint="default" w:ascii="Times New Roman" w:hAnsi="Times New Roman"/>
          <w:szCs w:val="32"/>
          <w:lang w:val="en-US" w:eastAsia="zh-CN"/>
        </w:rPr>
        <w:t>评价以2025年初预算确定的部门整体绩效总目标、分项绩效目标和各项目绩效目标、指标为依据，通过对相关预决算资料、财务支出明细账、项目具体实施资料等内容进行进一步分析和总结，对1</w:t>
      </w:r>
      <w:r>
        <w:rPr>
          <w:rFonts w:hint="eastAsia" w:ascii="Times New Roman" w:hAnsi="Times New Roman"/>
          <w:szCs w:val="32"/>
          <w:lang w:val="en-US" w:eastAsia="zh-CN"/>
        </w:rPr>
        <w:t>4</w:t>
      </w:r>
      <w:r>
        <w:rPr>
          <w:rFonts w:hint="default" w:ascii="Times New Roman" w:hAnsi="Times New Roman"/>
          <w:szCs w:val="32"/>
          <w:lang w:val="en-US" w:eastAsia="zh-CN"/>
        </w:rPr>
        <w:t>个项目进行了自评价，并完成《石家庄市市级部门预算项目绩效自评表》。我中心除开展部门整体绩效评价工作外，同时对住房公积金存量档案外包加工经费项目开展了重点绩效评价，对评价对象进行定量、定性分析和综合评价，形成评价结论。最后完成绩效自评表填写、自评工作总结，形成专题报告。</w:t>
      </w:r>
    </w:p>
    <w:p>
      <w:pPr>
        <w:keepNext w:val="0"/>
        <w:keepLines w:val="0"/>
        <w:pageBreakBefore w:val="0"/>
        <w:widowControl w:val="0"/>
        <w:numPr>
          <w:ilvl w:val="0"/>
          <w:numId w:val="0"/>
        </w:numPr>
        <w:kinsoku/>
        <w:wordWrap/>
        <w:overflowPunct/>
        <w:topLinePunct w:val="0"/>
        <w:autoSpaceDE/>
        <w:autoSpaceDN/>
        <w:bidi w:val="0"/>
        <w:adjustRightInd/>
        <w:snapToGrid/>
        <w:ind w:leftChars="200"/>
        <w:textAlignment w:val="auto"/>
        <w:outlineLvl w:val="1"/>
        <w:rPr>
          <w:rFonts w:hint="default" w:ascii="Times New Roman" w:hAnsi="Times New Roman" w:eastAsia="楷体" w:cs="楷体_GB2312"/>
          <w:bCs/>
          <w:szCs w:val="32"/>
          <w:lang w:val="en-US" w:eastAsia="zh-CN"/>
        </w:rPr>
      </w:pPr>
      <w:bookmarkStart w:id="3" w:name="_Toc1859"/>
      <w:r>
        <w:rPr>
          <w:rFonts w:hint="eastAsia" w:ascii="Times New Roman" w:hAnsi="Times New Roman" w:eastAsia="楷体" w:cs="楷体_GB2312"/>
          <w:bCs/>
          <w:szCs w:val="32"/>
          <w:lang w:val="en-US" w:eastAsia="zh-CN"/>
        </w:rPr>
        <w:t>（二）自评的方法</w:t>
      </w:r>
      <w:bookmarkEnd w:id="3"/>
      <w:bookmarkStart w:id="4" w:name="_Toc25386"/>
      <w:r>
        <w:rPr>
          <w:rFonts w:hint="eastAsia" w:ascii="Times New Roman" w:hAnsi="Times New Roman" w:eastAsia="楷体" w:cs="楷体_GB2312"/>
          <w:bCs/>
          <w:szCs w:val="32"/>
          <w:lang w:val="en-US" w:eastAsia="zh-CN"/>
        </w:rPr>
        <w:t>和过程</w:t>
      </w:r>
    </w:p>
    <w:p>
      <w:pPr>
        <w:keepNext w:val="0"/>
        <w:keepLines w:val="0"/>
        <w:pageBreakBefore w:val="0"/>
        <w:widowControl w:val="0"/>
        <w:kinsoku/>
        <w:wordWrap/>
        <w:overflowPunct/>
        <w:topLinePunct w:val="0"/>
        <w:autoSpaceDE/>
        <w:autoSpaceDN/>
        <w:bidi w:val="0"/>
        <w:adjustRightInd/>
        <w:snapToGrid/>
        <w:ind w:firstLine="643" w:firstLineChars="200"/>
        <w:textAlignment w:val="auto"/>
        <w:outlineLvl w:val="2"/>
        <w:rPr>
          <w:rFonts w:hint="eastAsia" w:ascii="仿宋" w:hAnsi="仿宋" w:cs="仿宋"/>
          <w:b/>
          <w:bCs/>
          <w:szCs w:val="32"/>
          <w:lang w:val="en-US" w:eastAsia="zh-CN"/>
        </w:rPr>
      </w:pPr>
      <w:r>
        <w:rPr>
          <w:rFonts w:hint="eastAsia" w:ascii="仿宋" w:hAnsi="仿宋" w:cs="仿宋"/>
          <w:b/>
          <w:bCs/>
          <w:szCs w:val="32"/>
          <w:lang w:val="en-US" w:eastAsia="zh-CN"/>
        </w:rPr>
        <w:t>1.自评方法</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default" w:ascii="仿宋" w:hAnsi="仿宋"/>
          <w:b w:val="0"/>
          <w:bCs w:val="0"/>
          <w:sz w:val="32"/>
          <w:szCs w:val="32"/>
          <w:lang w:val="en-US" w:eastAsia="zh-CN"/>
        </w:rPr>
      </w:pPr>
      <w:r>
        <w:rPr>
          <w:rFonts w:hint="default" w:ascii="Times New Roman" w:hAnsi="Times New Roman"/>
          <w:szCs w:val="32"/>
          <w:lang w:val="en-US" w:eastAsia="zh-CN"/>
        </w:rPr>
        <w:t>本次评价紧密结合资金特点，灵活运用比较法、因素分析法和公众评判法等多种手段。我们采集、分析和对比了产出指标、效益指标、满意度指标等核心数据，以全面评估中心绩效目标的实现情况。为确保数据的真实可靠，我们还采取了抽查方式对相关数据进行核实。同时，通过因素分析和现场查看等评价方式，深入了解了中心整体任务的完成情况。此外，我们还开展了现场调研、座谈会和问卷调查等活动，了解中心工作开展产生的影响及实现的效益，分析受益对象满意程度。</w:t>
      </w:r>
    </w:p>
    <w:bookmarkEnd w:id="4"/>
    <w:p>
      <w:pPr>
        <w:keepNext w:val="0"/>
        <w:keepLines w:val="0"/>
        <w:pageBreakBefore w:val="0"/>
        <w:widowControl w:val="0"/>
        <w:kinsoku/>
        <w:wordWrap/>
        <w:overflowPunct/>
        <w:topLinePunct w:val="0"/>
        <w:autoSpaceDE/>
        <w:autoSpaceDN/>
        <w:bidi w:val="0"/>
        <w:adjustRightInd/>
        <w:snapToGrid/>
        <w:ind w:firstLine="643" w:firstLineChars="200"/>
        <w:textAlignment w:val="auto"/>
        <w:outlineLvl w:val="2"/>
        <w:rPr>
          <w:rFonts w:hint="eastAsia" w:ascii="仿宋" w:hAnsi="仿宋" w:cs="仿宋"/>
          <w:b/>
          <w:bCs/>
          <w:szCs w:val="32"/>
          <w:lang w:val="en-US" w:eastAsia="zh-CN"/>
        </w:rPr>
      </w:pPr>
      <w:bookmarkStart w:id="5" w:name="_Toc112"/>
      <w:r>
        <w:rPr>
          <w:rFonts w:hint="eastAsia" w:ascii="仿宋" w:hAnsi="仿宋" w:cs="仿宋"/>
          <w:b/>
          <w:bCs/>
          <w:szCs w:val="32"/>
          <w:lang w:val="en-US" w:eastAsia="zh-CN"/>
        </w:rPr>
        <w:t>2.自评过程</w:t>
      </w:r>
      <w:bookmarkEnd w:id="5"/>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lang w:val="en-US" w:eastAsia="zh-CN"/>
        </w:rPr>
      </w:pPr>
      <w:r>
        <w:rPr>
          <w:rFonts w:hint="eastAsia" w:ascii="Times New Roman" w:hAnsi="Times New Roman"/>
          <w:szCs w:val="32"/>
          <w:lang w:val="en-US" w:eastAsia="zh-CN"/>
        </w:rPr>
        <w:t>本次绩效自评将资金使用产出及效果与年初指标值相比较，完成相应指标值；对完成值高于指标值较多的，分析其形成原因，针对评价过程中发现的问题进一步提出相关意见建议，为以后年度我单位履行部门职责作出更好的预算管理和资金安排。</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0"/>
        <w:rPr>
          <w:rFonts w:ascii="Times New Roman" w:hAnsi="Times New Roman" w:eastAsia="黑体"/>
          <w:b/>
          <w:bCs/>
          <w:szCs w:val="32"/>
        </w:rPr>
      </w:pPr>
      <w:r>
        <w:rPr>
          <w:rFonts w:hint="eastAsia" w:ascii="Times New Roman" w:hAnsi="Times New Roman" w:eastAsia="黑体"/>
          <w:szCs w:val="32"/>
        </w:rPr>
        <w:t>三、部门整体支出绩效目标实现情况及指标分析</w:t>
      </w:r>
    </w:p>
    <w:p>
      <w:pPr>
        <w:keepNext w:val="0"/>
        <w:keepLines w:val="0"/>
        <w:pageBreakBefore w:val="0"/>
        <w:widowControl w:val="0"/>
        <w:numPr>
          <w:ilvl w:val="0"/>
          <w:numId w:val="2"/>
        </w:numPr>
        <w:kinsoku/>
        <w:wordWrap/>
        <w:overflowPunct/>
        <w:topLinePunct w:val="0"/>
        <w:autoSpaceDE/>
        <w:autoSpaceDN/>
        <w:bidi w:val="0"/>
        <w:adjustRightInd/>
        <w:snapToGrid/>
        <w:ind w:firstLine="640" w:firstLineChars="200"/>
        <w:textAlignment w:val="auto"/>
        <w:outlineLvl w:val="1"/>
        <w:rPr>
          <w:rFonts w:ascii="Times New Roman" w:hAnsi="Times New Roman" w:eastAsia="楷体" w:cs="楷体_GB2312"/>
          <w:bCs/>
          <w:szCs w:val="32"/>
        </w:rPr>
      </w:pPr>
      <w:r>
        <w:rPr>
          <w:rFonts w:hint="eastAsia" w:ascii="Times New Roman" w:hAnsi="Times New Roman" w:eastAsia="楷体" w:cs="楷体_GB2312"/>
          <w:bCs/>
          <w:szCs w:val="32"/>
        </w:rPr>
        <w:t>总体绩效目标实现情况</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lang w:val="en-US" w:eastAsia="zh-CN"/>
        </w:rPr>
      </w:pPr>
      <w:r>
        <w:rPr>
          <w:rFonts w:hint="eastAsia" w:ascii="Times New Roman" w:hAnsi="Times New Roman"/>
          <w:szCs w:val="32"/>
          <w:lang w:val="en-US" w:eastAsia="zh-CN"/>
        </w:rPr>
        <w:t>2025年，我中心领导班子坚持以习近平新时代中国特色社会主义思想为指导，深入学习贯彻党的二十大和二十届历次全会精神，全面落实市委、市政府工作部署，积极发挥住房公积金保障作用，深化政策创新、提振住房消费、优化服务供给、筑牢安全防线、强化队伍建设，各项工作呈现出蓬勃发展的良好态势。全市归集住房公积金175.77亿元，提取住房公积金139.91亿元，发放住房公积金贷款44.09亿元，同比增加5.39%、14.85%、4.53%，圆满完成了全年各项工作任务。</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ascii="Times New Roman" w:hAnsi="Times New Roman" w:eastAsia="楷体"/>
          <w:bCs/>
          <w:szCs w:val="32"/>
        </w:rPr>
      </w:pPr>
      <w:r>
        <w:rPr>
          <w:rFonts w:hint="eastAsia" w:ascii="Times New Roman" w:hAnsi="Times New Roman" w:eastAsia="楷体" w:cs="楷体_GB2312"/>
          <w:bCs/>
          <w:szCs w:val="32"/>
        </w:rPr>
        <w:t>（二）分项绩效目标实现情况及指标分析</w:t>
      </w:r>
    </w:p>
    <w:p>
      <w:pPr>
        <w:keepNext w:val="0"/>
        <w:keepLines w:val="0"/>
        <w:pageBreakBefore w:val="0"/>
        <w:widowControl w:val="0"/>
        <w:kinsoku/>
        <w:wordWrap/>
        <w:overflowPunct/>
        <w:topLinePunct w:val="0"/>
        <w:autoSpaceDE/>
        <w:autoSpaceDN/>
        <w:bidi w:val="0"/>
        <w:ind w:firstLine="643" w:firstLineChars="200"/>
        <w:textAlignment w:val="auto"/>
        <w:rPr>
          <w:rFonts w:hint="eastAsia" w:ascii="仿宋" w:hAnsi="仿宋" w:eastAsia="仿宋" w:cs="仿宋"/>
          <w:b/>
          <w:bCs/>
          <w:szCs w:val="32"/>
        </w:rPr>
      </w:pPr>
      <w:r>
        <w:rPr>
          <w:rFonts w:hint="eastAsia" w:ascii="仿宋" w:hAnsi="仿宋" w:eastAsia="仿宋" w:cs="仿宋"/>
          <w:b/>
          <w:bCs/>
          <w:szCs w:val="32"/>
        </w:rPr>
        <w:t>1.数量指标：大力拓展公积金归集业务，实现公积金增值收益增长（20分）</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lang w:val="en-US" w:eastAsia="zh-CN"/>
        </w:rPr>
      </w:pPr>
      <w:r>
        <w:rPr>
          <w:rFonts w:hint="eastAsia" w:ascii="Times New Roman" w:hAnsi="Times New Roman"/>
          <w:szCs w:val="32"/>
          <w:lang w:val="en-US" w:eastAsia="zh-CN"/>
        </w:rPr>
        <w:t>（1）住房公积金归集进一步增长（10分）</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lang w:val="en-US" w:eastAsia="zh-CN"/>
        </w:rPr>
      </w:pPr>
      <w:r>
        <w:rPr>
          <w:rFonts w:hint="eastAsia" w:ascii="Times New Roman" w:hAnsi="Times New Roman"/>
          <w:szCs w:val="32"/>
          <w:lang w:val="en-US" w:eastAsia="zh-CN"/>
        </w:rPr>
        <w:t>我中心坚决践行“住有所居”目标，以政策创新为抓手，全力提振住房消费，努力让住房公积金制度红利惠及更多群体。</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lang w:val="en-US" w:eastAsia="zh-CN"/>
        </w:rPr>
      </w:pPr>
      <w:r>
        <w:rPr>
          <w:rFonts w:hint="eastAsia" w:ascii="Times New Roman" w:hAnsi="Times New Roman"/>
          <w:szCs w:val="32"/>
          <w:lang w:val="en-US" w:eastAsia="zh-CN"/>
        </w:rPr>
        <w:t>一是制度覆盖范围持续扩大。在确保单位职工正常缴存的基础上，坚持“投资于人”，高位推动灵活就业群体保障工作。2025年10月，石家庄灵活就业人员参加住房公积金制度正式实施，开户补贴、缴存补贴、个税抵扣等多项“真金白银”的政策措施落实落地，3000余名的新就业劳动者纳入保障范围，享受了住房公积金红利。二是住房消费支持精准发力。坚持存量政策和增量政策双向发力，相继优化租房提取、还贷提取、贷款套数认定、“商转公”等5项政策，创新出台家庭代际互助提取措施，为激活住房消费需求，促进房地产市场平稳健康发展做出了积极贡献。</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lang w:val="en-US" w:eastAsia="zh-CN"/>
        </w:rPr>
      </w:pPr>
      <w:r>
        <w:rPr>
          <w:rFonts w:hint="eastAsia" w:ascii="Times New Roman" w:hAnsi="Times New Roman"/>
          <w:szCs w:val="32"/>
          <w:lang w:val="en-US" w:eastAsia="zh-CN"/>
        </w:rPr>
        <w:t>（2）住房公积金增值收益稳步增长（10分）</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lang w:val="en-US" w:eastAsia="zh-CN"/>
        </w:rPr>
      </w:pPr>
      <w:r>
        <w:rPr>
          <w:rFonts w:hint="eastAsia" w:ascii="Times New Roman" w:hAnsi="Times New Roman"/>
          <w:szCs w:val="32"/>
          <w:lang w:val="en-US" w:eastAsia="zh-CN"/>
        </w:rPr>
        <w:t>我中心紧扣我市重点项目建设需求，持续提升“白名单”项目准入和贷款审批效率，全年办理“白名单”项目准入38个，发放住房公积金贷款3.49亿元，为房地产项目按期交房提供了资金支持。充分发挥住房公积金桥梁纽带作用，优化大额资金存放和银行考核办法，积极开展银企对接，引导合作银行履行社会责任，服务全市发展。经多次沟通协调，农行、平安、光大等5家合作银行向城发投、交投等重点企业发放配套融资贷款6.51亿元。经评价，数量指标完成预期目标，不扣分。</w:t>
      </w:r>
    </w:p>
    <w:p>
      <w:pPr>
        <w:keepNext w:val="0"/>
        <w:keepLines w:val="0"/>
        <w:pageBreakBefore w:val="0"/>
        <w:widowControl w:val="0"/>
        <w:kinsoku/>
        <w:wordWrap/>
        <w:overflowPunct/>
        <w:topLinePunct w:val="0"/>
        <w:autoSpaceDE/>
        <w:autoSpaceDN/>
        <w:bidi w:val="0"/>
        <w:adjustRightInd w:val="0"/>
        <w:snapToGrid w:val="0"/>
        <w:ind w:firstLine="643" w:firstLineChars="200"/>
        <w:textAlignment w:val="auto"/>
        <w:rPr>
          <w:rFonts w:ascii="Times New Roman" w:hAnsi="Times New Roman"/>
          <w:b/>
          <w:bCs/>
          <w:szCs w:val="32"/>
        </w:rPr>
      </w:pPr>
      <w:r>
        <w:rPr>
          <w:rFonts w:hint="eastAsia" w:ascii="Times New Roman" w:hAnsi="Times New Roman"/>
          <w:b/>
          <w:bCs/>
          <w:szCs w:val="32"/>
        </w:rPr>
        <w:t>2.质量指标：</w:t>
      </w:r>
      <w:r>
        <w:rPr>
          <w:rFonts w:ascii="Times New Roman" w:hAnsi="Times New Roman"/>
          <w:b/>
          <w:bCs/>
          <w:szCs w:val="32"/>
        </w:rPr>
        <w:t>加强贷款业务管理</w:t>
      </w:r>
      <w:r>
        <w:rPr>
          <w:rFonts w:hint="eastAsia" w:ascii="Times New Roman" w:hAnsi="Times New Roman"/>
          <w:b/>
          <w:bCs/>
          <w:szCs w:val="32"/>
        </w:rPr>
        <w:t>，确保资金及信息安全（20分）</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lang w:val="en-US" w:eastAsia="zh-CN"/>
        </w:rPr>
      </w:pPr>
      <w:r>
        <w:rPr>
          <w:rFonts w:hint="eastAsia" w:ascii="Times New Roman" w:hAnsi="Times New Roman"/>
          <w:szCs w:val="32"/>
          <w:lang w:val="en-US" w:eastAsia="zh-CN"/>
        </w:rPr>
        <w:t>（1）住房公积金贷款业务管理进一步加强（10分）</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lang w:val="en-US" w:eastAsia="zh-CN"/>
        </w:rPr>
      </w:pPr>
      <w:r>
        <w:rPr>
          <w:rFonts w:hint="eastAsia" w:ascii="Times New Roman" w:hAnsi="Times New Roman"/>
          <w:szCs w:val="32"/>
          <w:lang w:val="en-US" w:eastAsia="zh-CN"/>
        </w:rPr>
        <w:t>我中心坚持发展和安全并重，以“时时放心不下”的责任感，全力构建全方位、多层次风险防控体系，确保资金安全高效运行。优化完善提取审核机制，运用大数据技术，强化对异地提取、大额提取等重点业务的核查校对，有效遏制了违规提取行为的发生。坚持把催收个贷逾期作为一项长期重点工作，完善催收工作流程，逐户分析逾期原因，通过电话、短信、实地上门、发放律师函、司法诉讼等多种方式，加大催收力度，确保贷款资金安全。在没有第三方担保公司的情况下，中心个贷逾期率0.0177%，低于全省平均水平。加强沟通协调，辛集存量贷款遗留问题得到有效解决。</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lang w:val="en-US" w:eastAsia="zh-CN"/>
        </w:rPr>
      </w:pPr>
      <w:r>
        <w:rPr>
          <w:rFonts w:hint="eastAsia" w:ascii="Times New Roman" w:hAnsi="Times New Roman"/>
          <w:szCs w:val="32"/>
          <w:lang w:val="en-US" w:eastAsia="zh-CN"/>
        </w:rPr>
        <w:t>（2）资金和数据信息安全进一步加强（10分）</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lang w:val="en-US" w:eastAsia="zh-CN"/>
        </w:rPr>
      </w:pPr>
      <w:r>
        <w:rPr>
          <w:rFonts w:hint="eastAsia" w:ascii="Times New Roman" w:hAnsi="Times New Roman"/>
          <w:szCs w:val="32"/>
          <w:lang w:val="en-US" w:eastAsia="zh-CN"/>
        </w:rPr>
        <w:t>我中心失信惩戒更加规范。结合自身实际，研究制定了《失信惩戒工作细则》，进一步明确了违规提取、违规贷款等11种住房公积金失信行为的核实认定、调查处理、信息披露、失信惩戒、信用修复和监督管理，推动中心失信惩戒管理工作有法可依、有章可循。强力推动经济责任审计、业务专项审计整改，定期召开审计整改推进会，逐级压实整改责任。截至目前审计发现25个问题，已完成鹿泉房产回收等21个，整改工作进展顺利。加大中心内部审计力度，以政策合规性、业务规范性、资金安全性为发力点，扎实开展异地提取、“商转公”等重点业务专项审计，认真制定整改措施，切实为中心资金安全“站岗护航”。经评价，质量指标完成预期目标，不扣分。</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rPr>
      </w:pPr>
      <w:r>
        <w:rPr>
          <w:rFonts w:hint="eastAsia" w:ascii="Times New Roman" w:hAnsi="Times New Roman"/>
          <w:szCs w:val="32"/>
        </w:rPr>
        <w:t>3.</w:t>
      </w:r>
      <w:r>
        <w:rPr>
          <w:rFonts w:hint="eastAsia" w:ascii="仿宋" w:hAnsi="仿宋" w:eastAsia="仿宋" w:cs="仿宋"/>
          <w:b/>
          <w:bCs/>
          <w:szCs w:val="32"/>
        </w:rPr>
        <w:t>时效指标：积极推动项目实施按期完成（20分）</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lang w:val="en-US" w:eastAsia="zh-CN"/>
        </w:rPr>
      </w:pPr>
      <w:r>
        <w:rPr>
          <w:rFonts w:hint="eastAsia" w:ascii="Times New Roman" w:hAnsi="Times New Roman"/>
          <w:szCs w:val="32"/>
          <w:lang w:val="en-US" w:eastAsia="zh-CN"/>
        </w:rPr>
        <w:t>时效方面，我中心在2025年全年按照工作计划，按时开展了住房公积金存量档案外包加工项目、视频会议设备更换项目、办公设备购置项目等专项项目，全年共14个预算项目，均在年内按时完成，无延期项目发生，该项指标不扣分。</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仿宋" w:hAnsi="仿宋" w:eastAsia="仿宋" w:cs="仿宋"/>
          <w:b/>
          <w:bCs/>
          <w:szCs w:val="32"/>
        </w:rPr>
      </w:pPr>
      <w:r>
        <w:rPr>
          <w:rFonts w:hint="eastAsia" w:ascii="Times New Roman" w:hAnsi="Times New Roman"/>
          <w:szCs w:val="32"/>
        </w:rPr>
        <w:t>4.</w:t>
      </w:r>
      <w:r>
        <w:rPr>
          <w:rFonts w:hint="eastAsia" w:ascii="仿宋" w:hAnsi="仿宋" w:eastAsia="仿宋" w:cs="仿宋"/>
          <w:b/>
          <w:bCs/>
          <w:szCs w:val="32"/>
        </w:rPr>
        <w:t>成本指标：加强项目成本控制，合理控制预算支出（20分）</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lang w:val="en-US" w:eastAsia="zh-CN"/>
        </w:rPr>
      </w:pPr>
      <w:r>
        <w:rPr>
          <w:rFonts w:hint="eastAsia" w:ascii="Times New Roman" w:hAnsi="Times New Roman"/>
          <w:szCs w:val="32"/>
          <w:lang w:val="en-US" w:eastAsia="zh-CN"/>
        </w:rPr>
        <w:t>经评价，我中心在2025年项目支出调整预算数为1261.58万元，年末项目支出决算数为1251.3万元，在绩效自评工作中，通过对全部预算项目进行汇总梳理，未发现存在成本指标超出预算金额的问题，我中心全部预算项目成本控制指标得满分，该项指标不扣分。</w:t>
      </w:r>
    </w:p>
    <w:p>
      <w:pPr>
        <w:keepNext w:val="0"/>
        <w:keepLines w:val="0"/>
        <w:pageBreakBefore w:val="0"/>
        <w:widowControl w:val="0"/>
        <w:kinsoku/>
        <w:wordWrap/>
        <w:overflowPunct/>
        <w:topLinePunct w:val="0"/>
        <w:autoSpaceDE/>
        <w:autoSpaceDN/>
        <w:bidi w:val="0"/>
        <w:adjustRightInd w:val="0"/>
        <w:snapToGrid w:val="0"/>
        <w:ind w:firstLine="643" w:firstLineChars="200"/>
        <w:textAlignment w:val="auto"/>
        <w:rPr>
          <w:rFonts w:hint="eastAsia" w:ascii="Times New Roman" w:hAnsi="Times New Roman"/>
          <w:b/>
          <w:bCs/>
          <w:szCs w:val="32"/>
        </w:rPr>
      </w:pPr>
      <w:r>
        <w:rPr>
          <w:rFonts w:hint="eastAsia" w:ascii="Times New Roman" w:hAnsi="Times New Roman"/>
          <w:b/>
          <w:bCs/>
          <w:szCs w:val="32"/>
        </w:rPr>
        <w:t>5.效益指标：全面提质增效（20分）</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lang w:val="en-US" w:eastAsia="zh-CN"/>
        </w:rPr>
      </w:pPr>
      <w:r>
        <w:rPr>
          <w:rFonts w:hint="eastAsia" w:ascii="Times New Roman" w:hAnsi="Times New Roman"/>
          <w:szCs w:val="32"/>
          <w:lang w:val="en-US" w:eastAsia="zh-CN"/>
        </w:rPr>
        <w:t>（1）住房公积金服务效能全面提升（20分）</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lang w:val="en-US" w:eastAsia="zh-CN"/>
        </w:rPr>
      </w:pPr>
      <w:r>
        <w:rPr>
          <w:rFonts w:hint="eastAsia" w:ascii="Times New Roman" w:hAnsi="Times New Roman"/>
          <w:szCs w:val="32"/>
          <w:lang w:val="en-US" w:eastAsia="zh-CN"/>
        </w:rPr>
        <w:t>我中心始终把群众满意作为第一标准，优化营商环境，持续提升服务质效，让群众办事更省心、更舒心、更放心。</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lang w:val="en-US" w:eastAsia="zh-CN"/>
        </w:rPr>
      </w:pPr>
      <w:r>
        <w:rPr>
          <w:rFonts w:hint="eastAsia" w:ascii="Times New Roman" w:hAnsi="Times New Roman"/>
          <w:szCs w:val="32"/>
          <w:lang w:val="en-US" w:eastAsia="zh-CN"/>
        </w:rPr>
        <w:t>一是服务渠道全面拓展。合理优化市区业务网点布局，借鉴外地城市先进经验做法，积极与河北银行沟通交流，增加主城区7个银行代办点，开通办理住房公积金归集、提取业务，进一步方便群众就近办理业务。二是服务效能显著提升。全面推进住房公积金个人贷款购房“一件事”工作，优化业务流程，精简申请材料，减少流转环节 ，实现“一窗受理，一表申请、一网通办”。截至2025年12月底，共为393名职工发放高效办成一件事贷款2.47亿元。三是诉求响应高效快捷。优化热线接听服务模式，开通“12329”住房公积金人工座席，实现“12345”和“12329”双线并行、高效联动，全年共接听群众来电61029个，完成工单1852个，进一步提高了电话接通率和群众的满意度。效能指标完成预期目标，该项指标不扣分。</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0"/>
        <w:rPr>
          <w:rFonts w:ascii="Times New Roman" w:hAnsi="Times New Roman" w:eastAsia="黑体"/>
          <w:szCs w:val="32"/>
        </w:rPr>
      </w:pPr>
      <w:r>
        <w:rPr>
          <w:rFonts w:hint="eastAsia" w:ascii="Times New Roman" w:hAnsi="Times New Roman" w:eastAsia="黑体"/>
          <w:szCs w:val="32"/>
        </w:rPr>
        <w:t>四、评价结论和评价等级</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lang w:val="en-US" w:eastAsia="zh-CN"/>
        </w:rPr>
      </w:pPr>
      <w:r>
        <w:rPr>
          <w:rFonts w:hint="eastAsia" w:ascii="Times New Roman" w:hAnsi="Times New Roman"/>
          <w:szCs w:val="32"/>
          <w:lang w:val="en-US" w:eastAsia="zh-CN"/>
        </w:rPr>
        <w:t>根据部门职责定位和各项工作履职情况进行综合评价，我中心项目自评平均得99.69分。各项工作产出、效益及满意度均基本实现年初既定目标，较为圆满的完成了年度任务，此次部门整体支出综合绩效评价等级为“优秀”。</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0"/>
        <w:rPr>
          <w:rFonts w:ascii="Times New Roman" w:hAnsi="Times New Roman" w:eastAsia="黑体"/>
          <w:szCs w:val="32"/>
        </w:rPr>
      </w:pPr>
      <w:r>
        <w:rPr>
          <w:rFonts w:hint="eastAsia" w:ascii="Times New Roman" w:hAnsi="Times New Roman" w:eastAsia="黑体"/>
          <w:szCs w:val="32"/>
        </w:rPr>
        <w:t>五、存在的问题及改进措施</w:t>
      </w:r>
    </w:p>
    <w:p>
      <w:pPr>
        <w:keepNext w:val="0"/>
        <w:keepLines w:val="0"/>
        <w:pageBreakBefore w:val="0"/>
        <w:widowControl w:val="0"/>
        <w:kinsoku/>
        <w:wordWrap/>
        <w:overflowPunct/>
        <w:topLinePunct w:val="0"/>
        <w:autoSpaceDE/>
        <w:autoSpaceDN/>
        <w:bidi w:val="0"/>
        <w:ind w:firstLine="640" w:firstLineChars="200"/>
        <w:textAlignment w:val="auto"/>
        <w:rPr>
          <w:rFonts w:ascii="Times New Roman" w:hAnsi="Times New Roman" w:eastAsia="楷体"/>
          <w:bCs/>
          <w:szCs w:val="32"/>
        </w:rPr>
      </w:pPr>
      <w:r>
        <w:rPr>
          <w:rFonts w:hint="eastAsia" w:ascii="Times New Roman" w:hAnsi="Times New Roman" w:eastAsia="楷体"/>
          <w:bCs/>
          <w:szCs w:val="32"/>
        </w:rPr>
        <w:t>（一）存在的主要问题</w:t>
      </w:r>
    </w:p>
    <w:p>
      <w:pPr>
        <w:pStyle w:val="3"/>
        <w:keepNext w:val="0"/>
        <w:keepLines w:val="0"/>
        <w:pageBreakBefore w:val="0"/>
        <w:widowControl w:val="0"/>
        <w:kinsoku/>
        <w:wordWrap/>
        <w:overflowPunct/>
        <w:topLinePunct w:val="0"/>
        <w:autoSpaceDE/>
        <w:autoSpaceDN/>
        <w:bidi w:val="0"/>
        <w:ind w:firstLine="643"/>
        <w:textAlignment w:val="auto"/>
        <w:outlineLvl w:val="2"/>
        <w:rPr>
          <w:rFonts w:ascii="仿宋" w:hAnsi="仿宋" w:cs="Times New Roman"/>
          <w:szCs w:val="32"/>
        </w:rPr>
      </w:pPr>
      <w:r>
        <w:rPr>
          <w:rFonts w:hint="eastAsia" w:ascii="仿宋" w:hAnsi="仿宋" w:cs="Times New Roman"/>
          <w:b/>
          <w:bCs/>
          <w:szCs w:val="32"/>
        </w:rPr>
        <w:t>1.个别项目目标和指标设置较为简化</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lang w:val="en-US" w:eastAsia="zh-CN"/>
        </w:rPr>
      </w:pPr>
      <w:r>
        <w:rPr>
          <w:rFonts w:hint="eastAsia" w:ascii="Times New Roman" w:hAnsi="Times New Roman"/>
          <w:szCs w:val="32"/>
          <w:lang w:val="en-US" w:eastAsia="zh-CN"/>
        </w:rPr>
        <w:t>经本次绩效自评工作的开展，深入分析发现个别项目绩效目标不够完善，不能完整清晰地体现工作活动的产出和效果，依据绩效目标所设置的绩效指标不够细化，不能完整清晰地反映活动目标完成情况。部分绩效目标预期指标值不够量化，影响后期评价评分。</w:t>
      </w:r>
    </w:p>
    <w:p>
      <w:pPr>
        <w:keepNext w:val="0"/>
        <w:keepLines w:val="0"/>
        <w:pageBreakBefore w:val="0"/>
        <w:widowControl w:val="0"/>
        <w:numPr>
          <w:ilvl w:val="0"/>
          <w:numId w:val="2"/>
        </w:numPr>
        <w:kinsoku/>
        <w:wordWrap/>
        <w:overflowPunct/>
        <w:topLinePunct w:val="0"/>
        <w:autoSpaceDE/>
        <w:autoSpaceDN/>
        <w:bidi w:val="0"/>
        <w:adjustRightInd/>
        <w:snapToGrid/>
        <w:ind w:firstLine="640" w:firstLineChars="200"/>
        <w:textAlignment w:val="auto"/>
        <w:outlineLvl w:val="1"/>
        <w:rPr>
          <w:rFonts w:ascii="Times New Roman" w:hAnsi="Times New Roman" w:eastAsia="楷体"/>
          <w:bCs/>
          <w:szCs w:val="32"/>
        </w:rPr>
      </w:pPr>
      <w:r>
        <w:rPr>
          <w:rFonts w:hint="eastAsia" w:ascii="Times New Roman" w:hAnsi="Times New Roman" w:eastAsia="楷体"/>
          <w:bCs/>
          <w:szCs w:val="32"/>
        </w:rPr>
        <w:t>针对问题提出具体的改进措施或建议</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lang w:val="en-US" w:eastAsia="zh-CN"/>
        </w:rPr>
      </w:pPr>
      <w:r>
        <w:rPr>
          <w:rFonts w:hint="eastAsia" w:ascii="Times New Roman" w:hAnsi="Times New Roman"/>
          <w:szCs w:val="32"/>
          <w:lang w:val="en-US" w:eastAsia="zh-CN"/>
        </w:rPr>
        <w:t>针对自评中发现的问题，我中心在2026年要进一步加强绩效目标的设定，将绩效目标做实，做到项目绩效目标全覆盖，最终实现部门整体绩效目标全覆盖，同时在设定绩效指标值时，要进一步细化量化，便于对项目进行监控和考核。在实际操作中，建立全面规范的绩效指标体系，依据我部门职责和年度工作重点，设定科学、合理、可行的年度绩效目标、绩效指标。</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lang w:val="en-US" w:eastAsia="zh-CN"/>
        </w:rPr>
      </w:pPr>
      <w:r>
        <w:rPr>
          <w:rFonts w:hint="eastAsia" w:ascii="Times New Roman" w:hAnsi="Times New Roman"/>
          <w:szCs w:val="32"/>
          <w:lang w:val="en-US" w:eastAsia="zh-CN"/>
        </w:rPr>
        <w:t>我中心将绩效评价结果与预算安排挂钩，把其作为下年度预算安排、预算执行以及完善管理的重要依据。对于绩效评价结果良好的项目，予以优先保障。同时，依据绩效评价结果，对资源配置进行优化，并针对绩效评价中发现的问题，及时完善相关管理制度，堵塞管理漏洞，进一步提高资金管理水平。</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eastAsia" w:ascii="Times New Roman" w:hAnsi="Times New Roman"/>
          <w:szCs w:val="32"/>
          <w:lang w:val="en-US" w:eastAsia="zh-CN"/>
        </w:rPr>
      </w:pPr>
    </w:p>
    <w:p>
      <w:pPr>
        <w:ind w:firstLine="640" w:firstLineChars="200"/>
        <w:rPr>
          <w:rFonts w:ascii="Times New Roman" w:hAnsi="Times New Roman"/>
          <w:highlight w:val="yellow"/>
        </w:rPr>
      </w:pPr>
    </w:p>
    <w:p>
      <w:pPr>
        <w:ind w:left="5440" w:leftChars="200" w:hanging="4800" w:hangingChars="1500"/>
        <w:jc w:val="left"/>
        <w:rPr>
          <w:rFonts w:hint="default" w:ascii="Times New Roman" w:hAnsi="Times New Roman"/>
          <w:highlight w:val="none"/>
          <w:lang w:val="en-US" w:eastAsia="zh-CN"/>
        </w:rPr>
      </w:pPr>
      <w:r>
        <w:rPr>
          <w:rFonts w:hint="eastAsia" w:ascii="Times New Roman" w:hAnsi="Times New Roman"/>
          <w:highlight w:val="none"/>
          <w:lang w:val="en-US" w:eastAsia="zh-CN"/>
        </w:rPr>
        <w:t xml:space="preserve">                          </w:t>
      </w:r>
      <w:r>
        <w:rPr>
          <w:rFonts w:hint="eastAsia" w:ascii="Times New Roman" w:hAnsi="Times New Roman"/>
          <w:highlight w:val="none"/>
        </w:rPr>
        <w:t>石家庄住房公积金管理中心</w:t>
      </w:r>
      <w:r>
        <w:rPr>
          <w:rFonts w:hint="eastAsia" w:ascii="Times New Roman" w:hAnsi="Times New Roman"/>
          <w:highlight w:val="none"/>
          <w:lang w:val="en-US" w:eastAsia="zh-CN"/>
        </w:rPr>
        <w:t xml:space="preserve">                           2026年4月21日</w:t>
      </w:r>
    </w:p>
    <w:sectPr>
      <w:footerReference r:id="rId5" w:type="default"/>
      <w:pgSz w:w="11906" w:h="16838"/>
      <w:pgMar w:top="1440" w:right="1474" w:bottom="1440" w:left="1587" w:header="851" w:footer="992" w:gutter="0"/>
      <w:pgNumType w:fmt="numberInDash"/>
      <w:cols w:space="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modern"/>
    <w:pitch w:val="default"/>
    <w:sig w:usb0="800002BF" w:usb1="38CF7CFA" w:usb2="00000016" w:usb3="00000000" w:csb0="00040001" w:csb1="00000000"/>
  </w:font>
  <w:font w:name="方正仿宋_GBK">
    <w:panose1 w:val="02000000000000000000"/>
    <w:charset w:val="86"/>
    <w:family w:val="auto"/>
    <w:pitch w:val="default"/>
    <w:sig w:usb0="A00002BF" w:usb1="38CF7CFA" w:usb2="00082016" w:usb3="00000000" w:csb0="00040001" w:csb1="00000000"/>
  </w:font>
  <w:font w:name="华文楷体">
    <w:altName w:val="宋体"/>
    <w:panose1 w:val="00000000000000000000"/>
    <w:charset w:val="86"/>
    <w:family w:val="auto"/>
    <w:pitch w:val="default"/>
    <w:sig w:usb0="00000000" w:usb1="00000000" w:usb2="00000000" w:usb3="00000000" w:csb0="0004009F" w:csb1="DFD7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pict>
        <v:shape id="Quad Arrow 3073" o:spid="_x0000_s3073"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2F11678"/>
    <w:multiLevelType w:val="singleLevel"/>
    <w:tmpl w:val="82F11678"/>
    <w:lvl w:ilvl="0" w:tentative="0">
      <w:start w:val="2"/>
      <w:numFmt w:val="chineseCounting"/>
      <w:suff w:val="nothing"/>
      <w:lvlText w:val="（%1）"/>
      <w:lvlJc w:val="left"/>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noPunctuationKerning w:val="1"/>
  <w:characterSpacingControl w:val="compressPunctuation"/>
  <w:hdrShapeDefaults>
    <o:shapelayout v:ext="edit">
      <o:idmap v:ext="edit" data="3"/>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mY3YjczZmEwYTM1MGZiNWYxZGVmNTZlZTFlZmI1NzQifQ=="/>
  </w:docVars>
  <w:rsids>
    <w:rsidRoot w:val="0EBD2122"/>
    <w:rsid w:val="000031C6"/>
    <w:rsid w:val="000B0260"/>
    <w:rsid w:val="000D266B"/>
    <w:rsid w:val="00121A4F"/>
    <w:rsid w:val="00153CD8"/>
    <w:rsid w:val="001A4AFB"/>
    <w:rsid w:val="003F64AF"/>
    <w:rsid w:val="00442E49"/>
    <w:rsid w:val="004F1BE5"/>
    <w:rsid w:val="00536295"/>
    <w:rsid w:val="005A641E"/>
    <w:rsid w:val="005D0207"/>
    <w:rsid w:val="00664E20"/>
    <w:rsid w:val="006C6135"/>
    <w:rsid w:val="007656CE"/>
    <w:rsid w:val="00780CBD"/>
    <w:rsid w:val="007A6165"/>
    <w:rsid w:val="007E6C1F"/>
    <w:rsid w:val="0092515E"/>
    <w:rsid w:val="00956A93"/>
    <w:rsid w:val="009E575C"/>
    <w:rsid w:val="009E5B95"/>
    <w:rsid w:val="00A42485"/>
    <w:rsid w:val="00A92D27"/>
    <w:rsid w:val="00AC26FC"/>
    <w:rsid w:val="00AF167E"/>
    <w:rsid w:val="00AF566A"/>
    <w:rsid w:val="00B478EA"/>
    <w:rsid w:val="00B6553A"/>
    <w:rsid w:val="00BC6576"/>
    <w:rsid w:val="00BE0D41"/>
    <w:rsid w:val="00C972D8"/>
    <w:rsid w:val="00CE06BA"/>
    <w:rsid w:val="00D94E6F"/>
    <w:rsid w:val="00DC4E57"/>
    <w:rsid w:val="00E717DB"/>
    <w:rsid w:val="00F0583E"/>
    <w:rsid w:val="00F441CC"/>
    <w:rsid w:val="01934818"/>
    <w:rsid w:val="01B104CA"/>
    <w:rsid w:val="02106AB0"/>
    <w:rsid w:val="025C5B23"/>
    <w:rsid w:val="02B43A28"/>
    <w:rsid w:val="0318662C"/>
    <w:rsid w:val="03433F84"/>
    <w:rsid w:val="036A079C"/>
    <w:rsid w:val="037A206B"/>
    <w:rsid w:val="039B1B16"/>
    <w:rsid w:val="03BE1D42"/>
    <w:rsid w:val="03E23426"/>
    <w:rsid w:val="046F331E"/>
    <w:rsid w:val="04E60303"/>
    <w:rsid w:val="074248C0"/>
    <w:rsid w:val="07956271"/>
    <w:rsid w:val="089674A9"/>
    <w:rsid w:val="094B447A"/>
    <w:rsid w:val="09721397"/>
    <w:rsid w:val="0BB63BED"/>
    <w:rsid w:val="0D0E115E"/>
    <w:rsid w:val="0EB97A43"/>
    <w:rsid w:val="0EBD2122"/>
    <w:rsid w:val="0F214EAE"/>
    <w:rsid w:val="10E703F1"/>
    <w:rsid w:val="10F22B45"/>
    <w:rsid w:val="11B71E6A"/>
    <w:rsid w:val="123478B9"/>
    <w:rsid w:val="126857B5"/>
    <w:rsid w:val="12BF2E71"/>
    <w:rsid w:val="16353C00"/>
    <w:rsid w:val="164F441E"/>
    <w:rsid w:val="16FF2FE5"/>
    <w:rsid w:val="17DD3D91"/>
    <w:rsid w:val="19185113"/>
    <w:rsid w:val="1A553E10"/>
    <w:rsid w:val="1A82318C"/>
    <w:rsid w:val="1AAF0063"/>
    <w:rsid w:val="1B3076D1"/>
    <w:rsid w:val="1BE140DE"/>
    <w:rsid w:val="1D4B5AB7"/>
    <w:rsid w:val="1DBA2C3C"/>
    <w:rsid w:val="1FD004F5"/>
    <w:rsid w:val="20A94E3B"/>
    <w:rsid w:val="2222191C"/>
    <w:rsid w:val="223E29C3"/>
    <w:rsid w:val="2265586D"/>
    <w:rsid w:val="23966F75"/>
    <w:rsid w:val="24535028"/>
    <w:rsid w:val="248C197D"/>
    <w:rsid w:val="252959AF"/>
    <w:rsid w:val="25E42F4C"/>
    <w:rsid w:val="26BE2EE1"/>
    <w:rsid w:val="27780568"/>
    <w:rsid w:val="277A6671"/>
    <w:rsid w:val="27824667"/>
    <w:rsid w:val="282615FA"/>
    <w:rsid w:val="287950CC"/>
    <w:rsid w:val="290E5AE5"/>
    <w:rsid w:val="292D35B7"/>
    <w:rsid w:val="2AF002B6"/>
    <w:rsid w:val="2B1069AB"/>
    <w:rsid w:val="2BB64DC6"/>
    <w:rsid w:val="2BF6650A"/>
    <w:rsid w:val="2C8B5ED0"/>
    <w:rsid w:val="2CD7205C"/>
    <w:rsid w:val="2D6A3F24"/>
    <w:rsid w:val="2DE97352"/>
    <w:rsid w:val="2E3D6D05"/>
    <w:rsid w:val="2FA638EB"/>
    <w:rsid w:val="2FC824A6"/>
    <w:rsid w:val="30C55D61"/>
    <w:rsid w:val="31C5417C"/>
    <w:rsid w:val="31C83722"/>
    <w:rsid w:val="32345610"/>
    <w:rsid w:val="32773F4B"/>
    <w:rsid w:val="33EB6CFF"/>
    <w:rsid w:val="35577297"/>
    <w:rsid w:val="35A12947"/>
    <w:rsid w:val="35BC22C3"/>
    <w:rsid w:val="36054F45"/>
    <w:rsid w:val="362F28B3"/>
    <w:rsid w:val="36AF6C5F"/>
    <w:rsid w:val="37387040"/>
    <w:rsid w:val="37FF59C4"/>
    <w:rsid w:val="38806557"/>
    <w:rsid w:val="3A461676"/>
    <w:rsid w:val="3B625C0A"/>
    <w:rsid w:val="3CB21257"/>
    <w:rsid w:val="3CEE1963"/>
    <w:rsid w:val="3EC3774B"/>
    <w:rsid w:val="3F080FA9"/>
    <w:rsid w:val="3FB549CC"/>
    <w:rsid w:val="40095632"/>
    <w:rsid w:val="417116E0"/>
    <w:rsid w:val="42F462EF"/>
    <w:rsid w:val="436B78D3"/>
    <w:rsid w:val="442347E8"/>
    <w:rsid w:val="44651234"/>
    <w:rsid w:val="448C6376"/>
    <w:rsid w:val="44986059"/>
    <w:rsid w:val="45776A27"/>
    <w:rsid w:val="46214309"/>
    <w:rsid w:val="46326F64"/>
    <w:rsid w:val="46473F3C"/>
    <w:rsid w:val="46BD7176"/>
    <w:rsid w:val="476800FC"/>
    <w:rsid w:val="479D7B52"/>
    <w:rsid w:val="49E71EDE"/>
    <w:rsid w:val="4B314F29"/>
    <w:rsid w:val="4B4734B2"/>
    <w:rsid w:val="4BF41697"/>
    <w:rsid w:val="4C197435"/>
    <w:rsid w:val="4C604E49"/>
    <w:rsid w:val="4C9C27FE"/>
    <w:rsid w:val="4D436B1E"/>
    <w:rsid w:val="4D891B60"/>
    <w:rsid w:val="4DEA4CF4"/>
    <w:rsid w:val="4ECB4C9C"/>
    <w:rsid w:val="4F161B19"/>
    <w:rsid w:val="4F934F18"/>
    <w:rsid w:val="4FA4542C"/>
    <w:rsid w:val="512260B4"/>
    <w:rsid w:val="51AB0308"/>
    <w:rsid w:val="522A501F"/>
    <w:rsid w:val="52BD6ACB"/>
    <w:rsid w:val="54907C78"/>
    <w:rsid w:val="55537534"/>
    <w:rsid w:val="55791E47"/>
    <w:rsid w:val="561A74F1"/>
    <w:rsid w:val="5852362E"/>
    <w:rsid w:val="595026D3"/>
    <w:rsid w:val="597244E8"/>
    <w:rsid w:val="5A1F5140"/>
    <w:rsid w:val="5A6A776F"/>
    <w:rsid w:val="5ACE5056"/>
    <w:rsid w:val="5ADD1840"/>
    <w:rsid w:val="5D0D6309"/>
    <w:rsid w:val="5D69161B"/>
    <w:rsid w:val="5E391380"/>
    <w:rsid w:val="5EB71C30"/>
    <w:rsid w:val="5F2D5DC7"/>
    <w:rsid w:val="5F5B4492"/>
    <w:rsid w:val="617526CF"/>
    <w:rsid w:val="63C11BFC"/>
    <w:rsid w:val="6528731F"/>
    <w:rsid w:val="66AF0CE5"/>
    <w:rsid w:val="66C11F13"/>
    <w:rsid w:val="66FE6CC3"/>
    <w:rsid w:val="67FD29F7"/>
    <w:rsid w:val="681349F0"/>
    <w:rsid w:val="687E1AAB"/>
    <w:rsid w:val="68CE0109"/>
    <w:rsid w:val="6973090A"/>
    <w:rsid w:val="6A02317C"/>
    <w:rsid w:val="6AC537CF"/>
    <w:rsid w:val="6B4E560E"/>
    <w:rsid w:val="6C1C68C8"/>
    <w:rsid w:val="6C7A4FAA"/>
    <w:rsid w:val="6D0E5D34"/>
    <w:rsid w:val="6D733FB8"/>
    <w:rsid w:val="6E3C2662"/>
    <w:rsid w:val="6E4753F3"/>
    <w:rsid w:val="6E5B14A6"/>
    <w:rsid w:val="6FDC5AAA"/>
    <w:rsid w:val="7104137A"/>
    <w:rsid w:val="711B255E"/>
    <w:rsid w:val="71ED0060"/>
    <w:rsid w:val="723765B3"/>
    <w:rsid w:val="7295497F"/>
    <w:rsid w:val="73313BF2"/>
    <w:rsid w:val="73AC7DE7"/>
    <w:rsid w:val="73CA4C19"/>
    <w:rsid w:val="74564AEF"/>
    <w:rsid w:val="74850A24"/>
    <w:rsid w:val="751A73BE"/>
    <w:rsid w:val="76350C95"/>
    <w:rsid w:val="77E32A2B"/>
    <w:rsid w:val="7881723F"/>
    <w:rsid w:val="79FC221E"/>
    <w:rsid w:val="7A456C8B"/>
    <w:rsid w:val="7B851222"/>
    <w:rsid w:val="7BB51E06"/>
    <w:rsid w:val="7C387F7C"/>
    <w:rsid w:val="7C5F7DAC"/>
    <w:rsid w:val="7D1E4059"/>
    <w:rsid w:val="7DF34C50"/>
    <w:rsid w:val="7EB74F38"/>
    <w:rsid w:val="7ED24D5B"/>
    <w:rsid w:val="7FE83423"/>
    <w:rsid w:val="7FEB208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560" w:lineRule="exact"/>
      <w:jc w:val="both"/>
    </w:pPr>
    <w:rPr>
      <w:rFonts w:ascii="Calibri" w:hAnsi="Calibri" w:eastAsia="仿宋" w:cs="黑体"/>
      <w:kern w:val="2"/>
      <w:sz w:val="32"/>
      <w:szCs w:val="22"/>
      <w:lang w:val="en-US" w:eastAsia="zh-CN" w:bidi="ar-SA"/>
    </w:rPr>
  </w:style>
  <w:style w:type="paragraph" w:styleId="2">
    <w:name w:val="heading 2"/>
    <w:basedOn w:val="1"/>
    <w:next w:val="1"/>
    <w:qFormat/>
    <w:uiPriority w:val="0"/>
    <w:pPr>
      <w:spacing w:before="100" w:beforeAutospacing="1" w:after="100" w:afterAutospacing="1"/>
      <w:outlineLvl w:val="1"/>
    </w:pPr>
    <w:rPr>
      <w:rFonts w:hint="eastAsia" w:ascii="宋体" w:hAnsi="宋体"/>
      <w:sz w:val="36"/>
      <w:szCs w:val="36"/>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firstLineChars="200"/>
    </w:pPr>
  </w:style>
  <w:style w:type="paragraph" w:styleId="4">
    <w:name w:val="annotation text"/>
    <w:basedOn w:val="1"/>
    <w:qFormat/>
    <w:uiPriority w:val="0"/>
    <w:pPr>
      <w:jc w:val="left"/>
    </w:pPr>
  </w:style>
  <w:style w:type="paragraph" w:styleId="5">
    <w:name w:val="Body Text Indent"/>
    <w:basedOn w:val="1"/>
    <w:next w:val="6"/>
    <w:qFormat/>
    <w:uiPriority w:val="0"/>
    <w:pPr>
      <w:ind w:left="420" w:leftChars="200"/>
    </w:pPr>
  </w:style>
  <w:style w:type="paragraph" w:styleId="6">
    <w:name w:val="Subtitle"/>
    <w:basedOn w:val="1"/>
    <w:next w:val="1"/>
    <w:qFormat/>
    <w:uiPriority w:val="0"/>
    <w:pPr>
      <w:widowControl/>
      <w:wordWrap w:val="0"/>
      <w:spacing w:after="60"/>
      <w:jc w:val="center"/>
    </w:pPr>
    <w:rPr>
      <w:kern w:val="0"/>
      <w:sz w:val="24"/>
    </w:r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9">
    <w:name w:val="Body Text First Indent 2"/>
    <w:basedOn w:val="5"/>
    <w:next w:val="1"/>
    <w:qFormat/>
    <w:uiPriority w:val="0"/>
    <w:pPr>
      <w:ind w:left="0" w:leftChars="0" w:firstLine="420" w:firstLineChars="200"/>
    </w:pPr>
  </w:style>
  <w:style w:type="paragraph" w:customStyle="1" w:styleId="12">
    <w:name w:val="插入文本样式-插入总体目标文件"/>
    <w:basedOn w:val="1"/>
    <w:qFormat/>
    <w:uiPriority w:val="0"/>
    <w:pPr>
      <w:spacing w:line="500" w:lineRule="exact"/>
      <w:ind w:firstLine="560"/>
      <w:jc w:val="left"/>
    </w:pPr>
    <w:rPr>
      <w:rFonts w:ascii="Times New Roman" w:hAnsi="Times New Roman" w:eastAsia="方正仿宋_GBK" w:cs="Times New Roman"/>
      <w:sz w:val="28"/>
    </w:rPr>
  </w:style>
  <w:style w:type="paragraph" w:customStyle="1" w:styleId="13">
    <w:name w:val="插入文本样式-插入职责分类绩效目标文件"/>
    <w:basedOn w:val="1"/>
    <w:qFormat/>
    <w:uiPriority w:val="0"/>
    <w:pPr>
      <w:spacing w:line="500" w:lineRule="exact"/>
      <w:ind w:firstLine="560"/>
      <w:jc w:val="left"/>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12</Pages>
  <Words>6328</Words>
  <Characters>6661</Characters>
  <Lines>56</Lines>
  <Paragraphs>15</Paragraphs>
  <TotalTime>27</TotalTime>
  <ScaleCrop>false</ScaleCrop>
  <LinksUpToDate>false</LinksUpToDate>
  <CharactersWithSpaces>6718</CharactersWithSpaces>
  <Application>WPS Office_11.8.2.11734_F1E327BC-269C-435d-A152-05C5408002CA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GJJ</cp:lastModifiedBy>
  <cp:lastPrinted>2026-04-16T06:02:00Z</cp:lastPrinted>
  <dcterms:modified xsi:type="dcterms:W3CDTF">2026-05-15T03:51:37Z</dcterms:modified>
  <dc:title>附件3：</dc:title>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2052-11.8.2.11734</vt:lpwstr>
  </property>
  <property fmtid="{D5CDD505-2E9C-101B-9397-08002B2CF9AE}" pid="3" name="ICV">
    <vt:lpwstr>96934721B1514D3FBAA28020338CE855_12</vt:lpwstr>
  </property>
  <property fmtid="{D5CDD505-2E9C-101B-9397-08002B2CF9AE}" pid="4" name="KSOTemplateDocerSaveRecord">
    <vt:lpwstr>eyJoZGlkIjoiMzliYjg3ZmNhN2I5NmJhNDA5MjJjZjZmNGI5ZDQ4NjEiLCJ1c2VySWQiOiIxMDY3ODAxMTY4In0=</vt:lpwstr>
  </property>
</Properties>
</file>