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黑体" w:hAnsi="黑体" w:eastAsia="黑体"/>
          <w:sz w:val="32"/>
          <w:szCs w:val="32"/>
        </w:rPr>
      </w:pPr>
      <w:r>
        <w:rPr>
          <w:rFonts w:hint="eastAsia" w:ascii="黑体" w:hAnsi="黑体" w:eastAsia="黑体"/>
          <w:sz w:val="32"/>
          <w:szCs w:val="32"/>
        </w:rPr>
        <w:t>附件4</w:t>
      </w:r>
    </w:p>
    <w:p>
      <w:pPr>
        <w:keepNext w:val="0"/>
        <w:keepLines w:val="0"/>
        <w:pageBreakBefore w:val="0"/>
        <w:kinsoku/>
        <w:wordWrap/>
        <w:overflowPunct/>
        <w:topLinePunct/>
        <w:autoSpaceDE/>
        <w:autoSpaceDN/>
        <w:bidi w:val="0"/>
        <w:snapToGrid/>
        <w:spacing w:line="560" w:lineRule="exact"/>
        <w:ind w:left="0" w:leftChars="0" w:right="0" w:rightChars="0"/>
        <w:jc w:val="center"/>
        <w:textAlignment w:val="auto"/>
        <w:rPr>
          <w:rFonts w:ascii="宋体" w:hAnsi="宋体" w:cs="宋体"/>
          <w:b/>
          <w:bCs/>
          <w:sz w:val="44"/>
          <w:szCs w:val="44"/>
        </w:rPr>
      </w:pPr>
    </w:p>
    <w:p>
      <w:pPr>
        <w:keepNext w:val="0"/>
        <w:keepLines w:val="0"/>
        <w:pageBreakBefore w:val="0"/>
        <w:kinsoku/>
        <w:wordWrap/>
        <w:overflowPunct/>
        <w:topLinePunct/>
        <w:autoSpaceDE/>
        <w:autoSpaceDN/>
        <w:bidi w:val="0"/>
        <w:snapToGrid/>
        <w:spacing w:line="560" w:lineRule="exact"/>
        <w:ind w:left="0" w:leftChars="0" w:right="0" w:rightChars="0"/>
        <w:jc w:val="center"/>
        <w:textAlignment w:val="auto"/>
        <w:rPr>
          <w:rFonts w:ascii="宋体" w:hAnsi="宋体" w:cs="宋体"/>
          <w:b/>
          <w:bCs/>
          <w:sz w:val="44"/>
          <w:szCs w:val="44"/>
        </w:rPr>
      </w:pPr>
      <w:r>
        <w:rPr>
          <w:rFonts w:hint="eastAsia" w:ascii="宋体" w:hAnsi="宋体" w:cs="宋体"/>
          <w:b/>
          <w:bCs/>
          <w:sz w:val="44"/>
          <w:szCs w:val="44"/>
        </w:rPr>
        <w:t>石家庄市妇女联合会部门</w:t>
      </w:r>
    </w:p>
    <w:p>
      <w:pPr>
        <w:keepNext w:val="0"/>
        <w:keepLines w:val="0"/>
        <w:pageBreakBefore w:val="0"/>
        <w:kinsoku/>
        <w:wordWrap/>
        <w:overflowPunct/>
        <w:topLinePunct/>
        <w:autoSpaceDE/>
        <w:autoSpaceDN/>
        <w:bidi w:val="0"/>
        <w:snapToGrid/>
        <w:spacing w:line="560" w:lineRule="exact"/>
        <w:ind w:left="0" w:leftChars="0" w:right="0" w:rightChars="0"/>
        <w:jc w:val="center"/>
        <w:textAlignment w:val="auto"/>
        <w:rPr>
          <w:rFonts w:ascii="宋体" w:hAnsi="宋体" w:cs="宋体"/>
          <w:b/>
          <w:bCs/>
          <w:sz w:val="44"/>
          <w:szCs w:val="44"/>
        </w:rPr>
      </w:pPr>
      <w:r>
        <w:rPr>
          <w:rFonts w:hint="eastAsia" w:ascii="宋体" w:hAnsi="宋体" w:cs="宋体"/>
          <w:b/>
          <w:bCs/>
          <w:sz w:val="44"/>
          <w:szCs w:val="44"/>
        </w:rPr>
        <w:t>2025年度整体支出绩效自评报告</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仿宋" w:hAnsi="仿宋" w:eastAsia="仿宋"/>
          <w:sz w:val="32"/>
          <w:szCs w:val="32"/>
        </w:rPr>
      </w:pP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贯彻落实市委市政府《关于全面落实预算绩效管理的实施意见》（石发﹝2019﹞8号）文件精神，遵循“科学性、规范性、客观性和公正性”的原则，对石家庄市妇女联合会部门2025年整体支出情况实施了财政支出绩效自评价，形成本评价报告。</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（一）部门概况</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cs="仿宋"/>
          <w:sz w:val="32"/>
          <w:szCs w:val="32"/>
        </w:rPr>
        <w:t xml:space="preserve">   </w:t>
      </w:r>
      <w:r>
        <w:rPr>
          <w:rFonts w:hint="eastAsia" w:ascii="仿宋" w:hAnsi="仿宋" w:eastAsia="仿宋"/>
          <w:sz w:val="32"/>
          <w:szCs w:val="32"/>
        </w:rPr>
        <w:t xml:space="preserve"> 1.部门职责：</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（一）领导全市妇女儿童工作，团结动员妇女群众投身改革开放和经济建设、政治建设、文化建设、社会建设、生态文明建设，为维护改革发展稳定大局服务，为全面推进中国式现代化贡献力量。</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二）教育引导广大妇女践行社会主义核心价值观，宣传马克思主义妇女观和男女平等思想，教育、引导妇女树立正确的世界观、人生观、价值观，弘扬“自尊、自信、自立、自强”精神，提高妇女素质，促进妇女人才成长。</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三）代表妇女参与管理国家和社会事务、管理经济和文化事业，参与民主决策、民主管理、民主监督，参与起草有关地方性法规、政府规章草案；开展对涉及妇女切身利益的热点、难点问题的研究，及时向市委、市政府反映社情民意，提出对策建议。</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（四）维护妇女儿童合法权益，倾听妇女意见，反映妇女诉求，向有关部门和单位提出意见建议，要求并协助有关部门和单位查处侵害妇女儿童权益的行为，为受侵害的妇女儿童提供帮助。</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五）坚持为妇女儿童服务、为基层服务，加强与社会各界联系，协调推动全社会为妇女儿童办实事、办好事，促进妇女儿童事业发展。开展家庭文明建设，发挥妇女在家庭生活中的独特作用，培育家庭家教家风文化。</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六）指导县（市、区）妇联依据《章程》和妇女代表大会的任务开展工作；联系并指导团体会员工作；负责同各省市、港澳台及海外华侨华人妇女、妇女组织的交流合作；巩固和扩大各族各界妇女的大团结，促进祖国统一。</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（七）组织编制、推动实施石家庄市妇女儿童发展规划并开展监测评估；指导各县(市、区)妇女儿童发展规划相关工作。</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（八）完成市委、市政府和省妇联交办的其他任务。</w:t>
      </w:r>
    </w:p>
    <w:p>
      <w:pPr>
        <w:keepNext w:val="0"/>
        <w:keepLines w:val="0"/>
        <w:pageBreakBefore w:val="0"/>
        <w:kinsoku/>
        <w:wordWrap/>
        <w:overflowPunct/>
        <w:topLinePunct/>
        <w:autoSpaceDE/>
        <w:autoSpaceDN/>
        <w:bidi w:val="0"/>
        <w:snapToGrid/>
        <w:spacing w:line="560" w:lineRule="exact"/>
        <w:ind w:left="0" w:leftChars="0" w:right="0" w:rightChars="0"/>
        <w:textAlignment w:val="auto"/>
      </w:pPr>
      <w:r>
        <w:rPr>
          <w:rFonts w:hint="eastAsia" w:ascii="仿宋" w:hAnsi="仿宋" w:eastAsia="仿宋" w:cs="仿宋"/>
          <w:sz w:val="32"/>
          <w:szCs w:val="32"/>
        </w:rPr>
        <w:t xml:space="preserve">    2.部门机构设置情况</w:t>
      </w:r>
    </w:p>
    <w:tbl>
      <w:tblPr>
        <w:tblStyle w:val="8"/>
        <w:tblpPr w:leftFromText="180" w:rightFromText="180" w:vertAnchor="text" w:horzAnchor="page" w:tblpX="1567" w:tblpY="58"/>
        <w:tblOverlap w:val="never"/>
        <w:tblW w:w="933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7"/>
        <w:gridCol w:w="1834"/>
        <w:gridCol w:w="1508"/>
        <w:gridCol w:w="31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8" w:hRule="atLeast"/>
          <w:tblHeader/>
        </w:trPr>
        <w:tc>
          <w:tcPr>
            <w:tcW w:w="2847" w:type="dxa"/>
            <w:vAlign w:val="center"/>
          </w:tcPr>
          <w:p>
            <w:pPr>
              <w:pStyle w:val="9"/>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单位名称</w:t>
            </w:r>
          </w:p>
        </w:tc>
        <w:tc>
          <w:tcPr>
            <w:tcW w:w="1834" w:type="dxa"/>
            <w:vAlign w:val="center"/>
          </w:tcPr>
          <w:p>
            <w:pPr>
              <w:pStyle w:val="9"/>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单位性质</w:t>
            </w:r>
          </w:p>
        </w:tc>
        <w:tc>
          <w:tcPr>
            <w:tcW w:w="1508" w:type="dxa"/>
            <w:vAlign w:val="center"/>
          </w:tcPr>
          <w:p>
            <w:pPr>
              <w:pStyle w:val="9"/>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单位规格</w:t>
            </w:r>
          </w:p>
        </w:tc>
        <w:tc>
          <w:tcPr>
            <w:tcW w:w="3149" w:type="dxa"/>
            <w:vAlign w:val="center"/>
          </w:tcPr>
          <w:p>
            <w:pPr>
              <w:pStyle w:val="9"/>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18" w:hRule="atLeast"/>
        </w:trPr>
        <w:tc>
          <w:tcPr>
            <w:tcW w:w="2847" w:type="dxa"/>
            <w:vAlign w:val="center"/>
          </w:tcPr>
          <w:p>
            <w:pPr>
              <w:pStyle w:val="10"/>
              <w:keepNext w:val="0"/>
              <w:keepLines w:val="0"/>
              <w:pageBreakBefore w:val="0"/>
              <w:kinsoku/>
              <w:wordWrap/>
              <w:overflowPunct/>
              <w:topLinePunct/>
              <w:autoSpaceDE/>
              <w:autoSpaceDN/>
              <w:bidi w:val="0"/>
              <w:snapToGrid/>
              <w:spacing w:line="560" w:lineRule="exact"/>
              <w:ind w:left="0" w:leftChars="0" w:right="0" w:rightChars="0"/>
              <w:jc w:val="center"/>
              <w:textAlignment w:val="auto"/>
              <w:rPr>
                <w:rFonts w:ascii="仿宋" w:hAnsi="仿宋" w:eastAsia="仿宋" w:cs="仿宋"/>
              </w:rPr>
            </w:pPr>
            <w:r>
              <w:rPr>
                <w:rFonts w:hint="eastAsia" w:ascii="仿宋" w:hAnsi="仿宋" w:eastAsia="仿宋" w:cs="仿宋"/>
              </w:rPr>
              <w:t>石家庄市妇女联合会</w:t>
            </w:r>
          </w:p>
        </w:tc>
        <w:tc>
          <w:tcPr>
            <w:tcW w:w="1834" w:type="dxa"/>
            <w:vAlign w:val="center"/>
          </w:tcPr>
          <w:p>
            <w:pPr>
              <w:pStyle w:val="11"/>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行政</w:t>
            </w:r>
          </w:p>
        </w:tc>
        <w:tc>
          <w:tcPr>
            <w:tcW w:w="1508" w:type="dxa"/>
            <w:vAlign w:val="center"/>
          </w:tcPr>
          <w:p>
            <w:pPr>
              <w:pStyle w:val="11"/>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正处（县）级</w:t>
            </w:r>
          </w:p>
        </w:tc>
        <w:tc>
          <w:tcPr>
            <w:tcW w:w="3149" w:type="dxa"/>
            <w:vAlign w:val="center"/>
          </w:tcPr>
          <w:p>
            <w:pPr>
              <w:pStyle w:val="11"/>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72" w:hRule="atLeast"/>
        </w:trPr>
        <w:tc>
          <w:tcPr>
            <w:tcW w:w="2847" w:type="dxa"/>
            <w:vAlign w:val="center"/>
          </w:tcPr>
          <w:p>
            <w:pPr>
              <w:pStyle w:val="10"/>
              <w:keepNext w:val="0"/>
              <w:keepLines w:val="0"/>
              <w:pageBreakBefore w:val="0"/>
              <w:kinsoku/>
              <w:wordWrap/>
              <w:overflowPunct/>
              <w:topLinePunct/>
              <w:autoSpaceDE/>
              <w:autoSpaceDN/>
              <w:bidi w:val="0"/>
              <w:snapToGrid/>
              <w:spacing w:line="560" w:lineRule="exact"/>
              <w:ind w:left="0" w:leftChars="0" w:right="0" w:rightChars="0"/>
              <w:jc w:val="center"/>
              <w:textAlignment w:val="auto"/>
              <w:rPr>
                <w:rFonts w:ascii="仿宋" w:hAnsi="仿宋" w:eastAsia="仿宋" w:cs="仿宋"/>
              </w:rPr>
            </w:pPr>
            <w:r>
              <w:rPr>
                <w:rFonts w:hint="eastAsia" w:ascii="仿宋" w:hAnsi="仿宋" w:eastAsia="仿宋" w:cs="仿宋"/>
              </w:rPr>
              <w:t>石家庄市妇女儿童活动中心</w:t>
            </w:r>
          </w:p>
        </w:tc>
        <w:tc>
          <w:tcPr>
            <w:tcW w:w="1834" w:type="dxa"/>
            <w:vAlign w:val="center"/>
          </w:tcPr>
          <w:p>
            <w:pPr>
              <w:pStyle w:val="11"/>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事业</w:t>
            </w:r>
          </w:p>
        </w:tc>
        <w:tc>
          <w:tcPr>
            <w:tcW w:w="1508" w:type="dxa"/>
            <w:vAlign w:val="center"/>
          </w:tcPr>
          <w:p>
            <w:pPr>
              <w:pStyle w:val="11"/>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副处（县）级</w:t>
            </w:r>
          </w:p>
        </w:tc>
        <w:tc>
          <w:tcPr>
            <w:tcW w:w="3149" w:type="dxa"/>
            <w:vAlign w:val="center"/>
          </w:tcPr>
          <w:p>
            <w:pPr>
              <w:pStyle w:val="11"/>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rPr>
            </w:pPr>
            <w:r>
              <w:rPr>
                <w:rFonts w:hint="eastAsia" w:ascii="仿宋" w:hAnsi="仿宋" w:eastAsia="仿宋" w:cs="仿宋"/>
              </w:rPr>
              <w:t>财政性资金定额或定项补助</w:t>
            </w:r>
          </w:p>
        </w:tc>
      </w:tr>
    </w:tbl>
    <w:p>
      <w:pPr>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sz w:val="32"/>
          <w:szCs w:val="32"/>
        </w:rPr>
      </w:pPr>
      <w:r>
        <w:rPr>
          <w:rFonts w:hint="eastAsia" w:ascii="仿宋" w:hAnsi="仿宋" w:eastAsia="仿宋" w:cs="仿宋"/>
          <w:sz w:val="32"/>
          <w:szCs w:val="32"/>
        </w:rPr>
        <w:t xml:space="preserve">    3.部门人员情况</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_GB2312" w:hAnsi="仿宋" w:eastAsia="仿宋_GB2312"/>
          <w:sz w:val="32"/>
          <w:szCs w:val="32"/>
        </w:rPr>
        <w:t xml:space="preserve">   </w:t>
      </w:r>
      <w:r>
        <w:rPr>
          <w:rFonts w:hint="eastAsia" w:ascii="仿宋" w:hAnsi="仿宋" w:eastAsia="仿宋"/>
          <w:sz w:val="32"/>
          <w:szCs w:val="32"/>
        </w:rPr>
        <w:t>截止2025年12月31日，我部门实有人员79人，其中在职44人（其中：公务员22人，事业管理人员和专业技术人员15人，工勤人员7人），离休2人，退休33人。</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ascii="仿宋" w:hAnsi="仿宋" w:eastAsia="仿宋" w:cs="仿宋"/>
          <w:sz w:val="32"/>
          <w:szCs w:val="32"/>
        </w:rPr>
      </w:pPr>
      <w:r>
        <w:rPr>
          <w:rFonts w:hint="eastAsia" w:ascii="仿宋" w:hAnsi="仿宋" w:eastAsia="仿宋" w:cs="仿宋"/>
          <w:sz w:val="32"/>
          <w:szCs w:val="32"/>
        </w:rPr>
        <w:t xml:space="preserve">    4、资产情况</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_GB2312" w:eastAsia="仿宋_GB2312"/>
          <w:kern w:val="0"/>
          <w:sz w:val="32"/>
          <w:lang w:val="en-US" w:eastAsia="zh-CN"/>
        </w:rPr>
        <w:t xml:space="preserve">  </w:t>
      </w:r>
      <w:r>
        <w:rPr>
          <w:rFonts w:hint="eastAsia" w:ascii="仿宋" w:hAnsi="仿宋" w:eastAsia="仿宋"/>
          <w:sz w:val="32"/>
          <w:szCs w:val="32"/>
          <w:lang w:val="en-US" w:eastAsia="zh-CN"/>
        </w:rPr>
        <w:t xml:space="preserve">  </w:t>
      </w:r>
      <w:r>
        <w:rPr>
          <w:rFonts w:hint="eastAsia" w:ascii="仿宋" w:hAnsi="仿宋" w:eastAsia="仿宋"/>
          <w:sz w:val="32"/>
          <w:szCs w:val="32"/>
        </w:rPr>
        <w:t>截止2025年12月31日，市妇联本级资产总计95.63万元，负债和净资产总计95.63万元，其中负债合计48.69万元，净资产合计46.93万元。市妇女儿童活动中心资产总计307.72万元，负债和净资产总计307.72万元，其中负责合计15.42万元，净资产合计292.30万元。</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（二）部门收支预决算情况</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2025年度，全年预算收入1541.52万元，其中财政拨款收入为1431.99万元，事业收入109.53万元。全年预算支出1692.82万元，基本支出1264.82万元，其中人员经费1158.82万元，日常公用经费106万元；项目支出428万元。</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2025年度，全年决算收入总计1541.52万元，其中一般公共预算财政拨款收入1431.99万元，事业收入109.53万元。全年决算支出总计1609.78万元，基本支出1264.82万元，其中：人员经费支出1158.82万元，日常公用经费支出106万元，项目支出344.96万元。</w:t>
      </w:r>
    </w:p>
    <w:p>
      <w:pPr>
        <w:keepNext w:val="0"/>
        <w:keepLines w:val="0"/>
        <w:pageBreakBefore w:val="0"/>
        <w:kinsoku/>
        <w:wordWrap/>
        <w:overflowPunct/>
        <w:topLinePunct/>
        <w:autoSpaceDE/>
        <w:autoSpaceDN/>
        <w:bidi w:val="0"/>
        <w:adjustRightInd w:val="0"/>
        <w:snapToGrid/>
        <w:spacing w:line="560" w:lineRule="exact"/>
        <w:ind w:left="0" w:leftChars="0" w:right="0" w:rightChars="0"/>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（三）部门整体支出绩效目标、指标</w:t>
      </w:r>
    </w:p>
    <w:p>
      <w:pPr>
        <w:keepNext w:val="0"/>
        <w:keepLines w:val="0"/>
        <w:pageBreakBefore w:val="0"/>
        <w:kinsoku/>
        <w:wordWrap/>
        <w:overflowPunct/>
        <w:topLinePunct/>
        <w:autoSpaceDE/>
        <w:autoSpaceDN/>
        <w:bidi w:val="0"/>
        <w:snapToGrid/>
        <w:spacing w:line="560" w:lineRule="exact"/>
        <w:ind w:left="0" w:leftChars="0" w:right="0" w:rightChars="0"/>
        <w:textAlignment w:val="auto"/>
        <w:outlineLvl w:val="0"/>
        <w:rPr>
          <w:rFonts w:ascii="仿宋" w:hAnsi="仿宋" w:eastAsia="仿宋" w:cs="仿宋"/>
          <w:sz w:val="32"/>
          <w:szCs w:val="32"/>
        </w:rPr>
      </w:pPr>
      <w:r>
        <w:rPr>
          <w:rFonts w:hint="eastAsia" w:ascii="仿宋" w:hAnsi="仿宋" w:eastAsia="仿宋" w:cs="仿宋"/>
          <w:spacing w:val="3"/>
          <w:sz w:val="32"/>
          <w:szCs w:val="32"/>
        </w:rPr>
        <w:t xml:space="preserve">    1、总体绩效目</w:t>
      </w:r>
      <w:r>
        <w:rPr>
          <w:rFonts w:hint="eastAsia" w:ascii="仿宋" w:hAnsi="仿宋" w:eastAsia="仿宋" w:cs="仿宋"/>
          <w:sz w:val="32"/>
          <w:szCs w:val="32"/>
        </w:rPr>
        <w:t>标</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坚持以习近平新时代中国特色社会主义思想为指导，贯彻落实党中央关于妇女儿童工作的方针政策和省委、市委部署要求，坚持围绕中心、服务大局，推进妇联事业实现全面发展。着力用好妇女之家平台，让妇女群众在身边找得到妇联；着力开展深化家庭文明建设，充分发挥妇女在家庭生活中</w:t>
      </w:r>
      <w:r>
        <w:rPr>
          <w:rFonts w:hint="eastAsia" w:ascii="仿宋" w:hAnsi="仿宋" w:eastAsia="仿宋"/>
          <w:sz w:val="32"/>
          <w:szCs w:val="32"/>
          <w:lang w:eastAsia="zh-CN"/>
        </w:rPr>
        <w:t>的</w:t>
      </w:r>
      <w:r>
        <w:rPr>
          <w:rFonts w:hint="eastAsia" w:ascii="仿宋" w:hAnsi="仿宋" w:eastAsia="仿宋"/>
          <w:sz w:val="32"/>
          <w:szCs w:val="32"/>
        </w:rPr>
        <w:t>独特作用；着力推进美丽庭院</w:t>
      </w:r>
      <w:r>
        <w:rPr>
          <w:rFonts w:hint="eastAsia" w:ascii="仿宋" w:hAnsi="仿宋" w:eastAsia="仿宋"/>
          <w:sz w:val="32"/>
          <w:szCs w:val="32"/>
          <w:lang w:eastAsia="zh-CN"/>
        </w:rPr>
        <w:t>建设</w:t>
      </w:r>
      <w:r>
        <w:rPr>
          <w:rFonts w:hint="eastAsia" w:ascii="仿宋" w:hAnsi="仿宋" w:eastAsia="仿宋"/>
          <w:sz w:val="32"/>
          <w:szCs w:val="32"/>
        </w:rPr>
        <w:t>，</w:t>
      </w:r>
      <w:r>
        <w:rPr>
          <w:rFonts w:hint="eastAsia" w:ascii="仿宋" w:hAnsi="仿宋" w:eastAsia="仿宋"/>
          <w:sz w:val="32"/>
          <w:szCs w:val="32"/>
          <w:lang w:eastAsia="zh-CN"/>
        </w:rPr>
        <w:t>助力乡村振兴</w:t>
      </w:r>
      <w:r>
        <w:rPr>
          <w:rFonts w:hint="eastAsia" w:ascii="仿宋" w:hAnsi="仿宋" w:eastAsia="仿宋"/>
          <w:sz w:val="32"/>
          <w:szCs w:val="32"/>
        </w:rPr>
        <w:t>；着力开展妇女创业就业技能帮扶，开展</w:t>
      </w:r>
      <w:r>
        <w:rPr>
          <w:rFonts w:hint="eastAsia" w:ascii="仿宋" w:hAnsi="仿宋" w:eastAsia="仿宋"/>
          <w:sz w:val="32"/>
          <w:szCs w:val="32"/>
          <w:lang w:eastAsia="zh-CN"/>
        </w:rPr>
        <w:t>巾帼</w:t>
      </w:r>
      <w:r>
        <w:rPr>
          <w:rFonts w:hint="eastAsia" w:ascii="仿宋" w:hAnsi="仿宋" w:eastAsia="仿宋"/>
          <w:sz w:val="32"/>
          <w:szCs w:val="32"/>
        </w:rPr>
        <w:t>家政及家庭手工培训工作；着力维护妇女儿童合法权益，有效开展婚姻家庭纠纷调解工作；着力开展儿童友好家园建设提升工作， 增强儿童友好家园的活力和凝聚力。妇儿中心推进校外教育、家庭教育及妇女儿童之家工作进一为妇女儿童提供有益身心健康的文化教育娱乐活动。</w:t>
      </w:r>
    </w:p>
    <w:p>
      <w:pPr>
        <w:keepNext w:val="0"/>
        <w:keepLines w:val="0"/>
        <w:pageBreakBefore w:val="0"/>
        <w:kinsoku/>
        <w:wordWrap/>
        <w:overflowPunct/>
        <w:topLinePunct/>
        <w:autoSpaceDE/>
        <w:autoSpaceDN/>
        <w:bidi w:val="0"/>
        <w:snapToGrid/>
        <w:spacing w:line="560" w:lineRule="exact"/>
        <w:ind w:left="0" w:leftChars="0" w:right="0" w:rightChars="0"/>
        <w:textAlignment w:val="auto"/>
        <w:outlineLvl w:val="0"/>
        <w:rPr>
          <w:rFonts w:ascii="仿宋" w:hAnsi="仿宋" w:eastAsia="仿宋" w:cs="仿宋"/>
          <w:sz w:val="32"/>
          <w:szCs w:val="32"/>
        </w:rPr>
      </w:pPr>
      <w:r>
        <w:rPr>
          <w:rFonts w:hint="eastAsia" w:ascii="仿宋" w:hAnsi="仿宋" w:eastAsia="仿宋" w:cs="仿宋"/>
          <w:sz w:val="32"/>
          <w:szCs w:val="32"/>
        </w:rPr>
        <w:t xml:space="preserve">    2、分项绩效目标</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cs="仿宋"/>
          <w:spacing w:val="3"/>
          <w:sz w:val="32"/>
          <w:szCs w:val="32"/>
          <w:lang w:val="en-US" w:eastAsia="zh-CN"/>
        </w:rPr>
        <w:t xml:space="preserve">   </w:t>
      </w:r>
      <w:r>
        <w:rPr>
          <w:rFonts w:hint="eastAsia" w:ascii="仿宋" w:hAnsi="仿宋" w:eastAsia="仿宋"/>
          <w:sz w:val="32"/>
          <w:szCs w:val="32"/>
        </w:rPr>
        <w:t>（一）妇女儿童之家项目建设</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绩效目标：在农村（社区）及妇女集中的领域建设妇女儿童之家，打造示范妇女儿童之家，拓展功能，丰富内容，切实把妇联组织建成可信赖依靠的妇女之家。</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绩效指标：建设规范的示范妇女</w:t>
      </w:r>
      <w:r>
        <w:rPr>
          <w:rFonts w:hint="eastAsia" w:ascii="仿宋" w:hAnsi="仿宋" w:eastAsia="仿宋"/>
          <w:sz w:val="32"/>
          <w:szCs w:val="32"/>
          <w:lang w:eastAsia="zh-CN"/>
        </w:rPr>
        <w:t>儿童</w:t>
      </w:r>
      <w:r>
        <w:rPr>
          <w:rFonts w:hint="eastAsia" w:ascii="仿宋" w:hAnsi="仿宋" w:eastAsia="仿宋"/>
          <w:sz w:val="32"/>
          <w:szCs w:val="32"/>
        </w:rPr>
        <w:t>之家8个，发挥妇女讲习所（培训室）、阅览室、室外宣传橱窗功能。</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（二）深化家庭文明建设</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绩效目标：充分积极回应广大家庭的新期盼新需求，不断激活家庭家教家风新动能，持续营造家家幸福安康的良好氛围。</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绩效指标：围绕家庭文明建设举办相关特色主题活动， 持续开展“知子花开， 乐享‘石光’家庭教育指导服务工作，培训市级家庭教育指导志愿者。</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（三）延伸“美丽庭院”</w:t>
      </w:r>
      <w:r>
        <w:rPr>
          <w:rFonts w:hint="eastAsia" w:ascii="仿宋" w:hAnsi="仿宋" w:eastAsia="仿宋"/>
          <w:sz w:val="32"/>
          <w:szCs w:val="32"/>
          <w:lang w:eastAsia="zh-CN"/>
        </w:rPr>
        <w:t>建设</w:t>
      </w:r>
      <w:r>
        <w:rPr>
          <w:rFonts w:hint="eastAsia" w:ascii="仿宋" w:hAnsi="仿宋" w:eastAsia="仿宋"/>
          <w:sz w:val="32"/>
          <w:szCs w:val="32"/>
        </w:rPr>
        <w:t>工作覆盖面</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绩效目标：持续开展美丽庭院</w:t>
      </w:r>
      <w:r>
        <w:rPr>
          <w:rFonts w:hint="eastAsia" w:ascii="仿宋" w:hAnsi="仿宋" w:eastAsia="仿宋"/>
          <w:sz w:val="32"/>
          <w:szCs w:val="32"/>
          <w:lang w:eastAsia="zh-CN"/>
        </w:rPr>
        <w:t>建设</w:t>
      </w:r>
      <w:r>
        <w:rPr>
          <w:rFonts w:hint="eastAsia" w:ascii="仿宋" w:hAnsi="仿宋" w:eastAsia="仿宋"/>
          <w:sz w:val="32"/>
          <w:szCs w:val="32"/>
        </w:rPr>
        <w:t>，巩固提升现有美丽庭院户，</w:t>
      </w:r>
      <w:r>
        <w:rPr>
          <w:rFonts w:hint="eastAsia" w:ascii="仿宋" w:hAnsi="仿宋" w:eastAsia="仿宋"/>
          <w:sz w:val="32"/>
          <w:szCs w:val="32"/>
          <w:lang w:eastAsia="zh-CN"/>
        </w:rPr>
        <w:t>建设</w:t>
      </w:r>
      <w:r>
        <w:rPr>
          <w:rFonts w:hint="eastAsia" w:ascii="仿宋" w:hAnsi="仿宋" w:eastAsia="仿宋"/>
          <w:sz w:val="32"/>
          <w:szCs w:val="32"/>
        </w:rPr>
        <w:t>更多新的美丽庭院示范户，让美丽庭院成为农村人居环境整治提升的最美音符。</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绩效指标：对现有美丽庭院户提升，围绕“五美”标准，提升</w:t>
      </w:r>
      <w:r>
        <w:rPr>
          <w:rFonts w:hint="eastAsia" w:ascii="仿宋" w:hAnsi="仿宋" w:eastAsia="仿宋"/>
          <w:sz w:val="32"/>
          <w:szCs w:val="32"/>
          <w:lang w:eastAsia="zh-CN"/>
        </w:rPr>
        <w:t>建设</w:t>
      </w:r>
      <w:r>
        <w:rPr>
          <w:rFonts w:hint="eastAsia" w:ascii="仿宋" w:hAnsi="仿宋" w:eastAsia="仿宋"/>
          <w:sz w:val="32"/>
          <w:szCs w:val="32"/>
        </w:rPr>
        <w:t>水平。大力</w:t>
      </w:r>
      <w:r>
        <w:rPr>
          <w:rFonts w:hint="eastAsia" w:ascii="仿宋" w:hAnsi="仿宋" w:eastAsia="仿宋"/>
          <w:sz w:val="32"/>
          <w:szCs w:val="32"/>
          <w:lang w:eastAsia="zh-CN"/>
        </w:rPr>
        <w:t>建设</w:t>
      </w:r>
      <w:r>
        <w:rPr>
          <w:rFonts w:hint="eastAsia" w:ascii="仿宋" w:hAnsi="仿宋" w:eastAsia="仿宋"/>
          <w:sz w:val="32"/>
          <w:szCs w:val="32"/>
        </w:rPr>
        <w:t>新的美丽庭院户，</w:t>
      </w:r>
      <w:r>
        <w:rPr>
          <w:rFonts w:hint="eastAsia" w:ascii="仿宋" w:hAnsi="仿宋" w:eastAsia="仿宋"/>
          <w:sz w:val="32"/>
          <w:szCs w:val="32"/>
          <w:lang w:eastAsia="zh-CN"/>
        </w:rPr>
        <w:t>建设</w:t>
      </w:r>
      <w:r>
        <w:rPr>
          <w:rFonts w:hint="eastAsia" w:ascii="仿宋" w:hAnsi="仿宋" w:eastAsia="仿宋"/>
          <w:sz w:val="32"/>
          <w:szCs w:val="32"/>
        </w:rPr>
        <w:t>美丽庭院 3 万户、精品庭院1.5万户，</w:t>
      </w:r>
      <w:r>
        <w:rPr>
          <w:rFonts w:hint="eastAsia" w:ascii="仿宋" w:hAnsi="仿宋" w:eastAsia="仿宋"/>
          <w:sz w:val="32"/>
          <w:szCs w:val="32"/>
          <w:lang w:eastAsia="zh-CN"/>
        </w:rPr>
        <w:t>助力乡村振兴</w:t>
      </w:r>
      <w:r>
        <w:rPr>
          <w:rFonts w:hint="eastAsia" w:ascii="仿宋" w:hAnsi="仿宋" w:eastAsia="仿宋"/>
          <w:sz w:val="32"/>
          <w:szCs w:val="32"/>
        </w:rPr>
        <w:t>。</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（四）开展巾帼创业创新系列活动</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绩效目标：大力发展</w:t>
      </w:r>
      <w:r>
        <w:rPr>
          <w:rFonts w:hint="eastAsia" w:ascii="仿宋" w:hAnsi="仿宋" w:eastAsia="仿宋"/>
          <w:sz w:val="32"/>
          <w:szCs w:val="32"/>
          <w:lang w:eastAsia="zh-CN"/>
        </w:rPr>
        <w:t>巾帼</w:t>
      </w:r>
      <w:r>
        <w:rPr>
          <w:rFonts w:hint="eastAsia" w:ascii="仿宋" w:hAnsi="仿宋" w:eastAsia="仿宋"/>
          <w:sz w:val="32"/>
          <w:szCs w:val="32"/>
        </w:rPr>
        <w:t>家政、家庭手工、</w:t>
      </w:r>
      <w:r>
        <w:rPr>
          <w:rFonts w:hint="eastAsia" w:ascii="仿宋" w:hAnsi="仿宋" w:eastAsia="仿宋"/>
          <w:sz w:val="32"/>
          <w:szCs w:val="32"/>
          <w:lang w:eastAsia="zh-CN"/>
        </w:rPr>
        <w:t>巾帼</w:t>
      </w:r>
      <w:r>
        <w:rPr>
          <w:rFonts w:hint="eastAsia" w:ascii="仿宋" w:hAnsi="仿宋" w:eastAsia="仿宋"/>
          <w:sz w:val="32"/>
          <w:szCs w:val="32"/>
        </w:rPr>
        <w:t>农业等产业。通过举办家政、手工等妇女职业技能培训，带动更多妇女创业就业。</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绩效指标：开展家政、手工等妇女技能培训，开展家政进社区（社区）活动，举办家政手工发展服务培训。</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（五）加大普法宣传力度，提高妇女依法维护自身权益的能力</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绩效目标：开展三八维权周、11. 25 反家暴宣传周、 12. 1 防艾宣传及12.4 宪法普法宣传工作，邀请顾问开展现场咨询，各级妇联组织在全市掀起向广大妇女群众普法宣传热潮。</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绩效指标：开展基层干部和婚姻家庭纠纷调解技巧培训班1次，不少于50人，进行婚姻家庭纠纷调解工作，全年争取调解不少于600件。</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（六）开展儿童友好家园建设提升工作</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绩效目标：对儿童友好家园建设进行巩固提升，完善基础设施、开展宣传活动，增强儿童友好家园的活力和凝聚力。</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绩效指标：提升儿童友好家园运行能力，在 “六一” “十一” 等时间节点开展特色主题活动及安全教育、儿童关爱等系列活动不少于20场。</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（七）推进校外教育、家庭教育及妇女儿童之家工作进一步开展</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目标：充分发挥校外教育作用，积极开办适合少年儿童需要的活动项目，开展各项艺术兴趣培训课程，提高孩子们的课余生活，培养孩子们动手能力。通过家庭教育及妇女儿童之家建设，丰富活动参与人员业余文化生活。</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sz w:val="32"/>
          <w:szCs w:val="32"/>
        </w:rPr>
        <w:t xml:space="preserve">    绩效指标：组织青少年校外及巾帽兴趣培训班教学活动，年培训开班数量不低于75个教学班，计划组织培训学员650余人次。让广大少年儿童在喜闻乐见的各项活动中提高思想道德、文化知识、艺术体育等全方面的素质。</w:t>
      </w:r>
    </w:p>
    <w:p>
      <w:pPr>
        <w:keepNext w:val="0"/>
        <w:keepLines w:val="0"/>
        <w:pageBreakBefore w:val="0"/>
        <w:kinsoku/>
        <w:wordWrap/>
        <w:overflowPunct/>
        <w:topLinePunct/>
        <w:autoSpaceDE/>
        <w:autoSpaceDN/>
        <w:bidi w:val="0"/>
        <w:snapToGrid/>
        <w:spacing w:line="560" w:lineRule="exact"/>
        <w:ind w:left="0" w:leftChars="0" w:right="0" w:rightChars="0"/>
        <w:textAlignment w:val="auto"/>
        <w:outlineLvl w:val="0"/>
        <w:rPr>
          <w:rFonts w:ascii="黑体" w:hAnsi="黑体" w:eastAsia="黑体"/>
          <w:sz w:val="32"/>
          <w:szCs w:val="32"/>
        </w:rPr>
      </w:pPr>
      <w:r>
        <w:rPr>
          <w:rFonts w:hint="eastAsia" w:ascii="黑体" w:hAnsi="黑体" w:eastAsia="黑体"/>
          <w:sz w:val="32"/>
          <w:szCs w:val="32"/>
          <w:lang w:val="en-US" w:eastAsia="zh-CN"/>
        </w:rPr>
        <w:t xml:space="preserve">    </w:t>
      </w:r>
      <w:r>
        <w:rPr>
          <w:rFonts w:hint="eastAsia" w:ascii="黑体" w:hAnsi="黑体" w:eastAsia="黑体"/>
          <w:sz w:val="32"/>
          <w:szCs w:val="32"/>
        </w:rPr>
        <w:t>二、自评工作开展情况</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ascii="楷体" w:hAnsi="楷体" w:eastAsia="楷体" w:cs="楷体_GB2312"/>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（一）自评的组织工作</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 xml:space="preserve"> </w:t>
      </w:r>
      <w:r>
        <w:rPr>
          <w:rFonts w:hint="eastAsia" w:ascii="仿宋" w:hAnsi="仿宋" w:eastAsia="仿宋"/>
          <w:sz w:val="32"/>
          <w:szCs w:val="32"/>
        </w:rPr>
        <w:t>为完成好此次部门整体支出绩效自评工作，成立了由主管主席为组长、各部室负责人为成员的绩效自评工作领导小组，确定了绩效评价工作组成员，明确了需收集的资料及注意事项。对照总体绩效目标和分项绩效目标、指标设定情况，由各相关部室提供各项任务具体完成情况的相关资料以及有关财务资料。绩效评价工作组遵循“科学性、规范性、客观性和公正性”的原则，开展绩效评价工作，得出综合评价结果，撰写绩效评价报告。</w:t>
      </w:r>
    </w:p>
    <w:p>
      <w:pPr>
        <w:pStyle w:val="2"/>
        <w:keepNext w:val="0"/>
        <w:keepLines w:val="0"/>
        <w:pageBreakBefore w:val="0"/>
        <w:kinsoku/>
        <w:wordWrap/>
        <w:overflowPunct/>
        <w:topLinePunct/>
        <w:autoSpaceDE/>
        <w:autoSpaceDN/>
        <w:bidi w:val="0"/>
        <w:snapToGrid/>
        <w:spacing w:line="560" w:lineRule="exact"/>
        <w:ind w:left="0" w:leftChars="0" w:right="0" w:rightChars="0"/>
        <w:textAlignment w:val="auto"/>
        <w:rPr>
          <w:rFonts w:ascii="楷体_GB2312" w:hAnsi="仿宋" w:eastAsia="楷体_GB2312"/>
          <w:sz w:val="32"/>
          <w:szCs w:val="32"/>
        </w:rPr>
      </w:pPr>
      <w:r>
        <w:rPr>
          <w:rFonts w:hint="eastAsia" w:ascii="楷体_GB2312" w:hAnsi="黑体" w:eastAsia="楷体_GB2312"/>
          <w:sz w:val="32"/>
          <w:szCs w:val="32"/>
          <w:lang w:val="en-US" w:eastAsia="zh-CN"/>
        </w:rPr>
        <w:t xml:space="preserve">    </w:t>
      </w:r>
      <w:r>
        <w:rPr>
          <w:rFonts w:hint="eastAsia" w:ascii="楷体_GB2312" w:hAnsi="黑体" w:eastAsia="楷体_GB2312"/>
          <w:sz w:val="32"/>
          <w:szCs w:val="32"/>
        </w:rPr>
        <w:t>(二)自评的方法和过程</w:t>
      </w:r>
    </w:p>
    <w:p>
      <w:pPr>
        <w:pStyle w:val="2"/>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cs="黑体"/>
          <w:kern w:val="2"/>
          <w:sz w:val="32"/>
          <w:szCs w:val="32"/>
          <w:lang w:val="en-US" w:eastAsia="zh-CN" w:bidi="ar-SA"/>
        </w:rPr>
      </w:pPr>
      <w:r>
        <w:rPr>
          <w:rFonts w:hint="eastAsia" w:ascii="仿宋" w:hAnsi="仿宋" w:eastAsia="仿宋" w:cs="仿宋"/>
          <w:sz w:val="32"/>
          <w:szCs w:val="32"/>
          <w:lang w:val="en-US" w:eastAsia="zh-CN"/>
        </w:rPr>
        <w:t xml:space="preserve">   </w:t>
      </w:r>
      <w:r>
        <w:rPr>
          <w:rFonts w:hint="eastAsia" w:ascii="仿宋" w:hAnsi="仿宋" w:eastAsia="仿宋" w:cs="黑体"/>
          <w:kern w:val="2"/>
          <w:sz w:val="32"/>
          <w:szCs w:val="32"/>
          <w:lang w:val="en-US" w:eastAsia="zh-CN" w:bidi="ar-SA"/>
        </w:rPr>
        <w:t xml:space="preserve"> 绩效评价工作组采用全面评价和重点评价相结合的方式，运用最低成本法、比较法等分析方法，开展绩效评价工作。结合实际确定了绩效评价评分体系，此次绩效评价满分100分，其中总体绩效目标40分，7个分项绩效目标合计60分。绩效评价工作组通过汇总整理各项资料，对各绩效目标、指标实现情况进行逐一汇总、分析、核实，得出了综合评价结果。</w:t>
      </w:r>
    </w:p>
    <w:p>
      <w:pPr>
        <w:pStyle w:val="2"/>
        <w:keepNext w:val="0"/>
        <w:keepLines w:val="0"/>
        <w:pageBreakBefore w:val="0"/>
        <w:kinsoku/>
        <w:wordWrap/>
        <w:overflowPunct/>
        <w:topLinePunct/>
        <w:autoSpaceDE/>
        <w:autoSpaceDN/>
        <w:bidi w:val="0"/>
        <w:snapToGrid/>
        <w:spacing w:line="560" w:lineRule="exact"/>
        <w:ind w:left="0" w:leftChars="0" w:right="0" w:rightChars="0"/>
        <w:textAlignment w:val="auto"/>
        <w:rPr>
          <w:rFonts w:ascii="黑体" w:hAnsi="黑体" w:eastAsia="黑体"/>
          <w:sz w:val="32"/>
          <w:szCs w:val="32"/>
        </w:rPr>
      </w:pPr>
      <w:r>
        <w:rPr>
          <w:rFonts w:hint="eastAsia" w:ascii="黑体" w:hAnsi="黑体" w:eastAsia="黑体"/>
          <w:sz w:val="32"/>
          <w:szCs w:val="32"/>
          <w:lang w:val="en-US" w:eastAsia="zh-CN"/>
        </w:rPr>
        <w:t xml:space="preserve">    </w:t>
      </w:r>
      <w:r>
        <w:rPr>
          <w:rFonts w:hint="eastAsia" w:ascii="黑体" w:hAnsi="黑体" w:eastAsia="黑体"/>
          <w:sz w:val="32"/>
          <w:szCs w:val="32"/>
        </w:rPr>
        <w:t>三、部门整体支出绩效目标实现情况及指标分析</w:t>
      </w:r>
    </w:p>
    <w:p>
      <w:pPr>
        <w:pStyle w:val="2"/>
        <w:keepNext w:val="0"/>
        <w:keepLines w:val="0"/>
        <w:pageBreakBefore w:val="0"/>
        <w:kinsoku/>
        <w:wordWrap/>
        <w:overflowPunct/>
        <w:topLinePunct/>
        <w:autoSpaceDE/>
        <w:autoSpaceDN/>
        <w:bidi w:val="0"/>
        <w:snapToGrid/>
        <w:spacing w:line="560" w:lineRule="exact"/>
        <w:ind w:left="0" w:leftChars="0" w:right="0" w:rightChars="0"/>
        <w:textAlignment w:val="auto"/>
        <w:rPr>
          <w:rFonts w:ascii="楷体" w:hAnsi="楷体" w:eastAsia="楷体" w:cs="楷体_GB2312"/>
          <w:bCs/>
          <w:sz w:val="32"/>
          <w:szCs w:val="32"/>
        </w:rPr>
      </w:pPr>
      <w:r>
        <w:rPr>
          <w:rFonts w:hint="eastAsia" w:ascii="楷体" w:hAnsi="楷体" w:eastAsia="楷体" w:cs="楷体_GB2312"/>
          <w:bCs/>
          <w:sz w:val="32"/>
          <w:szCs w:val="32"/>
        </w:rPr>
        <w:t xml:space="preserve">   （一）总体绩效目标实现情况</w:t>
      </w:r>
    </w:p>
    <w:p>
      <w:pPr>
        <w:pStyle w:val="2"/>
        <w:keepNext w:val="0"/>
        <w:keepLines w:val="0"/>
        <w:pageBreakBefore w:val="0"/>
        <w:kinsoku/>
        <w:wordWrap/>
        <w:overflowPunct/>
        <w:topLinePunct/>
        <w:autoSpaceDE/>
        <w:autoSpaceDN/>
        <w:bidi w:val="0"/>
        <w:snapToGrid/>
        <w:spacing w:line="560" w:lineRule="exact"/>
        <w:ind w:left="0" w:leftChars="0" w:right="0" w:rightChars="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    今年以来，市妇联坚持围绕中心，服务大局，抓亮点、求突破、讲实效，推动全市妇女儿童工作迈上新台阶，形成“一三五十”工作成果。“一”即出台一个决定。推动市人大常委会出台了全省首个《关于加强儿童友好城市建设的决定》，使儿童友好从“概念”转变为看得见、摸得着的幸福体验。“三”即打造三大品牌。一是打造“‘石’润童心”品牌，招募3900余名爱心爸妈，结对帮扶1920名困境儿童，筹集款物120余万元。二是打造“石诚福嫂”品牌，选树五星级福嫂39名，连续两年在河北家政行业职业技能大赛中，总成绩位列全省第一；向京津输送福嫂6350人，培育进京津基地15个。以上两个品牌均已完成品牌商标注册。三是打造“知子花开 乐享‘石’光”家庭教育课堂品牌，每周日晚在市广电台882栏目邀请家庭教育专家开展为期一年的家教课堂，目前已开展15期，140余万人收听收看。“五”即抓实五大行动。一是“巾帼心向党引领行动”，开展大学习、大宣讲200余场。二是“巾帼建功系列行动”，开展技能培训10期、招聘会60余场、组织女科技工作者、女能手下基层帮扶182场次；建成美丽庭院6.4万户、精品庭院2.4万户。三是“家庭服务巾帼行动”，举办低彩礼、零彩礼集体婚礼8场、联动多部门举办婚恋交友联谊活动50余场；防艾宣传“进家庭”活动200余场次；排查化解婚姻家庭矛盾158件。四是“巾帼维权暖心行动”，21个县（市、区）12338妇联维权服务中心全部入驻综治中心；开展四级法治宣传1300余场次、禁毒宣传400余场次、反诈宣传560余场次、未成年人保护活动131场次。五是“强基破难与能力提升行动”，在5179个“三新”组织建立妇联组织4667个，培训妇联干部、执委2.15余万人次。“十”即办好妇女儿童领域十件实事。去年初，由市妇联全体执委票决产生的涉及民生工程、乡村振兴、志愿服务、创业就业、妇女维权、儿童关爱、阵地提升、移风易俗、家庭文明建设及未成年人保护等10项妇女儿童领域的民生实事已全部落地见效。</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pPr>
      <w:r>
        <w:rPr>
          <w:rFonts w:hint="eastAsia" w:ascii="仿宋" w:hAnsi="仿宋" w:eastAsia="仿宋" w:cs="仿宋"/>
          <w:color w:val="000000"/>
          <w:lang w:val="en-US" w:eastAsia="zh-CN"/>
        </w:rPr>
        <w:t xml:space="preserve">  </w:t>
      </w:r>
      <w:r>
        <w:rPr>
          <w:rFonts w:hint="eastAsia" w:ascii="仿宋" w:hAnsi="仿宋" w:eastAsia="仿宋" w:cs="黑体"/>
          <w:b w:val="0"/>
          <w:bCs w:val="0"/>
          <w:kern w:val="2"/>
          <w:sz w:val="32"/>
          <w:szCs w:val="32"/>
          <w:lang w:val="en-US" w:eastAsia="zh-CN" w:bidi="ar-SA"/>
        </w:rPr>
        <w:t xml:space="preserve">  评价认为，总体绩效目标圆满实现，自评得分40分。</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ascii="楷体" w:hAnsi="楷体" w:eastAsia="楷体"/>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（二）分项绩效目标实现情况及指标分析</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1.妇女之家项目建设分项绩效目标、指标实现情况。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围绕建设“坚强阵地”和“温暖之家”目标，持续完善妇女儿童之家功能，提升服务水平。今年完成11个省级点建设并通过验收，2个村（社区）列为自建点。建成8个市级点和70个“妇女微家”，3个点位获评省级特色，58个“三新”领域微家入选省第三批特色名单，位列全省第一。</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2.深化家庭文明建设分项绩效目标、指标实现情况。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深化“家家幸福安康工程”，以寻找“最美家庭”活动为抓手推动家庭文明建设，我市1户获评全国文明家庭，9户获评省最美家庭；开展“知子花开 乐享‘石’光”家庭教育四进活动、亲子阅读活动，每周日晚在市广电台882栏目邀请家庭教育专家开展为期一年的家教课堂；持续开展家教主题讲座，各级妇联累计开展家庭教育服务活动4.6万余场次，受益家长及儿童205万余人次，积极转发17场次全国妇联特别录制的线上家庭教育指导公开课。</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3.延伸“美丽庭院”创建工作覆盖面分项绩效目标、指标实现情况。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持续深入动员妇女建设美丽庭院，助力农村人居环境改善，赋能宜居宜业和美乡村建设。我市建设美丽庭院6.4万户、精品庭院2.4万户。9月，河北省美丽庭院创建工作会议在我市召开，现场观摩了我市鹿泉区、藁城区美丽庭院建设情况，我市在大会上做了经验介绍。市委副书记贾兆军、省妇联副主席石慧敏出席活动，对我市工作给予肯定。</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4.开展巾帼创业创新系列活动分项绩效目标、指标实现情况。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承接“河北福嫂·燕赵家政”提质扩容民生工程。选树五星级河北福嫂39名，培育河北福嫂进京津基地15个。在全省率先启动巾帼家政进社区（乡村）活动，积极探索“家政+公益”模式，面向社区发布3460个灵活就业岗位，全市开展巾帼家政进社区活动2570场次；输送到京津“河北福嫂”5904名。常态化开展“妇联约你学家政”，录制并线上刊发家政微课40期。开展民生工程和巾帼创业就业技能培训10场，线上线下共542万人次收看学习。招募18名巾帼科技服务志愿者共开展结对帮扶活动182场次，帮助广大农村妇女依靠科技创新创业、增收致富，解决种植过程中遇到的技术难题，为促进乡村全面振兴做出积极贡献。</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5.加大普法宣传力度，提高妇女依法维护自身权益的能力分项绩效目标、指标实现情况。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面向妇女群众及家庭开展《民法典》、《妇女权益保障法》、《河北省反家庭暴力条例》等法律法规集中宣传。全市妇联组织共开展法律咨询2800余人，法治宣传1300余场次。举办石家庄市“三八”维权宣传周暨巾帼普法乡村行活动，12月9日，召开禁毒宣传工作推进培训会，对全市妇联系统禁毒宣传工作进行全面部署。深化基层“木兰婚调”工作，组织开展了“万名执委进网格 平安和谐暖万家”婚姻家庭矛盾纠纷排查化解专项行动，活动期间全市各级妇联接待电话访182次，现场接访妇女群众325次，发动32000余名执委进行排查，排查出158件婚姻家庭矛盾纠纷、化解了158件，走访983户重点家庭和3653名重点人群。举办婚调工作大比武暨妇女维权培训班，各县（市、区）妇联负责人、婚调员、调解员及热线专席人员等80余人参训。共同选拔出3名调解员参加省妇联婚调工作大比武，我市参赛人员获得模拟调解单项成绩第一，总成绩优秀团体奖，并有1名参赛队员代表河北省参加全国婚调大比武，取得全国第26名的好成绩，入选了全国婚调员专家库。 </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6.开展儿童友好家园建设提升工作分项绩效目标、指标实现情况。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打造儿童友好示范单元，裕华区智汇城社区等5个社区获评2025年省级儿童之家试点，长安区荣景园社区等2个社区获评省级儿童友好社区试点，全年打造40个市级儿童友好社区（村）建设试点。我市推荐的“优化提升儿童安全出行体验”经验做法入选2025年国家《儿童友好城市建设经验举措清单》；开展儿童友好主题活动。以儿童友好家园为依托，在“六一”等节点开展主题活动，各级妇联组织活动880余次，参与儿童2.6万余人。</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7.推进校外教育、家庭教育及妇女儿童之家工作进一步开展分项绩效目标、指标实现情况。</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中心坚持推动传统文化创造性转化、创新性发展，以中华优秀传统文化涵养儿童精神文化素养。组织开展“对画非遗”系列课程、“清明诗会”主题朗诵活动、“童心绘端午”主题教学活动、“国风古韵，浓情端午”八音乐器及国风音乐教学活动、“母亲节”主题诵读活动、“父爱如山，感恩有你”主题朗诵活动、“教师节”感恩活动，带领少年儿童感受传统文化魅力，助力优秀传统文化在新时代换发新光彩。全年共组织培训开班数量达93个教学班，组织培训学员1297余人次。积极开展家政服务调研工作，致力于提高家政培训精准性、针对性和专业性，开设了美育、收纳整理、手工制作、母婴护理、健康知识等系列培训课程，全年开展“厨房收纳整理”、“春季疾病预防及养生”、“非遗盘扣”、“非遗苏绣”、“手工灯笼”、“八段锦”、“中医健康”、“营养膳食搭配”、“母婴护理”、“婴儿喂养及抚触”“秋季养肺”、“茶与健康”等公益培训。</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评价认为，此项目建设分项绩效目标、指标圆满实现。</w:t>
      </w:r>
    </w:p>
    <w:p>
      <w:pPr>
        <w:keepNext w:val="0"/>
        <w:keepLines w:val="0"/>
        <w:pageBreakBefore w:val="0"/>
        <w:kinsoku/>
        <w:wordWrap/>
        <w:overflowPunct/>
        <w:topLinePunct/>
        <w:autoSpaceDE/>
        <w:autoSpaceDN/>
        <w:bidi w:val="0"/>
        <w:snapToGrid/>
        <w:spacing w:line="560" w:lineRule="exact"/>
        <w:ind w:left="0" w:leftChars="0" w:right="0" w:rightChars="0" w:firstLine="640"/>
        <w:textAlignment w:val="auto"/>
        <w:rPr>
          <w:rFonts w:ascii="黑体" w:hAnsi="黑体" w:eastAsia="黑体"/>
          <w:sz w:val="32"/>
          <w:szCs w:val="32"/>
        </w:rPr>
      </w:pPr>
      <w:r>
        <w:rPr>
          <w:rFonts w:hint="eastAsia" w:ascii="黑体" w:hAnsi="黑体" w:eastAsia="黑体"/>
          <w:sz w:val="32"/>
          <w:szCs w:val="32"/>
        </w:rPr>
        <w:t>四、评价结论和评价等级</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w:t>
      </w:r>
      <w:bookmarkStart w:id="0" w:name="_GoBack"/>
      <w:bookmarkEnd w:id="0"/>
      <w:r>
        <w:rPr>
          <w:rFonts w:hint="eastAsia" w:ascii="仿宋" w:hAnsi="仿宋" w:eastAsia="仿宋" w:cs="黑体"/>
          <w:b w:val="0"/>
          <w:bCs w:val="0"/>
          <w:kern w:val="2"/>
          <w:sz w:val="32"/>
          <w:szCs w:val="32"/>
          <w:lang w:val="en-US" w:eastAsia="zh-CN" w:bidi="ar-SA"/>
        </w:rPr>
        <w:t>一年来，市妇联紧紧围绕省妇联和市委工作安排，坚持围绕中心、服务大局，聚焦引领、服务、联系职能，有力推动我市妇女儿童工作创新发展，多项工作在全省名列前茅。全国妇联书记处书记马列坚一行调研我市未成年人保护及两纲实施工作，对我市多部门合力保障困境儿童合法权益的做法予以肯定。市委书记张超超对我市爱心爸妈工作给予肯定并做出专门批示。市委、市政府领导多次出席市妇联活动，均给予充分肯定和高度评价。一年来，市妇联本级各项工作在《中国妇女报》刊发14篇、《河北省新闻》播报15条、《石家庄新闻》播报18条。总体绩效目标圆满实现。</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根据部门职责定位和各项工作履职情况进行综合评价，2025年度市妇联整体支出绩效评价得分100分，综合绩效评价等级为优秀。</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ascii="黑体" w:hAnsi="黑体" w:eastAsia="黑体"/>
          <w:sz w:val="32"/>
          <w:szCs w:val="32"/>
        </w:rPr>
      </w:pPr>
      <w:r>
        <w:rPr>
          <w:rFonts w:hint="eastAsia" w:ascii="黑体" w:hAnsi="黑体" w:eastAsia="黑体"/>
          <w:sz w:val="32"/>
          <w:szCs w:val="32"/>
          <w:lang w:val="en-US" w:eastAsia="zh-CN"/>
        </w:rPr>
        <w:t xml:space="preserve">    </w:t>
      </w:r>
      <w:r>
        <w:rPr>
          <w:rFonts w:hint="eastAsia" w:ascii="黑体" w:hAnsi="黑体" w:eastAsia="黑体"/>
          <w:sz w:val="32"/>
          <w:szCs w:val="32"/>
        </w:rPr>
        <w:t>五、存在的问题及改进措施</w:t>
      </w:r>
    </w:p>
    <w:p>
      <w:pPr>
        <w:keepNext w:val="0"/>
        <w:keepLines w:val="0"/>
        <w:pageBreakBefore w:val="0"/>
        <w:kinsoku/>
        <w:wordWrap/>
        <w:overflowPunct/>
        <w:topLinePunct/>
        <w:autoSpaceDE/>
        <w:autoSpaceDN/>
        <w:bidi w:val="0"/>
        <w:snapToGrid/>
        <w:spacing w:line="560" w:lineRule="exact"/>
        <w:ind w:left="0" w:leftChars="0" w:right="0" w:rightChars="0"/>
        <w:textAlignment w:val="auto"/>
        <w:rPr>
          <w:rFonts w:ascii="楷体" w:hAnsi="楷体" w:eastAsia="楷体"/>
          <w:bCs/>
          <w:sz w:val="32"/>
          <w:szCs w:val="32"/>
        </w:rPr>
      </w:pPr>
      <w:r>
        <w:rPr>
          <w:rFonts w:hint="eastAsia" w:ascii="楷体" w:hAnsi="楷体" w:eastAsia="楷体"/>
          <w:bCs/>
          <w:sz w:val="32"/>
          <w:szCs w:val="32"/>
          <w:lang w:val="en-US" w:eastAsia="zh-CN"/>
        </w:rPr>
        <w:t xml:space="preserve">    </w:t>
      </w:r>
      <w:r>
        <w:rPr>
          <w:rFonts w:hint="eastAsia" w:ascii="楷体" w:hAnsi="楷体" w:eastAsia="楷体"/>
          <w:bCs/>
          <w:sz w:val="32"/>
          <w:szCs w:val="32"/>
        </w:rPr>
        <w:t>（一）存在的主要问题</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r>
        <w:rPr>
          <w:rFonts w:hint="eastAsia" w:ascii="仿宋" w:hAnsi="仿宋" w:eastAsia="仿宋" w:cs="黑体"/>
          <w:b w:val="0"/>
          <w:bCs w:val="0"/>
          <w:kern w:val="2"/>
          <w:sz w:val="32"/>
          <w:szCs w:val="32"/>
          <w:lang w:val="en-US" w:eastAsia="zh-CN" w:bidi="ar-SA"/>
        </w:rPr>
        <w:t xml:space="preserve">    通过实施预算项目绩效评价发现，预算项目绩效目标设定还需进一步详尽，进一步改进完善项目绩效指标设定，进一步探索更具科学性和可操作性的绩效分析、绩效考核指标体系。</w:t>
      </w:r>
    </w:p>
    <w:p>
      <w:pPr>
        <w:keepNext w:val="0"/>
        <w:keepLines w:val="0"/>
        <w:pageBreakBefore w:val="0"/>
        <w:kinsoku/>
        <w:wordWrap/>
        <w:overflowPunct/>
        <w:autoSpaceDE/>
        <w:autoSpaceDN/>
        <w:bidi w:val="0"/>
        <w:snapToGrid/>
        <w:spacing w:line="560" w:lineRule="exact"/>
        <w:ind w:left="0" w:leftChars="0" w:right="0" w:rightChars="0" w:firstLine="640" w:firstLineChars="200"/>
        <w:textAlignment w:val="auto"/>
        <w:rPr>
          <w:rFonts w:ascii="楷体_GB2312" w:hAnsi="楷体_GB2312" w:eastAsia="楷体_GB2312"/>
          <w:bCs/>
          <w:sz w:val="32"/>
          <w:szCs w:val="32"/>
        </w:rPr>
      </w:pPr>
      <w:r>
        <w:rPr>
          <w:rFonts w:hint="eastAsia" w:ascii="楷体_GB2312" w:hAnsi="楷体_GB2312" w:eastAsia="楷体_GB2312"/>
          <w:bCs/>
          <w:sz w:val="32"/>
          <w:szCs w:val="32"/>
        </w:rPr>
        <w:t>（二）针对问题提出具体的改进措施或建议。</w:t>
      </w:r>
    </w:p>
    <w:p>
      <w:pPr>
        <w:spacing w:line="560" w:lineRule="exact"/>
        <w:ind w:firstLine="640" w:firstLineChars="200"/>
        <w:rPr>
          <w:rFonts w:hint="eastAsia" w:ascii="仿宋" w:hAnsi="仿宋" w:eastAsia="仿宋"/>
          <w:sz w:val="32"/>
        </w:rPr>
      </w:pPr>
      <w:r>
        <w:rPr>
          <w:rFonts w:hint="eastAsia" w:ascii="仿宋" w:hAnsi="仿宋" w:eastAsia="仿宋"/>
          <w:sz w:val="32"/>
        </w:rPr>
        <w:t>在以后的工作中我们要更加重视专项工作的绩效评价，完善单位项目指标体系，对单位经常性的项目，对最近几年的项目设置分析汇总，建立单位自己的指标库，进一步明确具体指标，完善项目指标体系。</w:t>
      </w:r>
    </w:p>
    <w:p>
      <w:pPr>
        <w:spacing w:line="560" w:lineRule="exact"/>
        <w:ind w:firstLine="640" w:firstLineChars="200"/>
        <w:rPr>
          <w:rFonts w:hint="eastAsia" w:ascii="仿宋" w:hAnsi="仿宋" w:eastAsia="仿宋"/>
          <w:sz w:val="32"/>
          <w:lang w:eastAsia="zh-CN"/>
        </w:rPr>
      </w:pPr>
      <w:r>
        <w:rPr>
          <w:rFonts w:hint="eastAsia" w:ascii="仿宋" w:hAnsi="仿宋" w:eastAsia="仿宋"/>
          <w:sz w:val="32"/>
          <w:lang w:eastAsia="zh-CN"/>
        </w:rPr>
        <w:t>提高对绩效评价结果的重视程度，对评价过程中发现的问题及时研究制定整改方案，落实整改意见，通过分析绩效评价效果，为绩效评价结果落到实处提供强有力的制度保证。</w:t>
      </w:r>
    </w:p>
    <w:p>
      <w:pPr>
        <w:pStyle w:val="6"/>
        <w:keepNext w:val="0"/>
        <w:keepLines w:val="0"/>
        <w:pageBreakBefore w:val="0"/>
        <w:kinsoku/>
        <w:wordWrap/>
        <w:overflowPunct/>
        <w:autoSpaceDE/>
        <w:autoSpaceDN/>
        <w:bidi w:val="0"/>
        <w:snapToGrid/>
        <w:spacing w:line="560" w:lineRule="exact"/>
        <w:ind w:left="0" w:leftChars="0" w:right="0" w:rightChars="0"/>
        <w:jc w:val="both"/>
        <w:textAlignment w:val="auto"/>
        <w:rPr>
          <w:rFonts w:hint="eastAsia" w:ascii="仿宋" w:hAnsi="仿宋" w:eastAsia="仿宋" w:cs="黑体"/>
          <w:b w:val="0"/>
          <w:bCs w:val="0"/>
          <w:kern w:val="2"/>
          <w:sz w:val="32"/>
          <w:szCs w:val="32"/>
          <w:lang w:val="en-US" w:eastAsia="zh-CN" w:bidi="ar-SA"/>
        </w:rPr>
      </w:pPr>
    </w:p>
    <w:sectPr>
      <w:footerReference r:id="rId3" w:type="default"/>
      <w:pgSz w:w="11906" w:h="16838"/>
      <w:pgMar w:top="1701" w:right="1417" w:bottom="1417"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方正书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方正仿宋_GBK">
    <w:altName w:val="微软雅黑"/>
    <w:panose1 w:val="00000000000000000000"/>
    <w:charset w:val="00"/>
    <w:family w:val="auto"/>
    <w:pitch w:val="default"/>
    <w:sig w:usb0="00000000" w:usb1="00000000" w:usb2="00000000" w:usb3="00000000" w:csb0="00040001" w:csb1="00000000"/>
  </w:font>
  <w:font w:name="CESI·ÂËÎ-GB2312 Western">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script"/>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国标黑体">
    <w:altName w:val="黑体"/>
    <w:panose1 w:val="02000500000000000000"/>
    <w:charset w:val="86"/>
    <w:family w:val="auto"/>
    <w:pitch w:val="default"/>
    <w:sig w:usb0="00000000" w:usb1="00000000" w:usb2="00000000" w:usb3="00000000" w:csb0="00040000" w:csb1="00000000"/>
  </w:font>
  <w:font w:name="国标楷体">
    <w:altName w:val="宋体"/>
    <w:panose1 w:val="02000500000000000000"/>
    <w:charset w:val="86"/>
    <w:family w:val="auto"/>
    <w:pitch w:val="default"/>
    <w:sig w:usb0="00000000" w:usb1="00000000" w:usb2="00000000" w:usb3="00000000" w:csb0="00060007" w:csb1="00000000"/>
  </w:font>
  <w:font w:name="CESI仿宋-GB13000">
    <w:altName w:val="仿宋"/>
    <w:panose1 w:val="02000500000000000000"/>
    <w:charset w:val="86"/>
    <w:family w:val="auto"/>
    <w:pitch w:val="default"/>
    <w:sig w:usb0="00000000" w:usb1="00000000" w:usb2="00000016" w:usb3="00000000" w:csb0="0004000F" w:csb1="00000000"/>
  </w:font>
  <w:font w:name="方正仿宋_GBK">
    <w:altName w:val="微软雅黑"/>
    <w:panose1 w:val="02000000000000000000"/>
    <w:charset w:val="86"/>
    <w:family w:val="auto"/>
    <w:pitch w:val="default"/>
    <w:sig w:usb0="00000000" w:usb1="00000000" w:usb2="0000000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 w:name="????_GBK">
    <w:altName w:val="Segoe Print"/>
    <w:panose1 w:val="00000000000000000000"/>
    <w:charset w:val="00"/>
    <w:family w:val="auto"/>
    <w:pitch w:val="default"/>
    <w:sig w:usb0="00000000" w:usb1="00000000" w:usb2="00000000" w:usb3="00000000" w:csb0="00000001" w:csb1="00000000"/>
  </w:font>
  <w:font w:name="华文楷体">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102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A6205"/>
    <w:rsid w:val="000B0260"/>
    <w:rsid w:val="001F187B"/>
    <w:rsid w:val="00655DC8"/>
    <w:rsid w:val="007E6C1F"/>
    <w:rsid w:val="00956A93"/>
    <w:rsid w:val="009E575C"/>
    <w:rsid w:val="00AF167E"/>
    <w:rsid w:val="00AF566A"/>
    <w:rsid w:val="00B478EA"/>
    <w:rsid w:val="00B6553A"/>
    <w:rsid w:val="00BC6576"/>
    <w:rsid w:val="00C00A93"/>
    <w:rsid w:val="00CE06BA"/>
    <w:rsid w:val="00F441CC"/>
    <w:rsid w:val="01B104CA"/>
    <w:rsid w:val="02106AB0"/>
    <w:rsid w:val="02B43A28"/>
    <w:rsid w:val="046F331E"/>
    <w:rsid w:val="07956271"/>
    <w:rsid w:val="09721397"/>
    <w:rsid w:val="0B280D53"/>
    <w:rsid w:val="0BB63BED"/>
    <w:rsid w:val="0EB97A43"/>
    <w:rsid w:val="0EBD2122"/>
    <w:rsid w:val="0F214EAE"/>
    <w:rsid w:val="108F1707"/>
    <w:rsid w:val="11B71E6A"/>
    <w:rsid w:val="181173F4"/>
    <w:rsid w:val="18CE1D92"/>
    <w:rsid w:val="1AAF0063"/>
    <w:rsid w:val="1B740D26"/>
    <w:rsid w:val="1BE140DE"/>
    <w:rsid w:val="1E542E40"/>
    <w:rsid w:val="248C197D"/>
    <w:rsid w:val="252959AF"/>
    <w:rsid w:val="26C532C5"/>
    <w:rsid w:val="277A6671"/>
    <w:rsid w:val="292D35B7"/>
    <w:rsid w:val="30B03BDB"/>
    <w:rsid w:val="33EB6CFF"/>
    <w:rsid w:val="34DF2C4F"/>
    <w:rsid w:val="35A12947"/>
    <w:rsid w:val="37387040"/>
    <w:rsid w:val="3B625C0A"/>
    <w:rsid w:val="3CEE1963"/>
    <w:rsid w:val="436B78D3"/>
    <w:rsid w:val="43F2481C"/>
    <w:rsid w:val="4C9C27FE"/>
    <w:rsid w:val="4F0C5E45"/>
    <w:rsid w:val="502A44B1"/>
    <w:rsid w:val="512260B4"/>
    <w:rsid w:val="52BD6ACB"/>
    <w:rsid w:val="55537534"/>
    <w:rsid w:val="561A74F1"/>
    <w:rsid w:val="56BC4D08"/>
    <w:rsid w:val="56D25405"/>
    <w:rsid w:val="58B17416"/>
    <w:rsid w:val="597244E8"/>
    <w:rsid w:val="59965083"/>
    <w:rsid w:val="5EB71C30"/>
    <w:rsid w:val="635F26F4"/>
    <w:rsid w:val="66AF0CE5"/>
    <w:rsid w:val="680C3178"/>
    <w:rsid w:val="68AC2130"/>
    <w:rsid w:val="6AC537CF"/>
    <w:rsid w:val="6E5B14A6"/>
    <w:rsid w:val="711B255E"/>
    <w:rsid w:val="7BB51E06"/>
    <w:rsid w:val="7C387F7C"/>
    <w:rsid w:val="7C39613D"/>
    <w:rsid w:val="7FE83423"/>
  </w:rsids>
  <m:mathPr>
    <m:lMargin m:val="0"/>
    <m:mathFont m:val="Cambria Math"/>
    <m:rMargin m:val="0"/>
    <m:wrapIndent m:val="1440"/>
    <m:brkBin m:val="before"/>
    <m:brkBinSub m:val="--"/>
    <m:defJc m:val="centerGroup"/>
    <m:intLim m:val="subSup"/>
    <m:naryLim m:val="undOvr"/>
    <m:smallFrac m:val=""/>
    <m:dispDef/>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uiPriority w:val="0"/>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Autospacing="1" w:afterAutospacing="1"/>
    </w:pPr>
    <w:rPr>
      <w:sz w:val="24"/>
    </w:rPr>
  </w:style>
  <w:style w:type="paragraph" w:styleId="6">
    <w:name w:val="Title"/>
    <w:basedOn w:val="1"/>
    <w:next w:val="1"/>
    <w:qFormat/>
    <w:uiPriority w:val="0"/>
    <w:pPr>
      <w:jc w:val="center"/>
      <w:outlineLvl w:val="0"/>
    </w:pPr>
    <w:rPr>
      <w:rFonts w:ascii="Cambria" w:hAnsi="Cambria"/>
      <w:b/>
      <w:bCs/>
      <w:sz w:val="32"/>
      <w:szCs w:val="32"/>
    </w:rPr>
  </w:style>
  <w:style w:type="paragraph" w:customStyle="1" w:styleId="9">
    <w:name w:val="单元格样式1"/>
    <w:basedOn w:val="1"/>
    <w:qFormat/>
    <w:uiPriority w:val="0"/>
    <w:pPr>
      <w:jc w:val="center"/>
    </w:pPr>
    <w:rPr>
      <w:rFonts w:ascii="方正书宋_GBK" w:hAnsi="方正书宋_GBK" w:eastAsia="方正书宋_GBK" w:cs="方正书宋_GBK"/>
      <w:b/>
    </w:rPr>
  </w:style>
  <w:style w:type="paragraph" w:customStyle="1" w:styleId="10">
    <w:name w:val="单元格样式2"/>
    <w:basedOn w:val="1"/>
    <w:qFormat/>
    <w:uiPriority w:val="0"/>
    <w:rPr>
      <w:rFonts w:ascii="方正书宋_GBK" w:hAnsi="方正书宋_GBK" w:eastAsia="方正书宋_GBK" w:cs="方正书宋_GBK"/>
    </w:rPr>
  </w:style>
  <w:style w:type="paragraph" w:customStyle="1" w:styleId="11">
    <w:name w:val="单元格样式3"/>
    <w:basedOn w:val="1"/>
    <w:qFormat/>
    <w:uiPriority w:val="0"/>
    <w:pPr>
      <w:jc w:val="center"/>
    </w:pPr>
    <w:rPr>
      <w:rFonts w:ascii="方正书宋_GBK" w:hAnsi="方正书宋_GBK" w:eastAsia="方正书宋_GBK" w:cs="方正书宋_GBK"/>
    </w:rPr>
  </w:style>
  <w:style w:type="paragraph" w:customStyle="1" w:styleId="12">
    <w:name w:val="正文缩进1"/>
    <w:basedOn w:val="1"/>
    <w:qFormat/>
    <w:uiPriority w:val="0"/>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1050</Words>
  <Characters>5990</Characters>
  <Lines>49</Lines>
  <Paragraphs>14</Paragraphs>
  <ScaleCrop>false</ScaleCrop>
  <LinksUpToDate>false</LinksUpToDate>
  <CharactersWithSpaces>7026</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2026-04-27T03:11:00Z</cp:lastPrinted>
  <dcterms:modified xsi:type="dcterms:W3CDTF">2026-04-28T09:17:49Z</dcterms:modified>
  <dc:title>附件3：</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