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658804C">
      <w:pPr>
        <w:spacing w:line="560" w:lineRule="exact"/>
        <w:jc w:val="center"/>
        <w:rPr>
          <w:rFonts w:ascii="宋体" w:hAnsi="宋体" w:cs="宋体"/>
          <w:b/>
          <w:bCs/>
          <w:sz w:val="44"/>
          <w:szCs w:val="44"/>
        </w:rPr>
      </w:pPr>
    </w:p>
    <w:p w14:paraId="47D4E091">
      <w:pPr>
        <w:spacing w:line="560" w:lineRule="exact"/>
        <w:jc w:val="center"/>
        <w:rPr>
          <w:rFonts w:hint="eastAsia" w:ascii="宋体" w:hAnsi="宋体" w:eastAsia="宋体" w:cs="宋体"/>
          <w:b/>
          <w:bCs/>
          <w:sz w:val="44"/>
          <w:szCs w:val="44"/>
          <w:lang w:eastAsia="zh-CN"/>
        </w:rPr>
      </w:pPr>
      <w:r>
        <w:rPr>
          <w:rFonts w:hint="eastAsia" w:ascii="宋体" w:hAnsi="宋体" w:cs="宋体"/>
          <w:b/>
          <w:bCs/>
          <w:sz w:val="44"/>
          <w:szCs w:val="44"/>
          <w:lang w:val="en-US" w:eastAsia="zh-CN"/>
        </w:rPr>
        <w:t>石家庄市裕华区人民检察院</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贯彻落实市委市政府《关于全面落实预算绩效管理的实施意见》（石发﹝2019﹞8号）文件精神，遵循“科学性、规范性、客观性和公正性”石家庄市裕华区人民检察院202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953F484">
      <w:pPr>
        <w:adjustRightInd w:val="0"/>
        <w:snapToGrid w:val="0"/>
        <w:spacing w:line="560" w:lineRule="exact"/>
        <w:ind w:firstLine="640" w:firstLineChars="200"/>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（一）部门概况</w:t>
      </w:r>
    </w:p>
    <w:p w14:paraId="3DA443E3">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1.部门职能</w:t>
      </w:r>
    </w:p>
    <w:p w14:paraId="27D9163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（1）深入贯彻习近平新时代中国特色社会主义思想，深入贯彻党的路线方针和决策部署，坚持党对检察工作的绝对领导，坚决维护习近平总书记的核心地位，坚决维护党中央权威和集中统一领导。</w:t>
      </w:r>
    </w:p>
    <w:p w14:paraId="0D854C5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（2）依法向区人民代表大会及其常务委员会提出议案。</w:t>
      </w:r>
    </w:p>
    <w:p w14:paraId="64455D5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（3）贯彻落实检察工作方针、总体规划，研究制定检察工作计划并组织实施。</w:t>
      </w:r>
    </w:p>
    <w:p w14:paraId="209B7E1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（4）依照法律规定对直接受理的刑事案件行使侦查权。</w:t>
      </w:r>
    </w:p>
    <w:p w14:paraId="2B750AC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（5）负责对管辖的各类刑事案件依法审查批准逮捕、决定逮捕、提起公诉。</w:t>
      </w:r>
    </w:p>
    <w:p w14:paraId="348F652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（6）负责应由本院承办的刑事、民事、行政诉讼活动及刑事、民事、行政判决和裁定等生效法律文书执行的法律监督工作</w:t>
      </w:r>
    </w:p>
    <w:p w14:paraId="4343FC69">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（7）负责应由本院承办的提起公益诉讼工作。</w:t>
      </w:r>
    </w:p>
    <w:p w14:paraId="244E42FB">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（8）依法受理核准追诉案件，审查是否上报。</w:t>
      </w:r>
    </w:p>
    <w:p w14:paraId="59B26A12">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（9）负责应由本院承办的对社区矫正等执法活动的法律监督工作。</w:t>
      </w:r>
    </w:p>
    <w:p w14:paraId="1449A2D0">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（10）受理向本院的控告申诉。</w:t>
      </w:r>
    </w:p>
    <w:p w14:paraId="1033EE8E">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（11）组织检察工作中法律政策具体应用问题的研究；组织开展检察理论研究工作。</w:t>
      </w:r>
    </w:p>
    <w:p w14:paraId="01E86F9B">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（12）负责检察人员思想政治教育和业务培训工作；按照权限管理检察官和其他工作人员。</w:t>
      </w:r>
    </w:p>
    <w:p w14:paraId="4CD13884">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（13）负责本院检务督察工作。</w:t>
      </w:r>
    </w:p>
    <w:p w14:paraId="0B8C53C2">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（14）负责本院检务保障以及检察技术、信息化建设工作。</w:t>
      </w:r>
    </w:p>
    <w:p w14:paraId="3CEBF94A">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（15）完成其他应当由本院负责的工作。</w:t>
      </w:r>
    </w:p>
    <w:p w14:paraId="11D7B231">
      <w:p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2.组织机构</w:t>
      </w:r>
    </w:p>
    <w:p w14:paraId="5045209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457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95"/>
        <w:gridCol w:w="1896"/>
        <w:gridCol w:w="2265"/>
        <w:gridCol w:w="2037"/>
      </w:tblGrid>
      <w:tr w14:paraId="4579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63" w:type="pct"/>
            <w:vAlign w:val="center"/>
          </w:tcPr>
          <w:p w14:paraId="1C18985A">
            <w:pPr>
              <w:pStyle w:val="8"/>
            </w:pPr>
            <w:r>
              <w:t>单位名称</w:t>
            </w:r>
          </w:p>
        </w:tc>
        <w:tc>
          <w:tcPr>
            <w:tcW w:w="1143" w:type="pct"/>
            <w:vAlign w:val="center"/>
          </w:tcPr>
          <w:p w14:paraId="18830AE9">
            <w:pPr>
              <w:pStyle w:val="8"/>
            </w:pPr>
            <w:r>
              <w:t>单位性质</w:t>
            </w:r>
          </w:p>
        </w:tc>
        <w:tc>
          <w:tcPr>
            <w:tcW w:w="1365" w:type="pct"/>
            <w:vAlign w:val="center"/>
          </w:tcPr>
          <w:p w14:paraId="78B1CD19">
            <w:pPr>
              <w:pStyle w:val="8"/>
            </w:pPr>
            <w:r>
              <w:t>单位规格</w:t>
            </w:r>
          </w:p>
        </w:tc>
        <w:tc>
          <w:tcPr>
            <w:tcW w:w="1228" w:type="pct"/>
            <w:vAlign w:val="center"/>
          </w:tcPr>
          <w:p w14:paraId="509F020C">
            <w:pPr>
              <w:pStyle w:val="8"/>
            </w:pPr>
            <w:r>
              <w:t>经费保障形式</w:t>
            </w:r>
          </w:p>
        </w:tc>
      </w:tr>
      <w:tr w14:paraId="48E4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pct"/>
            <w:vAlign w:val="center"/>
          </w:tcPr>
          <w:p w14:paraId="7E74216D">
            <w:pPr>
              <w:pStyle w:val="9"/>
            </w:pPr>
            <w:r>
              <w:t>石家庄市裕华区人民检察院</w:t>
            </w:r>
          </w:p>
        </w:tc>
        <w:tc>
          <w:tcPr>
            <w:tcW w:w="1143" w:type="pct"/>
            <w:vAlign w:val="center"/>
          </w:tcPr>
          <w:p w14:paraId="3BE88B5B">
            <w:pPr>
              <w:pStyle w:val="10"/>
            </w:pPr>
            <w:r>
              <w:t>行政</w:t>
            </w:r>
          </w:p>
        </w:tc>
        <w:tc>
          <w:tcPr>
            <w:tcW w:w="1365" w:type="pct"/>
            <w:vAlign w:val="center"/>
          </w:tcPr>
          <w:p w14:paraId="320EE50D">
            <w:pPr>
              <w:pStyle w:val="10"/>
            </w:pPr>
            <w:r>
              <w:t>副处（县）级</w:t>
            </w:r>
          </w:p>
        </w:tc>
        <w:tc>
          <w:tcPr>
            <w:tcW w:w="1228" w:type="pct"/>
            <w:vAlign w:val="center"/>
          </w:tcPr>
          <w:p w14:paraId="78A07C14">
            <w:pPr>
              <w:pStyle w:val="10"/>
            </w:pPr>
            <w:r>
              <w:t>财政拨款</w:t>
            </w:r>
          </w:p>
        </w:tc>
      </w:tr>
    </w:tbl>
    <w:p w14:paraId="40430F76">
      <w:p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3.人员情况</w:t>
      </w:r>
    </w:p>
    <w:p w14:paraId="29745F33">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部门人员</w:t>
      </w:r>
      <w:r>
        <w:rPr>
          <w:rFonts w:ascii="方正小标宋_GBK" w:hAnsi="方正小标宋_GBK" w:eastAsia="方正小标宋_GBK" w:cs="方正小标宋_GBK"/>
          <w:color w:val="000000"/>
          <w:sz w:val="32"/>
        </w:rPr>
        <w:t>情况</w:t>
      </w:r>
    </w:p>
    <w:tbl>
      <w:tblPr>
        <w:tblStyle w:val="5"/>
        <w:tblW w:w="332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94"/>
        <w:gridCol w:w="1896"/>
        <w:gridCol w:w="2037"/>
      </w:tblGrid>
      <w:tr w14:paraId="02CA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tblHeader/>
          <w:jc w:val="center"/>
        </w:trPr>
        <w:tc>
          <w:tcPr>
            <w:tcW w:w="1737" w:type="pct"/>
            <w:vAlign w:val="center"/>
          </w:tcPr>
          <w:p w14:paraId="5DB085ED">
            <w:pPr>
              <w:pStyle w:val="8"/>
            </w:pPr>
            <w:r>
              <w:t>单位名称</w:t>
            </w:r>
          </w:p>
        </w:tc>
        <w:tc>
          <w:tcPr>
            <w:tcW w:w="1572" w:type="pct"/>
            <w:vAlign w:val="center"/>
          </w:tcPr>
          <w:p w14:paraId="46E8E178">
            <w:pPr>
              <w:pStyle w:val="8"/>
              <w:rPr>
                <w:rFonts w:hint="eastAsia" w:eastAsia="方正书宋_GBK"/>
                <w:lang w:eastAsia="zh-CN"/>
              </w:rPr>
            </w:pPr>
            <w:r>
              <w:rPr>
                <w:rFonts w:hint="eastAsia"/>
                <w:lang w:eastAsia="zh-CN"/>
              </w:rPr>
              <w:t>年末实有人数</w:t>
            </w:r>
          </w:p>
        </w:tc>
        <w:tc>
          <w:tcPr>
            <w:tcW w:w="1689" w:type="pct"/>
            <w:vAlign w:val="center"/>
          </w:tcPr>
          <w:p w14:paraId="59564FF8">
            <w:pPr>
              <w:pStyle w:val="8"/>
              <w:rPr>
                <w:rFonts w:hint="eastAsia" w:eastAsia="方正书宋_GBK"/>
                <w:lang w:eastAsia="zh-CN"/>
              </w:rPr>
            </w:pPr>
            <w:r>
              <w:rPr>
                <w:rFonts w:hint="eastAsia"/>
                <w:lang w:eastAsia="zh-CN"/>
              </w:rPr>
              <w:t>退休人数</w:t>
            </w:r>
          </w:p>
        </w:tc>
      </w:tr>
      <w:tr w14:paraId="1217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7" w:type="pct"/>
            <w:vAlign w:val="center"/>
          </w:tcPr>
          <w:p w14:paraId="47CAC215">
            <w:pPr>
              <w:pStyle w:val="9"/>
            </w:pPr>
            <w:r>
              <w:t>石家庄市裕华区人民检察院</w:t>
            </w:r>
          </w:p>
        </w:tc>
        <w:tc>
          <w:tcPr>
            <w:tcW w:w="1572" w:type="pct"/>
            <w:vAlign w:val="center"/>
          </w:tcPr>
          <w:p w14:paraId="1E586464">
            <w:pPr>
              <w:pStyle w:val="10"/>
              <w:rPr>
                <w:rFonts w:hint="default" w:eastAsia="方正书宋_GBK"/>
                <w:lang w:val="en-US" w:eastAsia="zh-CN"/>
              </w:rPr>
            </w:pPr>
            <w:r>
              <w:rPr>
                <w:rFonts w:hint="eastAsia"/>
                <w:lang w:val="en-US" w:eastAsia="zh-CN"/>
              </w:rPr>
              <w:t>52</w:t>
            </w:r>
          </w:p>
        </w:tc>
        <w:tc>
          <w:tcPr>
            <w:tcW w:w="1689" w:type="pct"/>
            <w:vAlign w:val="center"/>
          </w:tcPr>
          <w:p w14:paraId="41108963">
            <w:pPr>
              <w:pStyle w:val="10"/>
              <w:rPr>
                <w:rFonts w:hint="default" w:eastAsia="方正书宋_GBK"/>
                <w:lang w:val="en-US" w:eastAsia="zh-CN"/>
              </w:rPr>
            </w:pPr>
            <w:r>
              <w:rPr>
                <w:rFonts w:hint="eastAsia"/>
                <w:lang w:val="en-US" w:eastAsia="zh-CN"/>
              </w:rPr>
              <w:t>35</w:t>
            </w:r>
          </w:p>
        </w:tc>
      </w:tr>
    </w:tbl>
    <w:p w14:paraId="334FF73A">
      <w:p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4.车辆情况</w:t>
      </w:r>
    </w:p>
    <w:p w14:paraId="489F8AD1">
      <w:pPr>
        <w:pStyle w:val="7"/>
        <w:numPr>
          <w:ilvl w:val="0"/>
          <w:numId w:val="0"/>
        </w:numPr>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现有车辆9辆，其中应急保障车辆1辆，特种专业技术用车2辆，执法执勤车辆6辆。</w:t>
      </w:r>
    </w:p>
    <w:p w14:paraId="5DD19AD7">
      <w:pPr>
        <w:adjustRightInd w:val="0"/>
        <w:snapToGrid w:val="0"/>
        <w:spacing w:line="560" w:lineRule="exact"/>
        <w:ind w:firstLine="640" w:firstLineChars="200"/>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（二）部门收支预决算情况</w:t>
      </w:r>
    </w:p>
    <w:p w14:paraId="22AC85C8">
      <w:pPr>
        <w:numPr>
          <w:ilvl w:val="0"/>
          <w:numId w:val="0"/>
        </w:num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2025年预算收入1823.46万元，其中财政拨款1823.46万元，决算支</w:t>
      </w:r>
      <w:r>
        <w:rPr>
          <w:rFonts w:hint="eastAsia" w:ascii="仿宋" w:hAnsi="仿宋" w:eastAsia="仿宋" w:cs="黑体"/>
          <w:kern w:val="2"/>
          <w:sz w:val="32"/>
          <w:szCs w:val="32"/>
          <w:highlight w:val="none"/>
          <w:lang w:val="en-US" w:eastAsia="zh-CN" w:bidi="ar-SA"/>
        </w:rPr>
        <w:t>出1931.17万</w:t>
      </w:r>
      <w:r>
        <w:rPr>
          <w:rFonts w:hint="eastAsia" w:ascii="仿宋" w:hAnsi="仿宋" w:eastAsia="仿宋" w:cs="黑体"/>
          <w:kern w:val="2"/>
          <w:sz w:val="32"/>
          <w:szCs w:val="32"/>
          <w:lang w:val="en-US" w:eastAsia="zh-CN" w:bidi="ar-SA"/>
        </w:rPr>
        <w:t>元。</w:t>
      </w:r>
    </w:p>
    <w:p w14:paraId="2F95CCFB">
      <w:pPr>
        <w:adjustRightInd w:val="0"/>
        <w:snapToGrid w:val="0"/>
        <w:spacing w:line="560" w:lineRule="exact"/>
        <w:ind w:firstLine="640" w:firstLineChars="200"/>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（三）部门整体支出绩效目标、指标</w:t>
      </w:r>
    </w:p>
    <w:p w14:paraId="46C2A6D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黑体"/>
          <w:kern w:val="2"/>
          <w:sz w:val="32"/>
          <w:szCs w:val="32"/>
          <w:lang w:val="en-US" w:eastAsia="zh-CN" w:bidi="ar-SA"/>
        </w:rPr>
        <w:t>2025年我们将坚持以习近平新时代中国特色社会主义思想为指导，深入贯彻习近平法治思想，精细落实“讲政治、顾大局、谋发展、重自强”检察工作总要求，全面充分履行法律监督职责，以检察工作高质量发展服务保障区域经济社会高质量发展，努力为建设现代化、国际化美丽省会示范区提供有力司法保障。一是要在“精”上下功夫，服务保障区域经济社会发展大局。二是要在“实”上下功夫，持之以恒做好检察为民工作。三是要在“创”上下功夫，推动检察工作高质量发展。四是要在“严”上下功夫，建设德才兼备的高素质检察队伍。</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C1B306D">
      <w:pPr>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为保证绩效评价工作顺利开展，我院成立了绩效评价工作小组，开展部门</w:t>
      </w:r>
      <w:r>
        <w:rPr>
          <w:rFonts w:hint="eastAsia" w:ascii="仿宋" w:hAnsi="仿宋" w:eastAsia="仿宋"/>
          <w:sz w:val="32"/>
          <w:szCs w:val="32"/>
          <w:lang w:val="en-US" w:eastAsia="zh-CN"/>
        </w:rPr>
        <w:t>2025年度整体支出绩效自评工作。</w:t>
      </w:r>
    </w:p>
    <w:p w14:paraId="75D29E9D">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CF86968">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1.评价方法</w:t>
      </w:r>
    </w:p>
    <w:p w14:paraId="4BBBAA59">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14:paraId="229FA680">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2.实施过程</w:t>
      </w:r>
    </w:p>
    <w:p w14:paraId="0E9A226F">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本次绩效评价工作过程包括前期准备、组织实施、撰写评价报告三个阶段。</w:t>
      </w:r>
    </w:p>
    <w:p w14:paraId="6A967A29">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1</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前期准备</w:t>
      </w:r>
    </w:p>
    <w:p w14:paraId="061EB33E">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14:paraId="53FBB49F">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2</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组织实施</w:t>
      </w:r>
    </w:p>
    <w:p w14:paraId="6A0D9D9F">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30FABA19">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小组成员根据项目实际情况，建立绩效评价指标体系，并通过分析收集的数据、资料，对项目的实施进行评分，形成项目绩效评分表。</w:t>
      </w:r>
    </w:p>
    <w:p w14:paraId="779E3011">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3</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撰写绩效评价报告</w:t>
      </w:r>
    </w:p>
    <w:p w14:paraId="56E6AECD">
      <w:pPr>
        <w:spacing w:line="560" w:lineRule="exact"/>
        <w:ind w:firstLine="640" w:firstLineChars="200"/>
        <w:rPr>
          <w:rFonts w:ascii="楷体" w:hAnsi="楷体" w:eastAsia="楷体" w:cs="楷体_GB2312"/>
          <w:bCs/>
          <w:sz w:val="32"/>
          <w:szCs w:val="32"/>
        </w:rPr>
      </w:pPr>
      <w:r>
        <w:rPr>
          <w:rFonts w:hint="eastAsia" w:ascii="仿宋_GB2312" w:hAnsi="仿宋" w:eastAsia="仿宋_GB2312" w:cs="仿宋"/>
          <w:sz w:val="32"/>
          <w:szCs w:val="32"/>
        </w:rPr>
        <w:t>根据项目绩效评价结果，撰写绩效评价报告，并形成绩效评价档案。</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4F1AB15">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年我</w:t>
      </w:r>
      <w:r>
        <w:rPr>
          <w:rFonts w:hint="eastAsia" w:ascii="仿宋_GB2312" w:hAnsi="仿宋" w:eastAsia="仿宋_GB2312" w:cs="仿宋"/>
          <w:sz w:val="32"/>
          <w:szCs w:val="32"/>
          <w:lang w:eastAsia="zh-CN"/>
        </w:rPr>
        <w:t>院</w:t>
      </w:r>
      <w:r>
        <w:rPr>
          <w:rFonts w:hint="eastAsia" w:ascii="仿宋_GB2312" w:hAnsi="仿宋" w:eastAsia="仿宋_GB2312" w:cs="仿宋"/>
          <w:sz w:val="32"/>
          <w:szCs w:val="32"/>
        </w:rPr>
        <w:t>精细落实“讲政治、顾大局、谋发展、重自强”检察工作总要求，全面充分履行法律监督职责，以检察工作高质量发展服务保障区域经济社会高质量发展，努力为建设现代化、国际化美丽省会示范区提供有力司法保障。</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69ACC03">
      <w:pPr>
        <w:spacing w:line="5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rPr>
        <w:t>1</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安保保洁经费：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95</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9.36</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9.36</w:t>
      </w:r>
      <w:r>
        <w:rPr>
          <w:rFonts w:hint="default" w:ascii="Times New Roman" w:hAnsi="Times New Roman" w:eastAsia="仿宋_GB2312" w:cs="Times New Roman"/>
          <w:sz w:val="32"/>
          <w:szCs w:val="32"/>
        </w:rPr>
        <w:t>万元，项目绩效完成情况：优秀。</w:t>
      </w:r>
    </w:p>
    <w:p w14:paraId="372A3184">
      <w:pPr>
        <w:spacing w:line="5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2.专用材料购置经费：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96</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6.23</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6.23</w:t>
      </w:r>
      <w:r>
        <w:rPr>
          <w:rFonts w:hint="default" w:ascii="Times New Roman" w:hAnsi="Times New Roman" w:eastAsia="仿宋_GB2312" w:cs="Times New Roman"/>
          <w:sz w:val="32"/>
          <w:szCs w:val="32"/>
        </w:rPr>
        <w:t>万元，项目绩效完成情况：优秀。</w:t>
      </w:r>
    </w:p>
    <w:p w14:paraId="3F442CAE">
      <w:pPr>
        <w:spacing w:line="5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3.党组织活动经费：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63</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7.05</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2.85</w:t>
      </w:r>
      <w:r>
        <w:rPr>
          <w:rFonts w:hint="default" w:ascii="Times New Roman" w:hAnsi="Times New Roman" w:eastAsia="仿宋_GB2312" w:cs="Times New Roman"/>
          <w:sz w:val="32"/>
          <w:szCs w:val="32"/>
        </w:rPr>
        <w:t>万元，项目绩效完成情况：</w:t>
      </w:r>
      <w:r>
        <w:rPr>
          <w:rFonts w:hint="eastAsia" w:ascii="Times New Roman" w:hAnsi="Times New Roman" w:eastAsia="仿宋_GB2312" w:cs="Times New Roman"/>
          <w:sz w:val="32"/>
          <w:szCs w:val="32"/>
          <w:lang w:val="en-US" w:eastAsia="zh-CN"/>
        </w:rPr>
        <w:t>一般</w:t>
      </w:r>
      <w:r>
        <w:rPr>
          <w:rFonts w:hint="default" w:ascii="Times New Roman" w:hAnsi="Times New Roman" w:eastAsia="仿宋_GB2312" w:cs="Times New Roman"/>
          <w:sz w:val="32"/>
          <w:szCs w:val="32"/>
        </w:rPr>
        <w:t>。</w:t>
      </w:r>
    </w:p>
    <w:p w14:paraId="3A3CFD8C">
      <w:pPr>
        <w:spacing w:line="560" w:lineRule="exact"/>
        <w:ind w:firstLine="640" w:firstLineChars="200"/>
        <w:rPr>
          <w:rFonts w:hint="default" w:ascii="Times New Roman" w:hAnsi="Times New Roman" w:eastAsia="仿宋_GB2312" w:cs="Times New Roman"/>
          <w:sz w:val="32"/>
          <w:szCs w:val="32"/>
        </w:rPr>
      </w:pPr>
      <w:r>
        <w:rPr>
          <w:rFonts w:hint="eastAsia" w:ascii="仿宋_GB2312" w:hAnsi="仿宋" w:eastAsia="仿宋_GB2312"/>
          <w:sz w:val="32"/>
          <w:szCs w:val="32"/>
          <w:lang w:val="en-US" w:eastAsia="zh-CN"/>
        </w:rPr>
        <w:t>4.文件资料印刷费：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78</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3.045</w:t>
      </w:r>
      <w:r>
        <w:rPr>
          <w:rFonts w:hint="default" w:ascii="Times New Roman" w:hAnsi="Times New Roman" w:eastAsia="仿宋_GB2312" w:cs="Times New Roman"/>
          <w:sz w:val="32"/>
          <w:szCs w:val="32"/>
        </w:rPr>
        <w:t>万元，项目绩效完成情况：</w:t>
      </w:r>
      <w:r>
        <w:rPr>
          <w:rFonts w:hint="eastAsia" w:ascii="Times New Roman" w:hAnsi="Times New Roman" w:eastAsia="仿宋_GB2312" w:cs="Times New Roman"/>
          <w:sz w:val="32"/>
          <w:szCs w:val="32"/>
          <w:lang w:val="en-US" w:eastAsia="zh-CN"/>
        </w:rPr>
        <w:t>良好</w:t>
      </w:r>
      <w:r>
        <w:rPr>
          <w:rFonts w:hint="default" w:ascii="Times New Roman" w:hAnsi="Times New Roman" w:eastAsia="仿宋_GB2312" w:cs="Times New Roman"/>
          <w:sz w:val="32"/>
          <w:szCs w:val="32"/>
        </w:rPr>
        <w:t>。</w:t>
      </w:r>
    </w:p>
    <w:p w14:paraId="36541FEA">
      <w:pPr>
        <w:spacing w:line="560" w:lineRule="exact"/>
        <w:ind w:firstLine="640" w:firstLineChars="200"/>
        <w:rPr>
          <w:rFonts w:hint="default" w:ascii="Times New Roman" w:hAnsi="Times New Roman" w:eastAsia="仿宋_GB2312" w:cs="Times New Roman"/>
          <w:sz w:val="32"/>
          <w:szCs w:val="32"/>
        </w:rPr>
      </w:pPr>
      <w:r>
        <w:rPr>
          <w:rFonts w:hint="eastAsia" w:ascii="仿宋_GB2312" w:hAnsi="仿宋" w:eastAsia="仿宋_GB2312"/>
          <w:sz w:val="32"/>
          <w:szCs w:val="32"/>
          <w:lang w:val="en-US" w:eastAsia="zh-CN"/>
        </w:rPr>
        <w:t>5.政务新媒体宣传经费：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55</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7.35</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2.25</w:t>
      </w:r>
      <w:r>
        <w:rPr>
          <w:rFonts w:hint="default" w:ascii="Times New Roman" w:hAnsi="Times New Roman" w:eastAsia="仿宋_GB2312" w:cs="Times New Roman"/>
          <w:sz w:val="32"/>
          <w:szCs w:val="32"/>
        </w:rPr>
        <w:t>万元，项目绩效完成情况：</w:t>
      </w:r>
      <w:r>
        <w:rPr>
          <w:rFonts w:hint="eastAsia" w:ascii="Times New Roman" w:hAnsi="Times New Roman" w:eastAsia="仿宋_GB2312" w:cs="Times New Roman"/>
          <w:sz w:val="32"/>
          <w:szCs w:val="32"/>
          <w:lang w:val="en-US" w:eastAsia="zh-CN"/>
        </w:rPr>
        <w:t>较差</w:t>
      </w:r>
      <w:r>
        <w:rPr>
          <w:rFonts w:hint="default" w:ascii="Times New Roman" w:hAnsi="Times New Roman" w:eastAsia="仿宋_GB2312" w:cs="Times New Roman"/>
          <w:sz w:val="32"/>
          <w:szCs w:val="32"/>
        </w:rPr>
        <w:t>。</w:t>
      </w:r>
    </w:p>
    <w:p w14:paraId="3F0EA037">
      <w:pPr>
        <w:spacing w:line="560" w:lineRule="exact"/>
        <w:ind w:firstLine="640" w:firstLineChars="200"/>
        <w:rPr>
          <w:rFonts w:hint="default" w:ascii="Times New Roman" w:hAnsi="Times New Roman" w:eastAsia="仿宋_GB2312" w:cs="Times New Roman"/>
          <w:sz w:val="32"/>
          <w:szCs w:val="32"/>
        </w:rPr>
      </w:pPr>
      <w:r>
        <w:rPr>
          <w:rFonts w:hint="eastAsia" w:ascii="仿宋_GB2312" w:hAnsi="仿宋" w:eastAsia="仿宋_GB2312"/>
          <w:sz w:val="32"/>
          <w:szCs w:val="32"/>
          <w:lang w:val="en-US" w:eastAsia="zh-CN"/>
        </w:rPr>
        <w:t>6.专家咨询费：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57</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0.81</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0.25</w:t>
      </w:r>
      <w:r>
        <w:rPr>
          <w:rFonts w:hint="default" w:ascii="Times New Roman" w:hAnsi="Times New Roman" w:eastAsia="仿宋_GB2312" w:cs="Times New Roman"/>
          <w:sz w:val="32"/>
          <w:szCs w:val="32"/>
        </w:rPr>
        <w:t>万元，项目绩效完成情况：</w:t>
      </w:r>
      <w:r>
        <w:rPr>
          <w:rFonts w:hint="eastAsia" w:ascii="Times New Roman" w:hAnsi="Times New Roman" w:eastAsia="仿宋_GB2312" w:cs="Times New Roman"/>
          <w:sz w:val="32"/>
          <w:szCs w:val="32"/>
          <w:lang w:val="en-US" w:eastAsia="zh-CN"/>
        </w:rPr>
        <w:t>较差</w:t>
      </w:r>
      <w:r>
        <w:rPr>
          <w:rFonts w:hint="default" w:ascii="Times New Roman" w:hAnsi="Times New Roman" w:eastAsia="仿宋_GB2312" w:cs="Times New Roman"/>
          <w:sz w:val="32"/>
          <w:szCs w:val="32"/>
        </w:rPr>
        <w:t>。</w:t>
      </w:r>
    </w:p>
    <w:p w14:paraId="0DF27850">
      <w:pPr>
        <w:spacing w:line="5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7.劳务派遣经费：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94</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71.7</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71.7</w:t>
      </w:r>
      <w:r>
        <w:rPr>
          <w:rFonts w:hint="default" w:ascii="Times New Roman" w:hAnsi="Times New Roman" w:eastAsia="仿宋_GB2312" w:cs="Times New Roman"/>
          <w:sz w:val="32"/>
          <w:szCs w:val="32"/>
        </w:rPr>
        <w:t>万元，项目绩效完成情况：优秀。</w:t>
      </w:r>
    </w:p>
    <w:p w14:paraId="7DE587B6">
      <w:pPr>
        <w:spacing w:line="560" w:lineRule="exact"/>
        <w:ind w:firstLine="640" w:firstLineChars="200"/>
        <w:rPr>
          <w:rFonts w:hint="default"/>
          <w:lang w:val="en-US"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rPr>
        <w:t>聘用制书记员经费</w:t>
      </w:r>
      <w:r>
        <w:rPr>
          <w:rFonts w:hint="eastAsia" w:ascii="仿宋_GB2312" w:hAnsi="仿宋" w:eastAsia="仿宋_GB2312"/>
          <w:sz w:val="32"/>
          <w:szCs w:val="32"/>
          <w:lang w:val="en-US" w:eastAsia="zh-CN"/>
        </w:rPr>
        <w:t>：</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97</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95.032</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95.032</w:t>
      </w:r>
      <w:r>
        <w:rPr>
          <w:rFonts w:hint="default" w:ascii="Times New Roman" w:hAnsi="Times New Roman" w:eastAsia="仿宋_GB2312" w:cs="Times New Roman"/>
          <w:sz w:val="32"/>
          <w:szCs w:val="32"/>
        </w:rPr>
        <w:t>万元，项目绩效完成情况：优秀。</w:t>
      </w:r>
    </w:p>
    <w:p w14:paraId="35E0495D">
      <w:pPr>
        <w:numPr>
          <w:ilvl w:val="0"/>
          <w:numId w:val="0"/>
        </w:numPr>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9.</w:t>
      </w:r>
      <w:r>
        <w:rPr>
          <w:rFonts w:hint="default" w:ascii="仿宋_GB2312" w:hAnsi="仿宋" w:eastAsia="仿宋_GB2312"/>
          <w:sz w:val="32"/>
          <w:szCs w:val="32"/>
          <w:lang w:val="en-US" w:eastAsia="zh-CN"/>
        </w:rPr>
        <w:t>提前下达202</w:t>
      </w:r>
      <w:r>
        <w:rPr>
          <w:rFonts w:hint="eastAsia" w:ascii="仿宋_GB2312" w:hAnsi="仿宋" w:eastAsia="仿宋_GB2312"/>
          <w:sz w:val="32"/>
          <w:szCs w:val="32"/>
          <w:lang w:val="en-US" w:eastAsia="zh-CN"/>
        </w:rPr>
        <w:t>5</w:t>
      </w:r>
      <w:r>
        <w:rPr>
          <w:rFonts w:hint="default" w:ascii="仿宋_GB2312" w:hAnsi="仿宋" w:eastAsia="仿宋_GB2312"/>
          <w:sz w:val="32"/>
          <w:szCs w:val="32"/>
          <w:lang w:val="en-US" w:eastAsia="zh-CN"/>
        </w:rPr>
        <w:t>年中央政法纪检监察转移支付资金（业务费）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4B639B20">
      <w:pPr>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10.</w:t>
      </w:r>
      <w:r>
        <w:rPr>
          <w:rFonts w:hint="default" w:ascii="仿宋_GB2312" w:hAnsi="仿宋" w:eastAsia="仿宋_GB2312"/>
          <w:sz w:val="32"/>
          <w:szCs w:val="32"/>
          <w:lang w:val="en-US" w:eastAsia="zh-CN"/>
        </w:rPr>
        <w:t>提前下达202</w:t>
      </w:r>
      <w:r>
        <w:rPr>
          <w:rFonts w:hint="eastAsia" w:ascii="仿宋_GB2312" w:hAnsi="仿宋" w:eastAsia="仿宋_GB2312"/>
          <w:sz w:val="32"/>
          <w:szCs w:val="32"/>
          <w:lang w:val="en-US" w:eastAsia="zh-CN"/>
        </w:rPr>
        <w:t>5</w:t>
      </w:r>
      <w:r>
        <w:rPr>
          <w:rFonts w:hint="default" w:ascii="仿宋_GB2312" w:hAnsi="仿宋" w:eastAsia="仿宋_GB2312"/>
          <w:sz w:val="32"/>
          <w:szCs w:val="32"/>
          <w:lang w:val="en-US" w:eastAsia="zh-CN"/>
        </w:rPr>
        <w:t>年中央政法纪检监察转移支付资金（装备费）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4FFC662D">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11.</w:t>
      </w:r>
      <w:r>
        <w:rPr>
          <w:rFonts w:hint="default" w:ascii="仿宋_GB2312" w:hAnsi="仿宋" w:eastAsia="仿宋_GB2312"/>
          <w:sz w:val="32"/>
          <w:szCs w:val="32"/>
          <w:lang w:val="en-US" w:eastAsia="zh-CN"/>
        </w:rPr>
        <w:t>提前下达202</w:t>
      </w:r>
      <w:r>
        <w:rPr>
          <w:rFonts w:hint="eastAsia" w:ascii="仿宋_GB2312" w:hAnsi="仿宋" w:eastAsia="仿宋_GB2312"/>
          <w:sz w:val="32"/>
          <w:szCs w:val="32"/>
          <w:lang w:val="en-US" w:eastAsia="zh-CN"/>
        </w:rPr>
        <w:t>5</w:t>
      </w:r>
      <w:r>
        <w:rPr>
          <w:rFonts w:hint="default" w:ascii="仿宋_GB2312" w:hAnsi="仿宋" w:eastAsia="仿宋_GB2312"/>
          <w:sz w:val="32"/>
          <w:szCs w:val="32"/>
          <w:lang w:val="en-US" w:eastAsia="zh-CN"/>
        </w:rPr>
        <w:t>年省级基层公检法司转移支付资金（业务</w:t>
      </w:r>
      <w:bookmarkStart w:id="0" w:name="_GoBack"/>
      <w:bookmarkEnd w:id="0"/>
      <w:r>
        <w:rPr>
          <w:rFonts w:hint="default" w:ascii="仿宋_GB2312" w:hAnsi="仿宋" w:eastAsia="仿宋_GB2312"/>
          <w:sz w:val="32"/>
          <w:szCs w:val="32"/>
          <w:lang w:val="en-US" w:eastAsia="zh-CN"/>
        </w:rPr>
        <w:t>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686C1240">
      <w:pPr>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12.</w:t>
      </w:r>
      <w:r>
        <w:rPr>
          <w:rFonts w:hint="default" w:ascii="仿宋_GB2312" w:hAnsi="仿宋" w:eastAsia="仿宋_GB2312"/>
          <w:sz w:val="32"/>
          <w:szCs w:val="32"/>
          <w:lang w:val="en-US" w:eastAsia="zh-CN"/>
        </w:rPr>
        <w:t>提前下达202</w:t>
      </w:r>
      <w:r>
        <w:rPr>
          <w:rFonts w:hint="eastAsia" w:ascii="仿宋_GB2312" w:hAnsi="仿宋" w:eastAsia="仿宋_GB2312"/>
          <w:sz w:val="32"/>
          <w:szCs w:val="32"/>
          <w:lang w:val="en-US" w:eastAsia="zh-CN"/>
        </w:rPr>
        <w:t>5</w:t>
      </w:r>
      <w:r>
        <w:rPr>
          <w:rFonts w:hint="default" w:ascii="仿宋_GB2312" w:hAnsi="仿宋" w:eastAsia="仿宋_GB2312"/>
          <w:sz w:val="32"/>
          <w:szCs w:val="32"/>
          <w:lang w:val="en-US" w:eastAsia="zh-CN"/>
        </w:rPr>
        <w:t>年省级基层公检法司转移支付资金（装备费）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223B525C">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13.2025年第一批国家司法救助资金</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D767232">
      <w:pPr>
        <w:spacing w:line="560" w:lineRule="exact"/>
        <w:ind w:firstLine="640" w:firstLineChars="200"/>
        <w:rPr>
          <w:rFonts w:ascii="仿宋" w:hAnsi="仿宋" w:eastAsia="仿宋"/>
          <w:sz w:val="32"/>
          <w:szCs w:val="32"/>
        </w:rPr>
      </w:pPr>
      <w:r>
        <w:rPr>
          <w:rFonts w:hint="eastAsia" w:ascii="仿宋_GB2312" w:hAnsi="仿宋" w:eastAsia="仿宋_GB2312"/>
          <w:sz w:val="32"/>
          <w:szCs w:val="32"/>
        </w:rPr>
        <w:t>根据部门职责定位和各项工作履职情况，通过综合分析评价，绩效评价工作组对部门整体支出绩效目标实现情况进行打分，总分100分，得分</w:t>
      </w:r>
      <w:r>
        <w:rPr>
          <w:rFonts w:hint="eastAsia" w:ascii="仿宋_GB2312" w:hAnsi="仿宋" w:eastAsia="仿宋_GB2312"/>
          <w:sz w:val="32"/>
          <w:szCs w:val="32"/>
          <w:lang w:val="en-US" w:eastAsia="zh-CN"/>
        </w:rPr>
        <w:t>82</w:t>
      </w:r>
      <w:r>
        <w:rPr>
          <w:rFonts w:hint="eastAsia" w:ascii="仿宋_GB2312" w:hAnsi="仿宋" w:eastAsia="仿宋_GB2312"/>
          <w:sz w:val="32"/>
          <w:szCs w:val="32"/>
        </w:rPr>
        <w:t>分，综合绩效评价等级为</w:t>
      </w:r>
      <w:r>
        <w:rPr>
          <w:rFonts w:hint="eastAsia" w:ascii="仿宋_GB2312" w:hAnsi="仿宋" w:eastAsia="仿宋_GB2312"/>
          <w:sz w:val="32"/>
          <w:szCs w:val="32"/>
          <w:lang w:val="en-US" w:eastAsia="zh-CN"/>
        </w:rPr>
        <w:t>良好</w:t>
      </w:r>
      <w:r>
        <w:rPr>
          <w:rFonts w:hint="eastAsia" w:ascii="仿宋_GB2312" w:hAnsi="仿宋" w:eastAsia="仿宋_GB2312"/>
          <w:sz w:val="32"/>
          <w:szCs w:val="32"/>
        </w:rPr>
        <w:t>。在今后的工作中，我们将继续重视绩效评价工作</w:t>
      </w:r>
      <w:r>
        <w:rPr>
          <w:rFonts w:hint="eastAsia" w:ascii="仿宋_GB2312" w:hAnsi="仿宋" w:eastAsia="仿宋_GB2312"/>
          <w:sz w:val="32"/>
          <w:szCs w:val="32"/>
          <w:lang w:eastAsia="zh-CN"/>
        </w:rPr>
        <w:t>，</w:t>
      </w:r>
      <w:r>
        <w:rPr>
          <w:rFonts w:hint="eastAsia" w:ascii="仿宋_GB2312" w:hAnsi="仿宋" w:eastAsia="仿宋_GB2312" w:cs="仿宋"/>
          <w:sz w:val="32"/>
          <w:szCs w:val="32"/>
        </w:rPr>
        <w:t>加强预算收支管理，不断梳理内部管理流程，建立健全内部管理制度，部门整体支出管理水平得到提升。</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34D6091">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从自评情况看，有关项目总体立项规范，绩效目标明确，预算编制较为合理，预算执行</w:t>
      </w:r>
      <w:r>
        <w:rPr>
          <w:rFonts w:hint="eastAsia" w:ascii="仿宋_GB2312" w:hAnsi="仿宋" w:eastAsia="仿宋_GB2312" w:cs="仿宋"/>
          <w:sz w:val="32"/>
          <w:szCs w:val="32"/>
          <w:lang w:eastAsia="zh-CN"/>
        </w:rPr>
        <w:t>较为</w:t>
      </w:r>
      <w:r>
        <w:rPr>
          <w:rFonts w:hint="eastAsia" w:ascii="仿宋_GB2312" w:hAnsi="仿宋" w:eastAsia="仿宋_GB2312" w:cs="仿宋"/>
          <w:sz w:val="32"/>
          <w:szCs w:val="32"/>
        </w:rPr>
        <w:t>及时</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有效，资金及时到位，各项管理制度健全并且能有效执行，绩效目标得到较好实现，部门履职水平不断提高，但也存在部分项目产出指标低于预期、项目实施进展慢等问题。</w:t>
      </w: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561B0517">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14:paraId="64D2E7EB">
      <w:pPr>
        <w:spacing w:line="560" w:lineRule="exact"/>
        <w:ind w:firstLine="640" w:firstLineChars="200"/>
        <w:rPr>
          <w:rFonts w:ascii="黑体" w:hAnsi="黑体" w:eastAsia="黑体"/>
          <w:sz w:val="32"/>
          <w:szCs w:val="32"/>
        </w:rPr>
      </w:pPr>
      <w:r>
        <w:rPr>
          <w:rFonts w:hint="eastAsia" w:ascii="仿宋_GB2312" w:hAnsi="仿宋" w:eastAsia="仿宋_GB2312" w:cs="仿宋"/>
          <w:sz w:val="32"/>
          <w:szCs w:val="32"/>
        </w:rPr>
        <w:t>2.提升预算执行率。建议相关部门年初应制定较为详细的资金使用明细和计划，有效保障下一年度的资金使用和项目实施，采取项目事前评估或其他方式对项目执行过程中可能发生的问题进行预测，有的放矢的采取相关措施保障计划顺利实施。</w:t>
      </w:r>
    </w:p>
    <w:p w14:paraId="65862311">
      <w:pPr>
        <w:spacing w:line="560" w:lineRule="exact"/>
        <w:rPr>
          <w:rFonts w:ascii="仿宋" w:hAnsi="仿宋" w:eastAsia="仿宋"/>
        </w:rPr>
      </w:pPr>
    </w:p>
    <w:p w14:paraId="3E3D0168">
      <w:pPr>
        <w:pStyle w:val="2"/>
      </w:pPr>
    </w:p>
    <w:p w14:paraId="4002285E">
      <w:pPr>
        <w:pStyle w:val="2"/>
        <w:ind w:firstLine="4800" w:firstLineChars="150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石家庄市裕华区人民检察院</w:t>
      </w:r>
    </w:p>
    <w:p w14:paraId="640D7BE6">
      <w:pPr>
        <w:ind w:firstLine="5440" w:firstLineChars="1700"/>
        <w:rPr>
          <w:rFonts w:ascii="仿宋" w:hAnsi="仿宋" w:eastAsia="仿宋"/>
        </w:rPr>
      </w:pPr>
      <w:r>
        <w:rPr>
          <w:rFonts w:hint="eastAsia" w:ascii="仿宋_GB2312" w:hAnsi="仿宋_GB2312" w:eastAsia="仿宋_GB2312" w:cs="仿宋_GB2312"/>
          <w:b w:val="0"/>
          <w:kern w:val="2"/>
          <w:sz w:val="32"/>
          <w:szCs w:val="32"/>
          <w:lang w:val="en-US" w:eastAsia="zh-CN" w:bidi="ar-SA"/>
        </w:rPr>
        <w:t>2026年4月15日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EB0EA7E-2982-4562-9DE9-398CFC4BE5E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embedRegular r:id="rId2" w:fontKey="{EC06355C-7514-4FEF-BF0D-46BF996F5828}"/>
  </w:font>
  <w:font w:name="方正仿宋_GBK">
    <w:panose1 w:val="02000000000000000000"/>
    <w:charset w:val="86"/>
    <w:family w:val="auto"/>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embedRegular r:id="rId3" w:fontKey="{18F460DB-8537-4242-9499-437911E0A46C}"/>
  </w:font>
  <w:font w:name="华文楷体">
    <w:panose1 w:val="02010600040101010101"/>
    <w:charset w:val="86"/>
    <w:family w:val="auto"/>
    <w:pitch w:val="default"/>
    <w:sig w:usb0="00000287" w:usb1="080F0000" w:usb2="00000000" w:usb3="00000000" w:csb0="0004009F" w:csb1="DFD70000"/>
    <w:embedRegular r:id="rId4" w:fontKey="{D095F359-11F1-48B1-973B-2BD13401D4E3}"/>
  </w:font>
  <w:font w:name="楷体">
    <w:panose1 w:val="02010609060101010101"/>
    <w:charset w:val="86"/>
    <w:family w:val="modern"/>
    <w:pitch w:val="default"/>
    <w:sig w:usb0="800002BF" w:usb1="38CF7CFA" w:usb2="00000016" w:usb3="00000000" w:csb0="00040001" w:csb1="00000000"/>
    <w:embedRegular r:id="rId5" w:fontKey="{30D2DABD-60A3-460D-83B9-53634B6607FC}"/>
  </w:font>
  <w:font w:name="方正小标宋_GBK">
    <w:panose1 w:val="02000000000000000000"/>
    <w:charset w:val="86"/>
    <w:family w:val="auto"/>
    <w:pitch w:val="default"/>
    <w:sig w:usb0="A00002BF" w:usb1="38CF7CFA" w:usb2="00082016" w:usb3="00000000" w:csb0="00040001" w:csb1="00000000"/>
    <w:embedRegular r:id="rId6" w:fontKey="{9D8FA78A-42E2-4E0A-8814-8585EE11007B}"/>
  </w:font>
  <w:font w:name="楷体_GB2312">
    <w:altName w:val="楷体"/>
    <w:panose1 w:val="02010609030101010101"/>
    <w:charset w:val="86"/>
    <w:family w:val="auto"/>
    <w:pitch w:val="default"/>
    <w:sig w:usb0="00000000" w:usb1="00000000" w:usb2="00000000" w:usb3="00000000" w:csb0="00040000" w:csb1="00000000"/>
    <w:embedRegular r:id="rId7" w:fontKey="{04CEF19B-04B3-4632-8206-239790A2A528}"/>
  </w:font>
  <w:font w:name="仿宋_GB2312">
    <w:panose1 w:val="02010609030101010101"/>
    <w:charset w:val="86"/>
    <w:family w:val="modern"/>
    <w:pitch w:val="default"/>
    <w:sig w:usb0="00000001" w:usb1="080E0000" w:usb2="00000000" w:usb3="00000000" w:csb0="00040000" w:csb1="00000000"/>
    <w:embedRegular r:id="rId8" w:fontKey="{B32223FA-DA77-41F3-9358-8485C23628F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EC032F1"/>
    <w:rsid w:val="0F214EAE"/>
    <w:rsid w:val="11B71E6A"/>
    <w:rsid w:val="1AAF0063"/>
    <w:rsid w:val="1BE140DE"/>
    <w:rsid w:val="1E542E40"/>
    <w:rsid w:val="248C197D"/>
    <w:rsid w:val="252959AF"/>
    <w:rsid w:val="277A6671"/>
    <w:rsid w:val="292D35B7"/>
    <w:rsid w:val="31B17417"/>
    <w:rsid w:val="33EB6CFF"/>
    <w:rsid w:val="34521698"/>
    <w:rsid w:val="34FC50ED"/>
    <w:rsid w:val="35A12947"/>
    <w:rsid w:val="35B302EA"/>
    <w:rsid w:val="36EF75DB"/>
    <w:rsid w:val="37387040"/>
    <w:rsid w:val="3B625C0A"/>
    <w:rsid w:val="3CEE1963"/>
    <w:rsid w:val="436B78D3"/>
    <w:rsid w:val="44175A1E"/>
    <w:rsid w:val="4C9C27FE"/>
    <w:rsid w:val="4E7C2EEB"/>
    <w:rsid w:val="512260B4"/>
    <w:rsid w:val="52BD6ACB"/>
    <w:rsid w:val="55427A3F"/>
    <w:rsid w:val="55537534"/>
    <w:rsid w:val="561A74F1"/>
    <w:rsid w:val="57EC4BEA"/>
    <w:rsid w:val="58B17416"/>
    <w:rsid w:val="597244E8"/>
    <w:rsid w:val="5BCD5B04"/>
    <w:rsid w:val="5EB71C30"/>
    <w:rsid w:val="5EF76C13"/>
    <w:rsid w:val="62770CCE"/>
    <w:rsid w:val="66AF0CE5"/>
    <w:rsid w:val="68AC2130"/>
    <w:rsid w:val="6AC537CF"/>
    <w:rsid w:val="6CFE1C72"/>
    <w:rsid w:val="6D0C6121"/>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9"/>
    <w:pPr>
      <w:keepNext/>
      <w:keepLines/>
      <w:spacing w:line="413" w:lineRule="auto"/>
      <w:outlineLvl w:val="1"/>
    </w:pPr>
    <w:rPr>
      <w:rFonts w:ascii="Arial" w:hAnsi="Arial" w:eastAsia="黑体"/>
      <w:b/>
      <w:sz w:val="32"/>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3116</Words>
  <Characters>3269</Characters>
  <Lines>4</Lines>
  <Paragraphs>1</Paragraphs>
  <TotalTime>4</TotalTime>
  <ScaleCrop>false</ScaleCrop>
  <LinksUpToDate>false</LinksUpToDate>
  <CharactersWithSpaces>3286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田雨桐</cp:lastModifiedBy>
  <cp:lastPrinted>2024-03-06T07:40:00Z</cp:lastPrinted>
  <dcterms:modified xsi:type="dcterms:W3CDTF">2026-04-16T07:25:52Z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eyJoZGlkIjoiYWE3MWVmMTYxNTI1YjQyNjQ1YzQxN2JhNWJkN2NjODUiLCJ1c2VySWQiOiIxNzY1MDMwNzcyIn0=</vt:lpwstr>
  </property>
</Properties>
</file>