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22C21C">
      <w:pPr>
        <w:adjustRightInd w:val="0"/>
        <w:snapToGrid w:val="0"/>
        <w:spacing w:line="560" w:lineRule="exact"/>
        <w:rPr>
          <w:rFonts w:hint="default"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0658804C">
      <w:pPr>
        <w:spacing w:line="560" w:lineRule="exact"/>
        <w:jc w:val="center"/>
        <w:rPr>
          <w:rFonts w:ascii="宋体" w:hAnsi="宋体" w:cs="宋体"/>
          <w:b/>
          <w:bCs/>
          <w:sz w:val="44"/>
          <w:szCs w:val="44"/>
        </w:rPr>
      </w:pPr>
    </w:p>
    <w:p w14:paraId="2FD331F4">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河北正定师范高等专科学校</w:t>
      </w:r>
    </w:p>
    <w:p w14:paraId="71578970">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7DB97C26">
      <w:pPr>
        <w:spacing w:line="560" w:lineRule="exact"/>
        <w:jc w:val="center"/>
        <w:rPr>
          <w:rFonts w:ascii="华文楷体" w:eastAsia="华文楷体"/>
          <w:sz w:val="32"/>
          <w:szCs w:val="32"/>
        </w:rPr>
      </w:pPr>
    </w:p>
    <w:p w14:paraId="49821B4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河北正定师范高等专科学校</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104816E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E4236F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1296471">
      <w:pPr>
        <w:keepNext w:val="0"/>
        <w:keepLines w:val="0"/>
        <w:pageBreakBefore w:val="0"/>
        <w:widowControl w:val="0"/>
        <w:kinsoku/>
        <w:wordWrap/>
        <w:overflowPunct/>
        <w:topLinePunct w:val="0"/>
        <w:autoSpaceDE/>
        <w:autoSpaceDN/>
        <w:bidi w:val="0"/>
        <w:adjustRightInd w:val="0"/>
        <w:snapToGrid w:val="0"/>
        <w:spacing w:before="313" w:beforeLines="100" w:line="360" w:lineRule="auto"/>
        <w:ind w:firstLine="643" w:firstLineChars="200"/>
        <w:textAlignment w:val="auto"/>
        <w:rPr>
          <w:rFonts w:ascii="仿宋_GB2312" w:eastAsia="仿宋_GB2312"/>
          <w:b/>
          <w:bCs/>
          <w:sz w:val="32"/>
          <w:szCs w:val="32"/>
        </w:rPr>
      </w:pPr>
      <w:r>
        <w:rPr>
          <w:rFonts w:hint="eastAsia" w:ascii="仿宋_GB2312" w:eastAsia="仿宋_GB2312"/>
          <w:b/>
          <w:bCs/>
          <w:sz w:val="32"/>
          <w:szCs w:val="32"/>
        </w:rPr>
        <w:t>1、部门职责</w:t>
      </w:r>
    </w:p>
    <w:p w14:paraId="78A994DB">
      <w:pPr>
        <w:keepNext w:val="0"/>
        <w:keepLines w:val="0"/>
        <w:pageBreakBefore w:val="0"/>
        <w:widowControl w:val="0"/>
        <w:kinsoku/>
        <w:wordWrap/>
        <w:overflowPunct/>
        <w:topLinePunct w:val="0"/>
        <w:autoSpaceDE/>
        <w:autoSpaceDN/>
        <w:bidi w:val="0"/>
        <w:adjustRightInd w:val="0"/>
        <w:snapToGrid w:val="0"/>
        <w:spacing w:after="157" w:afterLines="50" w:line="560" w:lineRule="exact"/>
        <w:ind w:firstLine="640" w:firstLineChars="200"/>
        <w:textAlignment w:val="auto"/>
        <w:rPr>
          <w:rFonts w:ascii="仿宋" w:hAnsi="仿宋" w:eastAsia="仿宋"/>
          <w:sz w:val="32"/>
          <w:szCs w:val="32"/>
        </w:rPr>
      </w:pPr>
      <w:r>
        <w:rPr>
          <w:rFonts w:ascii="仿宋" w:hAnsi="仿宋" w:eastAsia="仿宋"/>
          <w:sz w:val="32"/>
          <w:szCs w:val="32"/>
        </w:rPr>
        <w:t>河北正定师范高等专科学校是经教育部批准，石家庄市政府主办的一所全日制国办普通高等职业院校，面向全国招生，主要实施专科层次的高等职业技术教育，培养专业技术人才。</w:t>
      </w:r>
    </w:p>
    <w:tbl>
      <w:tblPr>
        <w:tblStyle w:val="6"/>
        <w:tblpPr w:leftFromText="180" w:rightFromText="180" w:vertAnchor="text" w:horzAnchor="page" w:tblpX="1651" w:tblpY="622"/>
        <w:tblOverlap w:val="never"/>
        <w:tblW w:w="941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3"/>
        <w:gridCol w:w="1241"/>
        <w:gridCol w:w="1028"/>
        <w:gridCol w:w="1306"/>
        <w:gridCol w:w="713"/>
        <w:gridCol w:w="337"/>
        <w:gridCol w:w="725"/>
        <w:gridCol w:w="345"/>
        <w:gridCol w:w="642"/>
        <w:gridCol w:w="350"/>
        <w:gridCol w:w="563"/>
        <w:gridCol w:w="326"/>
      </w:tblGrid>
      <w:tr w14:paraId="07CF4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63" w:hRule="atLeast"/>
          <w:tblHeader/>
        </w:trPr>
        <w:tc>
          <w:tcPr>
            <w:tcW w:w="6468" w:type="dxa"/>
            <w:gridSpan w:val="6"/>
            <w:tcBorders>
              <w:top w:val="single" w:color="FFFFFF" w:sz="6" w:space="0"/>
              <w:left w:val="single" w:color="FFFFFF" w:sz="6" w:space="0"/>
              <w:right w:val="single" w:color="FFFFFF" w:sz="6" w:space="0"/>
            </w:tcBorders>
            <w:vAlign w:val="center"/>
          </w:tcPr>
          <w:p w14:paraId="709CEF7B">
            <w:pPr>
              <w:spacing w:line="300" w:lineRule="exact"/>
              <w:jc w:val="left"/>
              <w:rPr>
                <w:rFonts w:ascii="方正小标宋_GBK" w:eastAsia="方正小标宋_GBK"/>
                <w:sz w:val="24"/>
              </w:rPr>
            </w:pPr>
          </w:p>
        </w:tc>
        <w:tc>
          <w:tcPr>
            <w:tcW w:w="2951" w:type="dxa"/>
            <w:gridSpan w:val="6"/>
            <w:tcBorders>
              <w:top w:val="single" w:color="FFFFFF" w:sz="6" w:space="0"/>
              <w:left w:val="single" w:color="FFFFFF" w:sz="6" w:space="0"/>
              <w:right w:val="single" w:color="FFFFFF" w:sz="6" w:space="0"/>
            </w:tcBorders>
            <w:vAlign w:val="center"/>
          </w:tcPr>
          <w:p w14:paraId="3CA6486E">
            <w:pPr>
              <w:spacing w:line="300" w:lineRule="exact"/>
              <w:jc w:val="right"/>
              <w:rPr>
                <w:rFonts w:ascii="方正书宋_GBK" w:eastAsia="方正书宋_GBK"/>
                <w:sz w:val="24"/>
              </w:rPr>
            </w:pPr>
            <w:r>
              <w:rPr>
                <w:rFonts w:hint="eastAsia" w:ascii="方正书宋_GBK" w:eastAsia="方正书宋_GBK"/>
                <w:sz w:val="24"/>
              </w:rPr>
              <w:t>单位：人（辆）</w:t>
            </w:r>
          </w:p>
        </w:tc>
      </w:tr>
      <w:tr w14:paraId="7EFCF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3" w:hRule="atLeast"/>
          <w:tblHeader/>
        </w:trPr>
        <w:tc>
          <w:tcPr>
            <w:tcW w:w="1843" w:type="dxa"/>
            <w:vMerge w:val="restart"/>
            <w:vAlign w:val="center"/>
          </w:tcPr>
          <w:p w14:paraId="4112413C">
            <w:pPr>
              <w:spacing w:line="300" w:lineRule="exact"/>
              <w:jc w:val="center"/>
              <w:rPr>
                <w:rFonts w:ascii="方正书宋_GBK" w:eastAsia="方正书宋_GBK"/>
                <w:b/>
              </w:rPr>
            </w:pPr>
            <w:r>
              <w:rPr>
                <w:rFonts w:hint="eastAsia" w:ascii="方正书宋_GBK" w:eastAsia="方正书宋_GBK"/>
                <w:b/>
              </w:rPr>
              <w:t>单位名称</w:t>
            </w:r>
          </w:p>
        </w:tc>
        <w:tc>
          <w:tcPr>
            <w:tcW w:w="1241" w:type="dxa"/>
            <w:vMerge w:val="restart"/>
            <w:vAlign w:val="center"/>
          </w:tcPr>
          <w:p w14:paraId="0A75F526">
            <w:pPr>
              <w:spacing w:line="300" w:lineRule="exact"/>
              <w:jc w:val="center"/>
              <w:rPr>
                <w:rFonts w:ascii="方正书宋_GBK" w:eastAsia="方正书宋_GBK"/>
                <w:b/>
              </w:rPr>
            </w:pPr>
            <w:r>
              <w:rPr>
                <w:rFonts w:hint="eastAsia" w:ascii="方正书宋_GBK" w:eastAsia="方正书宋_GBK"/>
                <w:b/>
              </w:rPr>
              <w:t>单位性质</w:t>
            </w:r>
          </w:p>
        </w:tc>
        <w:tc>
          <w:tcPr>
            <w:tcW w:w="1028" w:type="dxa"/>
            <w:vMerge w:val="restart"/>
            <w:vAlign w:val="center"/>
          </w:tcPr>
          <w:p w14:paraId="483D6C0A">
            <w:pPr>
              <w:spacing w:line="300" w:lineRule="exact"/>
              <w:jc w:val="center"/>
              <w:rPr>
                <w:rFonts w:ascii="方正书宋_GBK" w:eastAsia="方正书宋_GBK"/>
                <w:b/>
              </w:rPr>
            </w:pPr>
            <w:r>
              <w:rPr>
                <w:rFonts w:hint="eastAsia" w:ascii="方正书宋_GBK" w:eastAsia="方正书宋_GBK"/>
                <w:b/>
              </w:rPr>
              <w:t>单位规格</w:t>
            </w:r>
          </w:p>
        </w:tc>
        <w:tc>
          <w:tcPr>
            <w:tcW w:w="1306" w:type="dxa"/>
            <w:vMerge w:val="restart"/>
            <w:vAlign w:val="center"/>
          </w:tcPr>
          <w:p w14:paraId="3D683925">
            <w:pPr>
              <w:spacing w:line="300" w:lineRule="exact"/>
              <w:jc w:val="center"/>
              <w:rPr>
                <w:rFonts w:ascii="方正书宋_GBK" w:eastAsia="方正书宋_GBK"/>
                <w:b/>
              </w:rPr>
            </w:pPr>
            <w:r>
              <w:rPr>
                <w:rFonts w:hint="eastAsia" w:ascii="方正书宋_GBK" w:eastAsia="方正书宋_GBK"/>
                <w:b/>
              </w:rPr>
              <w:t>经费保障形式</w:t>
            </w:r>
          </w:p>
        </w:tc>
        <w:tc>
          <w:tcPr>
            <w:tcW w:w="713" w:type="dxa"/>
            <w:vMerge w:val="restart"/>
            <w:vAlign w:val="center"/>
          </w:tcPr>
          <w:p w14:paraId="1F5580CD">
            <w:pPr>
              <w:spacing w:line="300" w:lineRule="exact"/>
              <w:jc w:val="center"/>
              <w:rPr>
                <w:rFonts w:ascii="方正书宋_GBK" w:eastAsia="方正书宋_GBK"/>
                <w:b/>
              </w:rPr>
            </w:pPr>
            <w:r>
              <w:rPr>
                <w:rFonts w:hint="eastAsia" w:ascii="方正书宋_GBK" w:eastAsia="方正书宋_GBK"/>
                <w:b/>
              </w:rPr>
              <w:t>车辆实有数</w:t>
            </w:r>
          </w:p>
        </w:tc>
        <w:tc>
          <w:tcPr>
            <w:tcW w:w="1062" w:type="dxa"/>
            <w:gridSpan w:val="2"/>
            <w:vAlign w:val="center"/>
          </w:tcPr>
          <w:p w14:paraId="1D5000BF">
            <w:pPr>
              <w:spacing w:line="300" w:lineRule="exact"/>
              <w:jc w:val="center"/>
              <w:rPr>
                <w:rFonts w:ascii="方正书宋_GBK" w:eastAsia="方正书宋_GBK"/>
                <w:b/>
              </w:rPr>
            </w:pPr>
            <w:r>
              <w:rPr>
                <w:rFonts w:hint="eastAsia" w:ascii="方正书宋_GBK" w:eastAsia="方正书宋_GBK"/>
                <w:b/>
              </w:rPr>
              <w:t>编制人数</w:t>
            </w:r>
          </w:p>
        </w:tc>
        <w:tc>
          <w:tcPr>
            <w:tcW w:w="987" w:type="dxa"/>
            <w:gridSpan w:val="2"/>
            <w:vAlign w:val="center"/>
          </w:tcPr>
          <w:p w14:paraId="31FDA70F">
            <w:pPr>
              <w:spacing w:line="300" w:lineRule="exact"/>
              <w:jc w:val="center"/>
              <w:rPr>
                <w:rFonts w:ascii="方正书宋_GBK" w:eastAsia="方正书宋_GBK"/>
                <w:b/>
              </w:rPr>
            </w:pPr>
            <w:r>
              <w:rPr>
                <w:rFonts w:hint="eastAsia" w:ascii="方正书宋_GBK" w:eastAsia="方正书宋_GBK"/>
                <w:b/>
              </w:rPr>
              <w:t>在职人数</w:t>
            </w:r>
          </w:p>
        </w:tc>
        <w:tc>
          <w:tcPr>
            <w:tcW w:w="1239" w:type="dxa"/>
            <w:gridSpan w:val="3"/>
            <w:vAlign w:val="center"/>
          </w:tcPr>
          <w:p w14:paraId="654446AA">
            <w:pPr>
              <w:spacing w:line="300" w:lineRule="exact"/>
              <w:jc w:val="center"/>
              <w:rPr>
                <w:rFonts w:ascii="方正书宋_GBK" w:eastAsia="方正书宋_GBK"/>
                <w:b/>
              </w:rPr>
            </w:pPr>
            <w:r>
              <w:rPr>
                <w:rFonts w:hint="eastAsia" w:ascii="方正书宋_GBK" w:eastAsia="方正书宋_GBK"/>
                <w:b/>
              </w:rPr>
              <w:t>离退人数</w:t>
            </w:r>
          </w:p>
        </w:tc>
      </w:tr>
      <w:tr w14:paraId="2E07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51" w:hRule="atLeast"/>
          <w:tblHeader/>
        </w:trPr>
        <w:tc>
          <w:tcPr>
            <w:tcW w:w="1843" w:type="dxa"/>
            <w:vMerge w:val="continue"/>
            <w:vAlign w:val="center"/>
          </w:tcPr>
          <w:p w14:paraId="7A86E2BD">
            <w:pPr>
              <w:spacing w:line="300" w:lineRule="exact"/>
              <w:jc w:val="left"/>
              <w:outlineLvl w:val="1"/>
              <w:rPr>
                <w:rFonts w:eastAsia="方正仿宋_GBK"/>
                <w:sz w:val="28"/>
              </w:rPr>
            </w:pPr>
          </w:p>
        </w:tc>
        <w:tc>
          <w:tcPr>
            <w:tcW w:w="1241" w:type="dxa"/>
            <w:vMerge w:val="continue"/>
            <w:vAlign w:val="center"/>
          </w:tcPr>
          <w:p w14:paraId="09141607">
            <w:pPr>
              <w:spacing w:line="300" w:lineRule="exact"/>
              <w:jc w:val="left"/>
              <w:outlineLvl w:val="1"/>
              <w:rPr>
                <w:rFonts w:eastAsia="方正仿宋_GBK"/>
                <w:sz w:val="28"/>
              </w:rPr>
            </w:pPr>
          </w:p>
        </w:tc>
        <w:tc>
          <w:tcPr>
            <w:tcW w:w="1028" w:type="dxa"/>
            <w:vMerge w:val="continue"/>
            <w:vAlign w:val="center"/>
          </w:tcPr>
          <w:p w14:paraId="23745803">
            <w:pPr>
              <w:spacing w:line="300" w:lineRule="exact"/>
              <w:jc w:val="left"/>
              <w:outlineLvl w:val="1"/>
              <w:rPr>
                <w:rFonts w:eastAsia="方正仿宋_GBK"/>
                <w:sz w:val="28"/>
              </w:rPr>
            </w:pPr>
          </w:p>
        </w:tc>
        <w:tc>
          <w:tcPr>
            <w:tcW w:w="1306" w:type="dxa"/>
            <w:vMerge w:val="continue"/>
            <w:vAlign w:val="center"/>
          </w:tcPr>
          <w:p w14:paraId="5F662868">
            <w:pPr>
              <w:spacing w:line="300" w:lineRule="exact"/>
              <w:jc w:val="left"/>
              <w:outlineLvl w:val="1"/>
              <w:rPr>
                <w:rFonts w:eastAsia="方正仿宋_GBK"/>
                <w:sz w:val="28"/>
              </w:rPr>
            </w:pPr>
          </w:p>
        </w:tc>
        <w:tc>
          <w:tcPr>
            <w:tcW w:w="713" w:type="dxa"/>
            <w:vMerge w:val="continue"/>
            <w:vAlign w:val="center"/>
          </w:tcPr>
          <w:p w14:paraId="63842D04">
            <w:pPr>
              <w:spacing w:line="300" w:lineRule="exact"/>
              <w:jc w:val="left"/>
              <w:outlineLvl w:val="1"/>
              <w:rPr>
                <w:rFonts w:eastAsia="方正仿宋_GBK"/>
                <w:sz w:val="28"/>
              </w:rPr>
            </w:pPr>
          </w:p>
        </w:tc>
        <w:tc>
          <w:tcPr>
            <w:tcW w:w="337" w:type="dxa"/>
            <w:vAlign w:val="center"/>
          </w:tcPr>
          <w:p w14:paraId="71F2EEB3">
            <w:pPr>
              <w:spacing w:line="300" w:lineRule="exact"/>
              <w:jc w:val="center"/>
              <w:rPr>
                <w:rFonts w:ascii="方正书宋_GBK" w:eastAsia="方正书宋_GBK"/>
                <w:b/>
              </w:rPr>
            </w:pPr>
            <w:r>
              <w:rPr>
                <w:rFonts w:hint="eastAsia" w:ascii="方正书宋_GBK" w:eastAsia="方正书宋_GBK"/>
                <w:b/>
              </w:rPr>
              <w:t>行政</w:t>
            </w:r>
          </w:p>
        </w:tc>
        <w:tc>
          <w:tcPr>
            <w:tcW w:w="725" w:type="dxa"/>
            <w:vAlign w:val="center"/>
          </w:tcPr>
          <w:p w14:paraId="14684DA7">
            <w:pPr>
              <w:spacing w:line="300" w:lineRule="exact"/>
              <w:jc w:val="center"/>
              <w:rPr>
                <w:rFonts w:ascii="方正书宋_GBK" w:eastAsia="方正书宋_GBK"/>
                <w:b/>
              </w:rPr>
            </w:pPr>
            <w:r>
              <w:rPr>
                <w:rFonts w:hint="eastAsia" w:ascii="方正书宋_GBK" w:eastAsia="方正书宋_GBK"/>
                <w:b/>
              </w:rPr>
              <w:t>事业</w:t>
            </w:r>
          </w:p>
        </w:tc>
        <w:tc>
          <w:tcPr>
            <w:tcW w:w="345" w:type="dxa"/>
            <w:vAlign w:val="center"/>
          </w:tcPr>
          <w:p w14:paraId="1C91CDC6">
            <w:pPr>
              <w:spacing w:line="300" w:lineRule="exact"/>
              <w:jc w:val="center"/>
              <w:rPr>
                <w:rFonts w:ascii="方正书宋_GBK" w:eastAsia="方正书宋_GBK"/>
                <w:b/>
              </w:rPr>
            </w:pPr>
            <w:r>
              <w:rPr>
                <w:rFonts w:hint="eastAsia" w:ascii="方正书宋_GBK" w:eastAsia="方正书宋_GBK"/>
                <w:b/>
              </w:rPr>
              <w:t>行政</w:t>
            </w:r>
          </w:p>
        </w:tc>
        <w:tc>
          <w:tcPr>
            <w:tcW w:w="642" w:type="dxa"/>
            <w:vAlign w:val="center"/>
          </w:tcPr>
          <w:p w14:paraId="21FD840A">
            <w:pPr>
              <w:spacing w:line="300" w:lineRule="exact"/>
              <w:jc w:val="center"/>
              <w:rPr>
                <w:rFonts w:ascii="方正书宋_GBK" w:eastAsia="方正书宋_GBK"/>
                <w:b/>
              </w:rPr>
            </w:pPr>
            <w:r>
              <w:rPr>
                <w:rFonts w:hint="eastAsia" w:ascii="方正书宋_GBK" w:eastAsia="方正书宋_GBK"/>
                <w:b/>
              </w:rPr>
              <w:t>事业</w:t>
            </w:r>
          </w:p>
        </w:tc>
        <w:tc>
          <w:tcPr>
            <w:tcW w:w="350" w:type="dxa"/>
            <w:vAlign w:val="center"/>
          </w:tcPr>
          <w:p w14:paraId="6165E019">
            <w:pPr>
              <w:spacing w:line="300" w:lineRule="exact"/>
              <w:jc w:val="center"/>
              <w:rPr>
                <w:rFonts w:ascii="方正书宋_GBK" w:eastAsia="方正书宋_GBK"/>
                <w:b/>
              </w:rPr>
            </w:pPr>
            <w:r>
              <w:rPr>
                <w:rFonts w:hint="eastAsia" w:ascii="方正书宋_GBK" w:eastAsia="方正书宋_GBK"/>
                <w:b/>
              </w:rPr>
              <w:t>离休</w:t>
            </w:r>
          </w:p>
        </w:tc>
        <w:tc>
          <w:tcPr>
            <w:tcW w:w="563" w:type="dxa"/>
            <w:vAlign w:val="center"/>
          </w:tcPr>
          <w:p w14:paraId="3FCB1D26">
            <w:pPr>
              <w:spacing w:line="300" w:lineRule="exact"/>
              <w:jc w:val="center"/>
              <w:rPr>
                <w:rFonts w:ascii="方正书宋_GBK" w:eastAsia="方正书宋_GBK"/>
                <w:b/>
              </w:rPr>
            </w:pPr>
            <w:r>
              <w:rPr>
                <w:rFonts w:hint="eastAsia" w:ascii="方正书宋_GBK" w:eastAsia="方正书宋_GBK"/>
                <w:b/>
              </w:rPr>
              <w:t>退休</w:t>
            </w:r>
          </w:p>
        </w:tc>
        <w:tc>
          <w:tcPr>
            <w:tcW w:w="326" w:type="dxa"/>
            <w:vAlign w:val="center"/>
          </w:tcPr>
          <w:p w14:paraId="340742E9">
            <w:pPr>
              <w:spacing w:line="300" w:lineRule="exact"/>
              <w:jc w:val="center"/>
              <w:rPr>
                <w:rFonts w:ascii="方正书宋_GBK" w:eastAsia="方正书宋_GBK"/>
                <w:b/>
              </w:rPr>
            </w:pPr>
            <w:r>
              <w:rPr>
                <w:rFonts w:hint="eastAsia" w:ascii="方正书宋_GBK" w:eastAsia="方正书宋_GBK"/>
                <w:b/>
              </w:rPr>
              <w:t>退职</w:t>
            </w:r>
          </w:p>
        </w:tc>
      </w:tr>
      <w:tr w14:paraId="356C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13" w:hRule="atLeast"/>
        </w:trPr>
        <w:tc>
          <w:tcPr>
            <w:tcW w:w="1843" w:type="dxa"/>
            <w:vAlign w:val="center"/>
          </w:tcPr>
          <w:p w14:paraId="078B30E2">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241" w:type="dxa"/>
            <w:vAlign w:val="center"/>
          </w:tcPr>
          <w:p w14:paraId="1FB6A385">
            <w:pPr>
              <w:spacing w:line="300" w:lineRule="exact"/>
              <w:jc w:val="center"/>
              <w:rPr>
                <w:rFonts w:ascii="方正书宋_GBK" w:eastAsia="方正书宋_GBK"/>
                <w:b/>
              </w:rPr>
            </w:pPr>
          </w:p>
        </w:tc>
        <w:tc>
          <w:tcPr>
            <w:tcW w:w="1028" w:type="dxa"/>
            <w:vAlign w:val="center"/>
          </w:tcPr>
          <w:p w14:paraId="1833DC38">
            <w:pPr>
              <w:spacing w:line="300" w:lineRule="exact"/>
              <w:jc w:val="center"/>
              <w:rPr>
                <w:rFonts w:ascii="方正书宋_GBK" w:eastAsia="方正书宋_GBK"/>
                <w:b/>
              </w:rPr>
            </w:pPr>
          </w:p>
        </w:tc>
        <w:tc>
          <w:tcPr>
            <w:tcW w:w="1306" w:type="dxa"/>
            <w:vAlign w:val="center"/>
          </w:tcPr>
          <w:p w14:paraId="191E4AD4">
            <w:pPr>
              <w:spacing w:line="300" w:lineRule="exact"/>
              <w:jc w:val="center"/>
              <w:rPr>
                <w:rFonts w:ascii="方正书宋_GBK" w:eastAsia="方正书宋_GBK"/>
                <w:b/>
              </w:rPr>
            </w:pPr>
          </w:p>
        </w:tc>
        <w:tc>
          <w:tcPr>
            <w:tcW w:w="713" w:type="dxa"/>
            <w:vAlign w:val="center"/>
          </w:tcPr>
          <w:p w14:paraId="5C278358">
            <w:pPr>
              <w:spacing w:line="300" w:lineRule="exact"/>
              <w:jc w:val="center"/>
              <w:rPr>
                <w:rFonts w:hint="eastAsia" w:ascii="方正书宋_GBK" w:eastAsia="方正书宋_GBK"/>
                <w:b/>
                <w:lang w:eastAsia="zh-CN"/>
              </w:rPr>
            </w:pPr>
            <w:r>
              <w:rPr>
                <w:rFonts w:hint="eastAsia" w:ascii="方正书宋_GBK" w:eastAsia="方正书宋_GBK"/>
                <w:b/>
                <w:lang w:val="en-US" w:eastAsia="zh-CN"/>
              </w:rPr>
              <w:t>3</w:t>
            </w:r>
          </w:p>
        </w:tc>
        <w:tc>
          <w:tcPr>
            <w:tcW w:w="337" w:type="dxa"/>
            <w:vAlign w:val="center"/>
          </w:tcPr>
          <w:p w14:paraId="63B76329">
            <w:pPr>
              <w:spacing w:line="300" w:lineRule="exact"/>
              <w:jc w:val="center"/>
              <w:rPr>
                <w:rFonts w:ascii="方正书宋_GBK" w:eastAsia="方正书宋_GBK"/>
                <w:b/>
              </w:rPr>
            </w:pPr>
          </w:p>
        </w:tc>
        <w:tc>
          <w:tcPr>
            <w:tcW w:w="725" w:type="dxa"/>
            <w:vAlign w:val="center"/>
          </w:tcPr>
          <w:p w14:paraId="41D3F543">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450</w:t>
            </w:r>
          </w:p>
        </w:tc>
        <w:tc>
          <w:tcPr>
            <w:tcW w:w="345" w:type="dxa"/>
            <w:vAlign w:val="center"/>
          </w:tcPr>
          <w:p w14:paraId="3DE3BCEC">
            <w:pPr>
              <w:spacing w:line="300" w:lineRule="exact"/>
              <w:jc w:val="center"/>
              <w:rPr>
                <w:rFonts w:ascii="方正书宋_GBK" w:eastAsia="方正书宋_GBK"/>
                <w:b/>
              </w:rPr>
            </w:pPr>
          </w:p>
        </w:tc>
        <w:tc>
          <w:tcPr>
            <w:tcW w:w="642" w:type="dxa"/>
            <w:vAlign w:val="center"/>
          </w:tcPr>
          <w:p w14:paraId="69F0C993">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310</w:t>
            </w:r>
          </w:p>
        </w:tc>
        <w:tc>
          <w:tcPr>
            <w:tcW w:w="350" w:type="dxa"/>
            <w:vAlign w:val="center"/>
          </w:tcPr>
          <w:p w14:paraId="207A6443">
            <w:pPr>
              <w:spacing w:line="300" w:lineRule="exact"/>
              <w:jc w:val="center"/>
              <w:rPr>
                <w:rFonts w:ascii="方正书宋_GBK" w:eastAsia="方正书宋_GBK"/>
                <w:b/>
              </w:rPr>
            </w:pPr>
          </w:p>
        </w:tc>
        <w:tc>
          <w:tcPr>
            <w:tcW w:w="563" w:type="dxa"/>
            <w:vAlign w:val="center"/>
          </w:tcPr>
          <w:p w14:paraId="5EB10ACB">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83</w:t>
            </w:r>
          </w:p>
        </w:tc>
        <w:tc>
          <w:tcPr>
            <w:tcW w:w="326" w:type="dxa"/>
            <w:vAlign w:val="center"/>
          </w:tcPr>
          <w:p w14:paraId="3AC89EB8">
            <w:pPr>
              <w:spacing w:line="300" w:lineRule="exact"/>
              <w:jc w:val="center"/>
              <w:rPr>
                <w:rFonts w:ascii="方正书宋_GBK" w:eastAsia="方正书宋_GBK"/>
                <w:b/>
              </w:rPr>
            </w:pPr>
          </w:p>
        </w:tc>
      </w:tr>
      <w:tr w14:paraId="5422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6" w:hRule="atLeast"/>
        </w:trPr>
        <w:tc>
          <w:tcPr>
            <w:tcW w:w="1843" w:type="dxa"/>
            <w:vAlign w:val="center"/>
          </w:tcPr>
          <w:p w14:paraId="40FD3BC2">
            <w:pPr>
              <w:spacing w:line="300" w:lineRule="exact"/>
              <w:jc w:val="left"/>
              <w:rPr>
                <w:rFonts w:ascii="方正书宋_GBK" w:eastAsia="方正书宋_GBK"/>
              </w:rPr>
            </w:pPr>
            <w:r>
              <w:rPr>
                <w:rFonts w:hint="eastAsia" w:ascii="方正书宋_GBK" w:eastAsia="方正书宋_GBK"/>
              </w:rPr>
              <w:t>河北正定师范高等专科学校本级</w:t>
            </w:r>
          </w:p>
        </w:tc>
        <w:tc>
          <w:tcPr>
            <w:tcW w:w="1241" w:type="dxa"/>
            <w:vAlign w:val="center"/>
          </w:tcPr>
          <w:p w14:paraId="27C51D64">
            <w:pPr>
              <w:spacing w:line="300" w:lineRule="exact"/>
              <w:jc w:val="center"/>
              <w:rPr>
                <w:rFonts w:ascii="方正书宋_GBK" w:eastAsia="方正书宋_GBK"/>
              </w:rPr>
            </w:pPr>
            <w:r>
              <w:rPr>
                <w:rFonts w:hint="eastAsia" w:ascii="方正书宋_GBK" w:eastAsia="方正书宋_GBK"/>
              </w:rPr>
              <w:t>事业</w:t>
            </w:r>
          </w:p>
        </w:tc>
        <w:tc>
          <w:tcPr>
            <w:tcW w:w="1028" w:type="dxa"/>
            <w:vAlign w:val="center"/>
          </w:tcPr>
          <w:p w14:paraId="411AE865">
            <w:pPr>
              <w:spacing w:line="300" w:lineRule="exact"/>
              <w:jc w:val="center"/>
              <w:rPr>
                <w:rFonts w:ascii="方正书宋_GBK" w:eastAsia="方正书宋_GBK"/>
              </w:rPr>
            </w:pPr>
            <w:r>
              <w:rPr>
                <w:rFonts w:hint="eastAsia" w:ascii="方正书宋_GBK" w:eastAsia="方正书宋_GBK"/>
              </w:rPr>
              <w:t>副厅（地）级</w:t>
            </w:r>
          </w:p>
        </w:tc>
        <w:tc>
          <w:tcPr>
            <w:tcW w:w="1306" w:type="dxa"/>
            <w:vAlign w:val="center"/>
          </w:tcPr>
          <w:p w14:paraId="63275B3C">
            <w:pPr>
              <w:spacing w:line="300" w:lineRule="exact"/>
              <w:jc w:val="center"/>
              <w:rPr>
                <w:rFonts w:ascii="方正书宋_GBK" w:eastAsia="方正书宋_GBK"/>
              </w:rPr>
            </w:pPr>
            <w:r>
              <w:rPr>
                <w:rFonts w:hint="eastAsia" w:ascii="方正书宋_GBK" w:eastAsia="方正书宋_GBK"/>
              </w:rPr>
              <w:t>财政性资金基本保证</w:t>
            </w:r>
          </w:p>
        </w:tc>
        <w:tc>
          <w:tcPr>
            <w:tcW w:w="713" w:type="dxa"/>
            <w:vAlign w:val="center"/>
          </w:tcPr>
          <w:p w14:paraId="7655E073">
            <w:pPr>
              <w:spacing w:line="300" w:lineRule="exact"/>
              <w:jc w:val="center"/>
              <w:rPr>
                <w:rFonts w:hint="eastAsia" w:ascii="方正书宋_GBK" w:eastAsia="方正书宋_GBK"/>
                <w:lang w:eastAsia="zh-CN"/>
              </w:rPr>
            </w:pPr>
            <w:r>
              <w:rPr>
                <w:rFonts w:hint="eastAsia" w:ascii="方正书宋_GBK" w:eastAsia="方正书宋_GBK"/>
                <w:lang w:val="en-US" w:eastAsia="zh-CN"/>
              </w:rPr>
              <w:t>3</w:t>
            </w:r>
          </w:p>
        </w:tc>
        <w:tc>
          <w:tcPr>
            <w:tcW w:w="337" w:type="dxa"/>
            <w:vAlign w:val="center"/>
          </w:tcPr>
          <w:p w14:paraId="14BED942">
            <w:pPr>
              <w:spacing w:line="300" w:lineRule="exact"/>
              <w:jc w:val="center"/>
              <w:rPr>
                <w:rFonts w:ascii="方正书宋_GBK" w:eastAsia="方正书宋_GBK"/>
              </w:rPr>
            </w:pPr>
          </w:p>
        </w:tc>
        <w:tc>
          <w:tcPr>
            <w:tcW w:w="725" w:type="dxa"/>
            <w:vAlign w:val="center"/>
          </w:tcPr>
          <w:p w14:paraId="0E58D273">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450</w:t>
            </w:r>
          </w:p>
        </w:tc>
        <w:tc>
          <w:tcPr>
            <w:tcW w:w="345" w:type="dxa"/>
            <w:vAlign w:val="center"/>
          </w:tcPr>
          <w:p w14:paraId="22AD2DA5">
            <w:pPr>
              <w:spacing w:line="300" w:lineRule="exact"/>
              <w:jc w:val="center"/>
              <w:rPr>
                <w:rFonts w:ascii="方正书宋_GBK" w:eastAsia="方正书宋_GBK"/>
              </w:rPr>
            </w:pPr>
          </w:p>
        </w:tc>
        <w:tc>
          <w:tcPr>
            <w:tcW w:w="642" w:type="dxa"/>
            <w:vAlign w:val="center"/>
          </w:tcPr>
          <w:p w14:paraId="2D1FDFEC">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310</w:t>
            </w:r>
          </w:p>
        </w:tc>
        <w:tc>
          <w:tcPr>
            <w:tcW w:w="350" w:type="dxa"/>
            <w:vAlign w:val="center"/>
          </w:tcPr>
          <w:p w14:paraId="156B2B19">
            <w:pPr>
              <w:spacing w:line="300" w:lineRule="exact"/>
              <w:jc w:val="center"/>
              <w:rPr>
                <w:rFonts w:ascii="方正书宋_GBK" w:eastAsia="方正书宋_GBK"/>
              </w:rPr>
            </w:pPr>
          </w:p>
        </w:tc>
        <w:tc>
          <w:tcPr>
            <w:tcW w:w="563" w:type="dxa"/>
            <w:vAlign w:val="center"/>
          </w:tcPr>
          <w:p w14:paraId="79B82123">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83</w:t>
            </w:r>
          </w:p>
        </w:tc>
        <w:tc>
          <w:tcPr>
            <w:tcW w:w="326" w:type="dxa"/>
            <w:vAlign w:val="center"/>
          </w:tcPr>
          <w:p w14:paraId="4923D743">
            <w:pPr>
              <w:spacing w:line="300" w:lineRule="exact"/>
              <w:jc w:val="center"/>
              <w:rPr>
                <w:rFonts w:ascii="方正书宋_GBK" w:eastAsia="方正书宋_GBK"/>
              </w:rPr>
            </w:pPr>
          </w:p>
        </w:tc>
      </w:tr>
    </w:tbl>
    <w:p w14:paraId="77990CCD">
      <w:pPr>
        <w:adjustRightInd w:val="0"/>
        <w:snapToGrid w:val="0"/>
        <w:spacing w:line="360" w:lineRule="auto"/>
        <w:ind w:firstLine="643" w:firstLineChars="200"/>
        <w:rPr>
          <w:rFonts w:ascii="仿宋_GB2312" w:eastAsia="仿宋_GB2312"/>
          <w:b/>
          <w:bCs/>
          <w:sz w:val="32"/>
          <w:szCs w:val="32"/>
        </w:rPr>
      </w:pPr>
      <w:r>
        <w:rPr>
          <w:rFonts w:hint="eastAsia" w:ascii="仿宋_GB2312" w:eastAsia="仿宋_GB2312"/>
          <w:b/>
          <w:bCs/>
          <w:sz w:val="32"/>
          <w:szCs w:val="32"/>
        </w:rPr>
        <w:t>2、机构设置及人员情况：</w:t>
      </w:r>
    </w:p>
    <w:p w14:paraId="118CFB09">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643" w:firstLineChars="200"/>
        <w:textAlignment w:val="auto"/>
        <w:rPr>
          <w:rFonts w:hint="eastAsia" w:ascii="仿宋_GB2312" w:eastAsia="仿宋_GB2312"/>
          <w:b/>
          <w:bCs/>
          <w:sz w:val="32"/>
          <w:szCs w:val="32"/>
        </w:rPr>
      </w:pPr>
      <w:r>
        <w:rPr>
          <w:rFonts w:hint="eastAsia" w:ascii="仿宋_GB2312" w:eastAsia="仿宋_GB2312"/>
          <w:b/>
          <w:bCs/>
          <w:sz w:val="32"/>
          <w:szCs w:val="32"/>
        </w:rPr>
        <w:t>3、</w:t>
      </w:r>
      <w:bookmarkStart w:id="0" w:name="_Toc_3_3_0000000016"/>
      <w:r>
        <w:rPr>
          <w:rFonts w:hint="eastAsia" w:ascii="仿宋_GB2312" w:eastAsia="仿宋_GB2312"/>
          <w:b/>
          <w:bCs/>
          <w:sz w:val="32"/>
          <w:szCs w:val="32"/>
        </w:rPr>
        <w:t>资产信息</w:t>
      </w:r>
      <w:bookmarkEnd w:id="0"/>
    </w:p>
    <w:p w14:paraId="17569B54">
      <w:pPr>
        <w:adjustRightInd w:val="0"/>
        <w:snapToGrid w:val="0"/>
        <w:spacing w:line="360" w:lineRule="auto"/>
        <w:ind w:firstLine="640" w:firstLineChars="200"/>
      </w:pPr>
      <w:r>
        <w:rPr>
          <w:rFonts w:ascii="仿宋_GB2312" w:eastAsia="仿宋_GB2312"/>
          <w:sz w:val="32"/>
          <w:szCs w:val="32"/>
        </w:rPr>
        <w:t>河北正定师范高等专科学校（含所属单位）年末</w:t>
      </w:r>
      <w:r>
        <w:rPr>
          <w:rFonts w:hint="eastAsia" w:ascii="仿宋_GB2312" w:eastAsia="仿宋_GB2312"/>
          <w:sz w:val="32"/>
          <w:szCs w:val="32"/>
        </w:rPr>
        <w:t>资产总额为</w:t>
      </w:r>
      <w:r>
        <w:rPr>
          <w:rFonts w:hint="eastAsia" w:ascii="仿宋_GB2312" w:eastAsia="仿宋_GB2312"/>
          <w:sz w:val="32"/>
          <w:szCs w:val="32"/>
          <w:lang w:val="en-US" w:eastAsia="zh-CN"/>
        </w:rPr>
        <w:t>17243.388752</w:t>
      </w:r>
      <w:r>
        <w:rPr>
          <w:rFonts w:hint="eastAsia" w:ascii="仿宋_GB2312" w:eastAsia="仿宋_GB2312"/>
          <w:sz w:val="32"/>
          <w:szCs w:val="32"/>
        </w:rPr>
        <w:t>万元，其中流动资产共计</w:t>
      </w:r>
      <w:r>
        <w:rPr>
          <w:rFonts w:hint="eastAsia" w:ascii="仿宋_GB2312" w:eastAsia="仿宋_GB2312"/>
          <w:sz w:val="32"/>
          <w:szCs w:val="32"/>
          <w:lang w:val="en-US" w:eastAsia="zh-CN"/>
        </w:rPr>
        <w:t>741.409009</w:t>
      </w:r>
      <w:r>
        <w:rPr>
          <w:rFonts w:hint="eastAsia" w:ascii="仿宋_GB2312" w:eastAsia="仿宋_GB2312"/>
          <w:sz w:val="32"/>
          <w:szCs w:val="32"/>
        </w:rPr>
        <w:t>万元，非流动</w:t>
      </w:r>
      <w:r>
        <w:rPr>
          <w:rFonts w:ascii="仿宋_GB2312" w:eastAsia="仿宋_GB2312"/>
          <w:sz w:val="32"/>
          <w:szCs w:val="32"/>
        </w:rPr>
        <w:t>资产金额</w:t>
      </w:r>
      <w:r>
        <w:rPr>
          <w:rFonts w:hint="eastAsia" w:ascii="仿宋_GB2312" w:eastAsia="仿宋_GB2312"/>
          <w:sz w:val="32"/>
          <w:szCs w:val="32"/>
        </w:rPr>
        <w:t>共计</w:t>
      </w:r>
      <w:r>
        <w:rPr>
          <w:rFonts w:hint="eastAsia" w:ascii="仿宋_GB2312" w:eastAsia="仿宋_GB2312"/>
          <w:sz w:val="32"/>
          <w:szCs w:val="32"/>
          <w:lang w:val="en-US" w:eastAsia="zh-CN"/>
        </w:rPr>
        <w:t>16501.979743</w:t>
      </w:r>
      <w:r>
        <w:rPr>
          <w:rFonts w:ascii="仿宋_GB2312" w:eastAsia="仿宋_GB2312"/>
          <w:sz w:val="32"/>
          <w:szCs w:val="32"/>
        </w:rPr>
        <w:t>万元</w:t>
      </w:r>
      <w:r>
        <w:rPr>
          <w:rFonts w:hint="eastAsia" w:ascii="仿宋_GB2312" w:eastAsia="仿宋_GB2312"/>
          <w:sz w:val="32"/>
          <w:szCs w:val="32"/>
        </w:rPr>
        <w:t>，资产稳定性较强。</w:t>
      </w:r>
    </w:p>
    <w:p w14:paraId="21AC68A8">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1DB46AB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我校202</w:t>
      </w:r>
      <w:r>
        <w:rPr>
          <w:rFonts w:hint="eastAsia" w:ascii="仿宋" w:hAnsi="仿宋" w:eastAsia="仿宋"/>
          <w:sz w:val="32"/>
          <w:szCs w:val="32"/>
          <w:lang w:val="en-US" w:eastAsia="zh-CN"/>
        </w:rPr>
        <w:t>5</w:t>
      </w:r>
      <w:r>
        <w:rPr>
          <w:rFonts w:hint="eastAsia" w:ascii="仿宋" w:hAnsi="仿宋" w:eastAsia="仿宋"/>
          <w:sz w:val="32"/>
          <w:szCs w:val="32"/>
        </w:rPr>
        <w:t>年收入调整预算数为</w:t>
      </w:r>
      <w:r>
        <w:rPr>
          <w:rFonts w:hint="eastAsia" w:ascii="仿宋" w:hAnsi="仿宋" w:eastAsia="仿宋"/>
          <w:sz w:val="32"/>
          <w:szCs w:val="32"/>
          <w:lang w:val="en-US" w:eastAsia="zh-CN"/>
        </w:rPr>
        <w:t>15717.868667</w:t>
      </w:r>
      <w:r>
        <w:rPr>
          <w:rFonts w:hint="eastAsia" w:ascii="仿宋" w:hAnsi="仿宋" w:eastAsia="仿宋"/>
          <w:sz w:val="32"/>
          <w:szCs w:val="32"/>
        </w:rPr>
        <w:t>万元，收入决算数为</w:t>
      </w:r>
      <w:r>
        <w:rPr>
          <w:rFonts w:hint="eastAsia" w:ascii="仿宋" w:hAnsi="仿宋" w:eastAsia="仿宋"/>
          <w:sz w:val="32"/>
          <w:szCs w:val="32"/>
          <w:lang w:val="en-US" w:eastAsia="zh-CN"/>
        </w:rPr>
        <w:t>14613.938303</w:t>
      </w:r>
      <w:r>
        <w:rPr>
          <w:rFonts w:hint="eastAsia" w:ascii="仿宋" w:hAnsi="仿宋" w:eastAsia="仿宋"/>
          <w:sz w:val="32"/>
          <w:szCs w:val="32"/>
        </w:rPr>
        <w:t>万元。202</w:t>
      </w:r>
      <w:r>
        <w:rPr>
          <w:rFonts w:hint="eastAsia" w:ascii="仿宋" w:hAnsi="仿宋" w:eastAsia="仿宋"/>
          <w:sz w:val="32"/>
          <w:szCs w:val="32"/>
          <w:lang w:val="en-US" w:eastAsia="zh-CN"/>
        </w:rPr>
        <w:t>5</w:t>
      </w:r>
      <w:r>
        <w:rPr>
          <w:rFonts w:hint="eastAsia" w:ascii="仿宋" w:hAnsi="仿宋" w:eastAsia="仿宋"/>
          <w:sz w:val="32"/>
          <w:szCs w:val="32"/>
        </w:rPr>
        <w:t>年支出调整预算数为</w:t>
      </w:r>
      <w:r>
        <w:rPr>
          <w:rFonts w:hint="eastAsia" w:ascii="仿宋" w:hAnsi="仿宋" w:eastAsia="仿宋"/>
          <w:sz w:val="32"/>
          <w:szCs w:val="32"/>
          <w:lang w:val="en-US" w:eastAsia="zh-CN"/>
        </w:rPr>
        <w:t>15717.868667</w:t>
      </w:r>
      <w:r>
        <w:rPr>
          <w:rFonts w:hint="eastAsia" w:ascii="仿宋" w:hAnsi="仿宋" w:eastAsia="仿宋"/>
          <w:sz w:val="32"/>
          <w:szCs w:val="32"/>
        </w:rPr>
        <w:t>万元，支出决算数是</w:t>
      </w:r>
      <w:r>
        <w:rPr>
          <w:rFonts w:hint="eastAsia" w:ascii="仿宋" w:hAnsi="仿宋" w:eastAsia="仿宋"/>
          <w:sz w:val="32"/>
          <w:szCs w:val="32"/>
          <w:lang w:val="en-US" w:eastAsia="zh-CN"/>
        </w:rPr>
        <w:t>14542.592303</w:t>
      </w:r>
      <w:r>
        <w:rPr>
          <w:rFonts w:hint="eastAsia" w:ascii="仿宋" w:hAnsi="仿宋" w:eastAsia="仿宋"/>
          <w:sz w:val="32"/>
          <w:szCs w:val="32"/>
        </w:rPr>
        <w:t>万元</w:t>
      </w:r>
      <w:r>
        <w:rPr>
          <w:rFonts w:hint="eastAsia" w:ascii="仿宋" w:hAnsi="仿宋" w:eastAsia="仿宋"/>
          <w:sz w:val="32"/>
          <w:szCs w:val="32"/>
          <w:lang w:eastAsia="zh-CN"/>
        </w:rPr>
        <w:t>，年末结转结余资金71</w:t>
      </w:r>
      <w:r>
        <w:rPr>
          <w:rFonts w:hint="eastAsia" w:ascii="仿宋" w:hAnsi="仿宋" w:eastAsia="仿宋"/>
          <w:sz w:val="32"/>
          <w:szCs w:val="32"/>
          <w:lang w:val="en-US" w:eastAsia="zh-CN"/>
        </w:rPr>
        <w:t>.</w:t>
      </w:r>
      <w:r>
        <w:rPr>
          <w:rFonts w:hint="eastAsia" w:ascii="仿宋" w:hAnsi="仿宋" w:eastAsia="仿宋"/>
          <w:sz w:val="32"/>
          <w:szCs w:val="32"/>
          <w:lang w:eastAsia="zh-CN"/>
        </w:rPr>
        <w:t>3460万元</w:t>
      </w:r>
      <w:r>
        <w:rPr>
          <w:rFonts w:hint="eastAsia" w:ascii="仿宋" w:hAnsi="仿宋" w:eastAsia="仿宋"/>
          <w:sz w:val="32"/>
          <w:szCs w:val="32"/>
        </w:rPr>
        <w:t>。</w:t>
      </w:r>
    </w:p>
    <w:p w14:paraId="7BAF1BC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其中202</w:t>
      </w:r>
      <w:r>
        <w:rPr>
          <w:rFonts w:hint="eastAsia" w:ascii="仿宋" w:hAnsi="仿宋" w:eastAsia="仿宋"/>
          <w:sz w:val="32"/>
          <w:szCs w:val="32"/>
          <w:lang w:val="en-US" w:eastAsia="zh-CN"/>
        </w:rPr>
        <w:t>5</w:t>
      </w:r>
      <w:r>
        <w:rPr>
          <w:rFonts w:hint="eastAsia" w:ascii="仿宋" w:hAnsi="仿宋" w:eastAsia="仿宋"/>
          <w:sz w:val="32"/>
          <w:szCs w:val="32"/>
        </w:rPr>
        <w:t>年项目支出预算收入是</w:t>
      </w:r>
      <w:r>
        <w:rPr>
          <w:rFonts w:hint="eastAsia" w:ascii="仿宋" w:hAnsi="仿宋" w:eastAsia="仿宋"/>
          <w:sz w:val="32"/>
          <w:szCs w:val="32"/>
          <w:lang w:val="en-US" w:eastAsia="zh-CN"/>
        </w:rPr>
        <w:t>7297.2350</w:t>
      </w:r>
      <w:r>
        <w:rPr>
          <w:rFonts w:hint="eastAsia" w:ascii="仿宋" w:hAnsi="仿宋" w:eastAsia="仿宋"/>
          <w:sz w:val="32"/>
          <w:szCs w:val="32"/>
        </w:rPr>
        <w:t>万元，决算支出是</w:t>
      </w:r>
      <w:r>
        <w:rPr>
          <w:rFonts w:hint="eastAsia" w:ascii="仿宋" w:hAnsi="仿宋" w:eastAsia="仿宋"/>
          <w:sz w:val="32"/>
          <w:szCs w:val="32"/>
          <w:lang w:val="en-US" w:eastAsia="zh-CN"/>
        </w:rPr>
        <w:t>6279.606081</w:t>
      </w:r>
      <w:r>
        <w:rPr>
          <w:rFonts w:hint="eastAsia" w:ascii="仿宋" w:hAnsi="仿宋" w:eastAsia="仿宋"/>
          <w:sz w:val="32"/>
          <w:szCs w:val="32"/>
        </w:rPr>
        <w:t>万元，原因是涉及部分项目款未花完，年底收回部分款项。</w:t>
      </w:r>
    </w:p>
    <w:p w14:paraId="1D1EDCF4">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1CC1D310">
      <w:pPr>
        <w:pStyle w:val="8"/>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rPr>
          <w:rFonts w:hint="eastAsia" w:ascii="仿宋" w:hAnsi="仿宋" w:eastAsia="仿宋"/>
          <w:sz w:val="32"/>
          <w:szCs w:val="32"/>
        </w:rPr>
      </w:pPr>
      <w:r>
        <w:rPr>
          <w:rFonts w:hint="eastAsia" w:ascii="仿宋" w:hAnsi="仿宋" w:eastAsia="仿宋"/>
          <w:sz w:val="32"/>
          <w:szCs w:val="32"/>
        </w:rPr>
        <w:t>学校坚持立德树人根本任务，立足服务区域基础教育和地方经济社会发展，以加强党的建设为保障，以师资队伍建设为关键，以提高人才培养质量为目标，秉持“换道超车、错位发展、顺势而为”的办学理念，推动学院实现转型跨越发展，目标是将学院建成全国知名、区域一流、具有鲜明师范特色的综合性高水平学校。</w:t>
      </w:r>
    </w:p>
    <w:p w14:paraId="1E8C3A57">
      <w:pPr>
        <w:pStyle w:val="9"/>
        <w:keepNext w:val="0"/>
        <w:keepLines w:val="0"/>
        <w:pageBreakBefore w:val="0"/>
        <w:widowControl w:val="0"/>
        <w:kinsoku/>
        <w:wordWrap/>
        <w:overflowPunct/>
        <w:topLinePunct w:val="0"/>
        <w:autoSpaceDE/>
        <w:autoSpaceDN/>
        <w:bidi w:val="0"/>
        <w:adjustRightInd/>
        <w:snapToGrid/>
        <w:spacing w:line="600" w:lineRule="exact"/>
        <w:ind w:firstLine="561"/>
        <w:jc w:val="both"/>
        <w:textAlignment w:val="auto"/>
        <w:rPr>
          <w:rFonts w:hint="eastAsia" w:ascii="仿宋" w:hAnsi="仿宋" w:eastAsia="仿宋"/>
          <w:sz w:val="32"/>
          <w:szCs w:val="32"/>
          <w:lang w:val="en-US" w:eastAsia="zh-CN"/>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年进一步提高录取率及生源质量，提升就业率和就业质量；推进课程建设，加强实践教学资源统筹使用，提高精品资源建设水平，</w:t>
      </w:r>
      <w:r>
        <w:rPr>
          <w:rFonts w:hint="eastAsia" w:ascii="仿宋" w:hAnsi="仿宋" w:eastAsia="仿宋"/>
          <w:sz w:val="32"/>
          <w:szCs w:val="32"/>
          <w:lang w:val="en-US" w:eastAsia="zh-CN"/>
        </w:rPr>
        <w:t>全力推进省级创新发展行动计划项目建设；重点推动校企双元开发教材课程建设；全面推动学校数字化教学资源建设水平；凝练提升省级教育教学成果，完成“省级教学成果奖”的培育与推荐;积极搭建平台，提升教师科研能力；改善办学条件，逐步扩大培养规模；加强成人继续教育社会培训和工作, 提升社会服务能力。</w:t>
      </w:r>
    </w:p>
    <w:p w14:paraId="2F4A2F6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5A4F82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4E84E7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按照市财政局工作通知要求，我校及时</w:t>
      </w:r>
      <w:r>
        <w:rPr>
          <w:rFonts w:hint="eastAsia" w:ascii="仿宋" w:hAnsi="仿宋" w:eastAsia="仿宋"/>
          <w:sz w:val="32"/>
          <w:szCs w:val="32"/>
          <w:lang w:val="en-US" w:eastAsia="zh-CN"/>
        </w:rPr>
        <w:t>开展绩效自评工作</w:t>
      </w:r>
      <w:r>
        <w:rPr>
          <w:rFonts w:hint="eastAsia" w:ascii="仿宋" w:hAnsi="仿宋" w:eastAsia="仿宋"/>
          <w:sz w:val="32"/>
          <w:szCs w:val="32"/>
        </w:rPr>
        <w:t>，制定工作方案、评价方法和步骤时限等内容。</w:t>
      </w:r>
    </w:p>
    <w:p w14:paraId="75D29E9D">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250F768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学校自评工作组对照工作内容，分解各项目绩效自评工作至相关科室，明确各项目绩效自评牵头科室和负责人，及时收集、归纳、整理项目评价资料，认真梳理填报各项目《预算项目绩效自评表》，总结成绩和不足，为今后进一步提高预算项目资金使用效率提供经验。</w:t>
      </w:r>
    </w:p>
    <w:p w14:paraId="3643215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我校严格按照部门预算安排及资金分配拨付情况完成各项目资金支出。按期完成日常财务管理，顺利通过上级专项监督检查及审计部门审查。</w:t>
      </w:r>
    </w:p>
    <w:p w14:paraId="031BE99B">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7D76839">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288571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本年度学校</w:t>
      </w:r>
      <w:r>
        <w:rPr>
          <w:rFonts w:hint="eastAsia" w:ascii="仿宋" w:hAnsi="仿宋" w:eastAsia="仿宋"/>
          <w:sz w:val="32"/>
          <w:szCs w:val="32"/>
          <w:lang w:eastAsia="zh-CN"/>
        </w:rPr>
        <w:t>总体</w:t>
      </w:r>
      <w:r>
        <w:rPr>
          <w:rFonts w:hint="eastAsia" w:ascii="仿宋" w:hAnsi="仿宋" w:eastAsia="仿宋"/>
          <w:sz w:val="32"/>
          <w:szCs w:val="32"/>
        </w:rPr>
        <w:t>绩效目标完成情况良好，各项职能履行的很好，取得了预期的效果。教育教学、科</w:t>
      </w:r>
      <w:r>
        <w:rPr>
          <w:rFonts w:hint="eastAsia" w:ascii="仿宋" w:hAnsi="仿宋" w:eastAsia="仿宋"/>
          <w:sz w:val="32"/>
          <w:szCs w:val="32"/>
          <w:lang w:val="en-US" w:eastAsia="zh-CN"/>
        </w:rPr>
        <w:t>研成果</w:t>
      </w:r>
      <w:r>
        <w:rPr>
          <w:rFonts w:hint="eastAsia" w:ascii="仿宋" w:hAnsi="仿宋" w:eastAsia="仿宋"/>
          <w:sz w:val="32"/>
          <w:szCs w:val="32"/>
        </w:rPr>
        <w:t>、学生培养、服务社会的能力均有所提高。</w:t>
      </w:r>
    </w:p>
    <w:p w14:paraId="6B4C98D7">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75532510">
      <w:pPr>
        <w:pStyle w:val="9"/>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ascii="仿宋" w:hAnsi="仿宋" w:eastAsia="仿宋" w:cs="黑体"/>
          <w:b/>
          <w:bCs/>
          <w:sz w:val="32"/>
          <w:szCs w:val="32"/>
        </w:rPr>
      </w:pPr>
      <w:r>
        <w:rPr>
          <w:rFonts w:hint="eastAsia" w:ascii="仿宋" w:hAnsi="仿宋" w:eastAsia="仿宋" w:cs="黑体"/>
          <w:b/>
          <w:bCs/>
          <w:sz w:val="32"/>
          <w:szCs w:val="32"/>
        </w:rPr>
        <w:t>1</w:t>
      </w:r>
      <w:r>
        <w:rPr>
          <w:rFonts w:hint="eastAsia" w:ascii="仿宋" w:hAnsi="仿宋" w:eastAsia="仿宋" w:cs="黑体"/>
          <w:b/>
          <w:bCs/>
          <w:sz w:val="32"/>
          <w:szCs w:val="32"/>
          <w:lang w:val="en-US" w:eastAsia="zh-CN"/>
        </w:rPr>
        <w:t>.</w:t>
      </w:r>
      <w:r>
        <w:rPr>
          <w:rFonts w:hint="eastAsia" w:ascii="仿宋" w:hAnsi="仿宋" w:eastAsia="仿宋" w:cs="黑体"/>
          <w:b/>
          <w:bCs/>
          <w:sz w:val="32"/>
          <w:szCs w:val="32"/>
        </w:rPr>
        <w:t>提高录取率及生源质量，提升就业率和就业质量</w:t>
      </w:r>
    </w:p>
    <w:p w14:paraId="3DB0B8C8">
      <w:pPr>
        <w:pStyle w:val="9"/>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 w:hAnsi="仿宋" w:eastAsia="仿宋" w:cs="黑体"/>
          <w:b/>
          <w:bCs/>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年完成了普通全日制（三年制）2500个招生计划，</w:t>
      </w:r>
      <w:r>
        <w:rPr>
          <w:rFonts w:hint="eastAsia" w:ascii="仿宋" w:hAnsi="仿宋" w:eastAsia="仿宋"/>
          <w:sz w:val="32"/>
          <w:szCs w:val="32"/>
          <w:lang w:eastAsia="zh-CN"/>
        </w:rPr>
        <w:t>录取</w:t>
      </w:r>
      <w:r>
        <w:rPr>
          <w:rFonts w:hint="eastAsia" w:ascii="仿宋" w:hAnsi="仿宋" w:eastAsia="仿宋"/>
          <w:sz w:val="32"/>
          <w:szCs w:val="32"/>
          <w:lang w:val="en-US" w:eastAsia="zh-CN"/>
        </w:rPr>
        <w:t>2499人，</w:t>
      </w:r>
      <w:r>
        <w:rPr>
          <w:rFonts w:hint="eastAsia" w:ascii="仿宋" w:hAnsi="仿宋" w:eastAsia="仿宋"/>
          <w:sz w:val="32"/>
          <w:szCs w:val="32"/>
        </w:rPr>
        <w:t>录取</w:t>
      </w:r>
      <w:r>
        <w:rPr>
          <w:rFonts w:hint="eastAsia" w:ascii="仿宋" w:hAnsi="仿宋" w:eastAsia="仿宋"/>
          <w:sz w:val="32"/>
          <w:szCs w:val="32"/>
          <w:lang w:eastAsia="zh-CN"/>
        </w:rPr>
        <w:t>率</w:t>
      </w:r>
      <w:r>
        <w:rPr>
          <w:rFonts w:hint="eastAsia" w:ascii="仿宋" w:hAnsi="仿宋" w:eastAsia="仿宋"/>
          <w:sz w:val="32"/>
          <w:szCs w:val="32"/>
          <w:lang w:val="en-US" w:eastAsia="zh-CN"/>
        </w:rPr>
        <w:t>99.96</w:t>
      </w:r>
      <w:r>
        <w:rPr>
          <w:rFonts w:hint="eastAsia" w:ascii="仿宋" w:hAnsi="仿宋" w:eastAsia="仿宋"/>
          <w:sz w:val="32"/>
          <w:szCs w:val="32"/>
        </w:rPr>
        <w:t>%。2025届毕业生2584人、就业2353人、就业率91.06%，比2024届毕业生就业率提高0.3%。</w:t>
      </w:r>
    </w:p>
    <w:p w14:paraId="39B0C057">
      <w:pPr>
        <w:adjustRightInd w:val="0"/>
        <w:snapToGrid w:val="0"/>
        <w:spacing w:line="560" w:lineRule="exact"/>
        <w:ind w:firstLine="643" w:firstLineChars="200"/>
        <w:rPr>
          <w:rFonts w:hint="eastAsia" w:ascii="仿宋" w:hAnsi="仿宋" w:eastAsia="仿宋"/>
          <w:sz w:val="32"/>
          <w:szCs w:val="32"/>
        </w:rPr>
      </w:pPr>
      <w:r>
        <w:rPr>
          <w:rFonts w:hint="eastAsia" w:ascii="仿宋" w:hAnsi="仿宋" w:eastAsia="仿宋" w:cs="黑体"/>
          <w:b/>
          <w:bCs/>
          <w:sz w:val="32"/>
          <w:szCs w:val="32"/>
        </w:rPr>
        <w:t>2</w:t>
      </w:r>
      <w:r>
        <w:rPr>
          <w:rFonts w:hint="eastAsia" w:ascii="仿宋" w:hAnsi="仿宋" w:eastAsia="仿宋" w:cs="黑体"/>
          <w:b/>
          <w:bCs/>
          <w:sz w:val="32"/>
          <w:szCs w:val="32"/>
          <w:lang w:val="en-US" w:eastAsia="zh-CN"/>
        </w:rPr>
        <w:t>.</w:t>
      </w:r>
      <w:r>
        <w:rPr>
          <w:rFonts w:hint="eastAsia" w:ascii="仿宋" w:hAnsi="仿宋" w:eastAsia="仿宋" w:cs="黑体"/>
          <w:b/>
          <w:bCs/>
          <w:sz w:val="32"/>
          <w:szCs w:val="32"/>
        </w:rPr>
        <w:t>推进课程建设，加强实践教学资源统筹使用，提高精品资源建设水平</w:t>
      </w:r>
    </w:p>
    <w:p w14:paraId="219DBD41">
      <w:pPr>
        <w:adjustRightInd w:val="0"/>
        <w:snapToGrid w:val="0"/>
        <w:spacing w:line="560" w:lineRule="exact"/>
        <w:ind w:firstLine="640" w:firstLineChars="200"/>
        <w:rPr>
          <w:rFonts w:hint="eastAsia" w:ascii="仿宋" w:hAnsi="仿宋" w:eastAsia="仿宋" w:cs="仿宋"/>
          <w:i w:val="0"/>
          <w:iCs w:val="0"/>
          <w:caps w:val="0"/>
          <w:spacing w:val="0"/>
          <w:sz w:val="32"/>
          <w:szCs w:val="32"/>
        </w:rPr>
      </w:pPr>
      <w:r>
        <w:rPr>
          <w:rFonts w:hint="eastAsia" w:ascii="仿宋" w:hAnsi="仿宋" w:eastAsia="仿宋" w:cs="仿宋"/>
          <w:i w:val="0"/>
          <w:iCs w:val="0"/>
          <w:caps w:val="0"/>
          <w:spacing w:val="0"/>
          <w:sz w:val="32"/>
          <w:szCs w:val="32"/>
        </w:rPr>
        <w:t>提升学校的教学质量和教师的教学水平，通过一系列的培训、会议、比赛以及教学资源建设活动，实现学校教学质量的全面提升。</w:t>
      </w:r>
    </w:p>
    <w:p w14:paraId="7F7CB436">
      <w:pPr>
        <w:pStyle w:val="9"/>
        <w:keepNext w:val="0"/>
        <w:keepLines w:val="0"/>
        <w:pageBreakBefore w:val="0"/>
        <w:widowControl w:val="0"/>
        <w:kinsoku/>
        <w:wordWrap/>
        <w:overflowPunct/>
        <w:topLinePunct w:val="0"/>
        <w:autoSpaceDE/>
        <w:autoSpaceDN/>
        <w:bidi w:val="0"/>
        <w:adjustRightInd/>
        <w:snapToGrid/>
        <w:spacing w:before="157" w:beforeLines="50" w:after="157" w:afterLines="50"/>
        <w:ind w:firstLine="561"/>
        <w:textAlignment w:val="auto"/>
        <w:rPr>
          <w:rFonts w:hint="eastAsia" w:ascii="仿宋" w:hAnsi="仿宋" w:eastAsia="仿宋" w:cs="仿宋"/>
          <w:i w:val="0"/>
          <w:iCs w:val="0"/>
          <w:caps w:val="0"/>
          <w:spacing w:val="0"/>
          <w:sz w:val="32"/>
          <w:szCs w:val="32"/>
        </w:rPr>
      </w:pPr>
      <w:r>
        <w:rPr>
          <w:rFonts w:hint="eastAsia" w:ascii="仿宋" w:hAnsi="仿宋" w:eastAsia="仿宋" w:cs="仿宋"/>
          <w:i w:val="0"/>
          <w:iCs w:val="0"/>
          <w:caps w:val="0"/>
          <w:spacing w:val="0"/>
          <w:sz w:val="32"/>
          <w:szCs w:val="32"/>
          <w:lang w:eastAsia="zh-CN"/>
        </w:rPr>
        <w:t>本年度</w:t>
      </w:r>
      <w:r>
        <w:rPr>
          <w:rFonts w:hint="eastAsia" w:ascii="仿宋" w:hAnsi="仿宋" w:eastAsia="仿宋" w:cs="仿宋"/>
          <w:i w:val="0"/>
          <w:iCs w:val="0"/>
          <w:caps w:val="0"/>
          <w:spacing w:val="0"/>
          <w:sz w:val="32"/>
          <w:szCs w:val="32"/>
        </w:rPr>
        <w:t>选派教师参加</w:t>
      </w:r>
      <w:r>
        <w:rPr>
          <w:rFonts w:hint="eastAsia" w:ascii="仿宋" w:hAnsi="仿宋" w:eastAsia="仿宋" w:cs="仿宋"/>
          <w:i w:val="0"/>
          <w:iCs w:val="0"/>
          <w:caps w:val="0"/>
          <w:spacing w:val="0"/>
          <w:sz w:val="32"/>
          <w:szCs w:val="32"/>
          <w:lang w:val="en-US" w:eastAsia="zh-CN"/>
        </w:rPr>
        <w:t>5</w:t>
      </w:r>
      <w:r>
        <w:rPr>
          <w:rFonts w:hint="eastAsia" w:ascii="仿宋" w:hAnsi="仿宋" w:eastAsia="仿宋" w:cs="仿宋"/>
          <w:i w:val="0"/>
          <w:iCs w:val="0"/>
          <w:caps w:val="0"/>
          <w:spacing w:val="0"/>
          <w:sz w:val="32"/>
          <w:szCs w:val="32"/>
        </w:rPr>
        <w:t>0余项培训、会议、比赛，建设</w:t>
      </w:r>
      <w:r>
        <w:rPr>
          <w:rFonts w:hint="eastAsia" w:ascii="仿宋" w:hAnsi="仿宋" w:eastAsia="仿宋" w:cs="仿宋"/>
          <w:i w:val="0"/>
          <w:iCs w:val="0"/>
          <w:caps w:val="0"/>
          <w:spacing w:val="0"/>
          <w:sz w:val="32"/>
          <w:szCs w:val="32"/>
          <w:lang w:val="en-US" w:eastAsia="zh-CN"/>
        </w:rPr>
        <w:t>8</w:t>
      </w:r>
      <w:r>
        <w:rPr>
          <w:rFonts w:hint="eastAsia" w:ascii="仿宋" w:hAnsi="仿宋" w:eastAsia="仿宋" w:cs="仿宋"/>
          <w:i w:val="0"/>
          <w:iCs w:val="0"/>
          <w:caps w:val="0"/>
          <w:spacing w:val="0"/>
          <w:sz w:val="32"/>
          <w:szCs w:val="32"/>
        </w:rPr>
        <w:t>项以上的专业教学资源库、在线课程和校企双元教材。同时，教师教学质量优秀奖人数增加、分数提高，进一步丰富学校教学资源，并提升教师专业素质水平。</w:t>
      </w:r>
    </w:p>
    <w:p w14:paraId="1F5C3C02">
      <w:pPr>
        <w:pStyle w:val="9"/>
        <w:keepNext w:val="0"/>
        <w:keepLines w:val="0"/>
        <w:pageBreakBefore w:val="0"/>
        <w:widowControl w:val="0"/>
        <w:numPr>
          <w:numId w:val="0"/>
        </w:numPr>
        <w:kinsoku/>
        <w:wordWrap/>
        <w:overflowPunct/>
        <w:topLinePunct w:val="0"/>
        <w:autoSpaceDE/>
        <w:autoSpaceDN/>
        <w:bidi w:val="0"/>
        <w:adjustRightInd/>
        <w:snapToGrid/>
        <w:spacing w:before="157" w:beforeLines="50" w:after="157" w:afterLines="50"/>
        <w:ind w:firstLine="643" w:firstLineChars="200"/>
        <w:textAlignment w:val="auto"/>
        <w:rPr>
          <w:rFonts w:hint="eastAsia" w:ascii="仿宋" w:hAnsi="仿宋" w:eastAsia="仿宋" w:cs="黑体"/>
          <w:b/>
          <w:bCs/>
          <w:kern w:val="2"/>
          <w:sz w:val="32"/>
          <w:szCs w:val="32"/>
          <w:lang w:val="en-US" w:eastAsia="zh-CN" w:bidi="ar-SA"/>
        </w:rPr>
      </w:pPr>
      <w:r>
        <w:rPr>
          <w:rFonts w:hint="eastAsia" w:ascii="仿宋" w:hAnsi="仿宋" w:eastAsia="仿宋" w:cs="黑体"/>
          <w:b/>
          <w:bCs/>
          <w:kern w:val="2"/>
          <w:sz w:val="32"/>
          <w:szCs w:val="32"/>
          <w:lang w:val="en-US" w:eastAsia="zh-CN" w:bidi="ar-SA"/>
        </w:rPr>
        <w:t>3.积极搭建平台，做好教科研成果的选拔和培育</w:t>
      </w:r>
    </w:p>
    <w:p w14:paraId="30A69101">
      <w:pPr>
        <w:pStyle w:val="9"/>
        <w:keepNext w:val="0"/>
        <w:keepLines w:val="0"/>
        <w:pageBreakBefore w:val="0"/>
        <w:widowControl w:val="0"/>
        <w:numPr>
          <w:numId w:val="0"/>
        </w:numPr>
        <w:kinsoku/>
        <w:wordWrap/>
        <w:overflowPunct/>
        <w:topLinePunct w:val="0"/>
        <w:autoSpaceDE/>
        <w:autoSpaceDN/>
        <w:bidi w:val="0"/>
        <w:adjustRightInd/>
        <w:snapToGrid/>
        <w:spacing w:before="0" w:after="0"/>
        <w:ind w:firstLine="640" w:firstLineChars="200"/>
        <w:textAlignment w:val="auto"/>
        <w:rPr>
          <w:rFonts w:hint="eastAsia" w:ascii="仿宋" w:hAnsi="仿宋" w:eastAsia="仿宋" w:cs="黑体"/>
          <w:b/>
          <w:bCs/>
          <w:sz w:val="32"/>
          <w:szCs w:val="32"/>
          <w:lang w:eastAsia="zh-CN"/>
        </w:rPr>
      </w:pPr>
      <w:r>
        <w:rPr>
          <w:rFonts w:hint="eastAsia" w:ascii="仿宋_GB2312" w:eastAsia="仿宋_GB2312"/>
          <w:sz w:val="32"/>
          <w:szCs w:val="32"/>
        </w:rPr>
        <w:t>本年度我校教师申报省市级课题</w:t>
      </w:r>
      <w:r>
        <w:rPr>
          <w:rFonts w:hint="eastAsia" w:ascii="仿宋_GB2312" w:eastAsia="仿宋_GB2312"/>
          <w:sz w:val="32"/>
          <w:szCs w:val="32"/>
          <w:lang w:val="en-US" w:eastAsia="zh-CN"/>
        </w:rPr>
        <w:t>212</w:t>
      </w:r>
      <w:r>
        <w:rPr>
          <w:rFonts w:hint="eastAsia" w:ascii="仿宋_GB2312" w:eastAsia="仿宋_GB2312"/>
          <w:sz w:val="32"/>
          <w:szCs w:val="32"/>
        </w:rPr>
        <w:t>项，立项</w:t>
      </w:r>
      <w:r>
        <w:rPr>
          <w:rFonts w:hint="eastAsia" w:ascii="仿宋_GB2312" w:eastAsia="仿宋_GB2312"/>
          <w:sz w:val="32"/>
          <w:szCs w:val="32"/>
          <w:lang w:val="en-US" w:eastAsia="zh-CN"/>
        </w:rPr>
        <w:t>69项</w:t>
      </w:r>
      <w:r>
        <w:rPr>
          <w:rFonts w:hint="eastAsia" w:ascii="仿宋_GB2312" w:eastAsia="仿宋_GB2312"/>
          <w:sz w:val="32"/>
          <w:szCs w:val="32"/>
        </w:rPr>
        <w:t>，结项</w:t>
      </w:r>
      <w:r>
        <w:rPr>
          <w:rFonts w:hint="eastAsia" w:ascii="仿宋_GB2312" w:eastAsia="仿宋_GB2312"/>
          <w:sz w:val="32"/>
          <w:szCs w:val="32"/>
          <w:lang w:val="en-US" w:eastAsia="zh-CN"/>
        </w:rPr>
        <w:t>44项</w:t>
      </w:r>
      <w:r>
        <w:rPr>
          <w:rFonts w:hint="eastAsia" w:ascii="仿宋_GB2312" w:eastAsia="仿宋_GB2312"/>
          <w:sz w:val="32"/>
          <w:szCs w:val="32"/>
        </w:rPr>
        <w:t>。课题</w:t>
      </w:r>
      <w:r>
        <w:rPr>
          <w:rFonts w:hint="eastAsia" w:ascii="仿宋_GB2312" w:eastAsia="仿宋_GB2312"/>
          <w:sz w:val="32"/>
          <w:szCs w:val="32"/>
          <w:lang w:val="en-US" w:eastAsia="zh-CN"/>
        </w:rPr>
        <w:t>申报数量有很大提高，课题</w:t>
      </w:r>
      <w:r>
        <w:rPr>
          <w:rFonts w:hint="eastAsia" w:ascii="仿宋_GB2312" w:eastAsia="仿宋_GB2312"/>
          <w:sz w:val="32"/>
          <w:szCs w:val="32"/>
        </w:rPr>
        <w:t>质量和申报级别有明显提</w:t>
      </w:r>
      <w:r>
        <w:rPr>
          <w:rFonts w:hint="eastAsia" w:ascii="仿宋_GB2312" w:eastAsia="仿宋_GB2312"/>
          <w:sz w:val="32"/>
          <w:szCs w:val="32"/>
          <w:lang w:val="en-US" w:eastAsia="zh-CN"/>
        </w:rPr>
        <w:t>升</w:t>
      </w:r>
      <w:r>
        <w:rPr>
          <w:rFonts w:hint="eastAsia" w:ascii="仿宋_GB2312" w:eastAsia="仿宋_GB2312"/>
          <w:sz w:val="32"/>
          <w:szCs w:val="32"/>
        </w:rPr>
        <w:t>。凝练提升省级教育教学成果</w:t>
      </w:r>
      <w:r>
        <w:rPr>
          <w:rFonts w:hint="eastAsia" w:ascii="仿宋_GB2312" w:eastAsia="仿宋_GB2312"/>
          <w:sz w:val="32"/>
          <w:szCs w:val="32"/>
          <w:lang w:eastAsia="zh-CN"/>
        </w:rPr>
        <w:t>，</w:t>
      </w:r>
      <w:r>
        <w:rPr>
          <w:rFonts w:hint="eastAsia" w:ascii="仿宋_GB2312" w:eastAsia="仿宋_GB2312"/>
          <w:sz w:val="32"/>
          <w:szCs w:val="32"/>
          <w:lang w:val="en-US" w:eastAsia="zh-CN"/>
        </w:rPr>
        <w:t>完成“省级教学成果奖”的培育与推荐。学校参加当年举办河北省职业院校技能大赛55组，获一等奖4项，其他技能竞赛若干项，学生操作水平提升明显，获奖质量提高。</w:t>
      </w:r>
    </w:p>
    <w:p w14:paraId="005DD43D">
      <w:pPr>
        <w:pStyle w:val="9"/>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ind w:left="720" w:leftChars="0"/>
        <w:textAlignment w:val="auto"/>
        <w:rPr>
          <w:rFonts w:ascii="仿宋" w:hAnsi="仿宋" w:eastAsia="仿宋" w:cs="黑体"/>
          <w:b/>
          <w:bCs/>
          <w:sz w:val="32"/>
          <w:szCs w:val="32"/>
        </w:rPr>
      </w:pPr>
      <w:r>
        <w:rPr>
          <w:rFonts w:hint="eastAsia" w:ascii="仿宋" w:hAnsi="仿宋" w:eastAsia="仿宋" w:cs="黑体"/>
          <w:b/>
          <w:bCs/>
          <w:sz w:val="32"/>
          <w:szCs w:val="32"/>
          <w:lang w:val="en-US" w:eastAsia="zh-CN"/>
        </w:rPr>
        <w:t>4.</w:t>
      </w:r>
      <w:r>
        <w:rPr>
          <w:rFonts w:hint="eastAsia" w:ascii="仿宋" w:hAnsi="仿宋" w:eastAsia="仿宋" w:cs="黑体"/>
          <w:b/>
          <w:bCs/>
          <w:sz w:val="32"/>
          <w:szCs w:val="32"/>
        </w:rPr>
        <w:t>改善办学条件，逐步扩大培养规模</w:t>
      </w:r>
    </w:p>
    <w:p w14:paraId="6FB086EF">
      <w:pPr>
        <w:keepNext w:val="0"/>
        <w:keepLines w:val="0"/>
        <w:pageBreakBefore w:val="0"/>
        <w:widowControl w:val="0"/>
        <w:kinsoku/>
        <w:wordWrap/>
        <w:overflowPunct/>
        <w:topLinePunct w:val="0"/>
        <w:autoSpaceDE/>
        <w:autoSpaceDN/>
        <w:bidi w:val="0"/>
        <w:adjustRightInd w:val="0"/>
        <w:snapToGrid w:val="0"/>
        <w:spacing w:line="500" w:lineRule="exact"/>
        <w:ind w:firstLine="640" w:firstLineChars="200"/>
        <w:textAlignment w:val="auto"/>
        <w:rPr>
          <w:rFonts w:hint="eastAsia" w:ascii="仿宋" w:hAnsi="仿宋" w:eastAsia="仿宋"/>
          <w:sz w:val="32"/>
          <w:szCs w:val="32"/>
        </w:rPr>
      </w:pPr>
      <w:r>
        <w:rPr>
          <w:rFonts w:hint="eastAsia" w:ascii="仿宋_GB2312" w:hAnsi="仿宋_GB2312" w:eastAsia="仿宋_GB2312" w:cs="仿宋_GB2312"/>
          <w:kern w:val="2"/>
          <w:sz w:val="32"/>
          <w:szCs w:val="32"/>
          <w:lang w:val="en-US" w:eastAsia="zh-CN" w:bidi="ar-SA"/>
        </w:rPr>
        <w:t>2025年，</w:t>
      </w:r>
      <w:r>
        <w:rPr>
          <w:rFonts w:hint="eastAsia" w:ascii="仿宋" w:hAnsi="仿宋" w:eastAsia="仿宋"/>
          <w:sz w:val="32"/>
          <w:szCs w:val="32"/>
          <w:lang w:eastAsia="zh-CN"/>
        </w:rPr>
        <w:t>建设了</w:t>
      </w:r>
      <w:r>
        <w:rPr>
          <w:rFonts w:hint="eastAsia" w:ascii="仿宋" w:hAnsi="仿宋" w:eastAsia="仿宋"/>
          <w:kern w:val="0"/>
          <w:sz w:val="32"/>
          <w:szCs w:val="32"/>
        </w:rPr>
        <w:t>综合教学一体化信息服务管理系统三期</w:t>
      </w:r>
      <w:r>
        <w:rPr>
          <w:rFonts w:hint="eastAsia" w:ascii="仿宋" w:hAnsi="仿宋" w:eastAsia="仿宋"/>
          <w:kern w:val="0"/>
          <w:sz w:val="32"/>
          <w:szCs w:val="32"/>
          <w:lang w:eastAsia="zh-CN"/>
        </w:rPr>
        <w:t>、数据综合治理一期、网络教学培训平台三期、图书馆管理系统二期</w:t>
      </w:r>
      <w:r>
        <w:rPr>
          <w:rFonts w:hint="eastAsia" w:ascii="仿宋" w:hAnsi="仿宋" w:eastAsia="仿宋"/>
          <w:sz w:val="32"/>
          <w:szCs w:val="32"/>
          <w:lang w:eastAsia="zh-CN"/>
        </w:rPr>
        <w:t>优化升级相关系统的功能，更好的满足学校教学使用需求，提升了教学、管理、师生服务信息化水平、改善了教学办公条件。</w:t>
      </w:r>
    </w:p>
    <w:p w14:paraId="1ABE1A55">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_GB2312"/>
          <w:kern w:val="0"/>
          <w:sz w:val="32"/>
          <w:szCs w:val="32"/>
          <w:lang w:val="en-US" w:eastAsia="zh-CN" w:bidi="ar-SA"/>
        </w:rPr>
      </w:pPr>
      <w:r>
        <w:rPr>
          <w:rFonts w:hint="eastAsia" w:ascii="仿宋" w:hAnsi="仿宋" w:eastAsia="仿宋"/>
          <w:kern w:val="0"/>
          <w:sz w:val="32"/>
          <w:szCs w:val="32"/>
          <w:lang w:val="en-US" w:eastAsia="zh-CN"/>
        </w:rPr>
        <w:t>2025年，进一步改善了教学楼宿舍楼设备情况，监控与智慧教学设备改善，建设了基础护理实训室、急救护理实训室、内科护理实训室、老年生活照护实训室、健康评估实训室、直播电商产教融合实训基地，增加了学生实训机会及质量，增强了学生实践能力，加强了实践教学，改善了学校办学条件。</w:t>
      </w:r>
    </w:p>
    <w:p w14:paraId="38CAD7B3">
      <w:pPr>
        <w:keepNext w:val="0"/>
        <w:keepLines w:val="0"/>
        <w:pageBreakBefore w:val="0"/>
        <w:widowControl w:val="0"/>
        <w:kinsoku/>
        <w:wordWrap/>
        <w:overflowPunct/>
        <w:topLinePunct w:val="0"/>
        <w:autoSpaceDE/>
        <w:autoSpaceDN/>
        <w:bidi w:val="0"/>
        <w:adjustRightInd/>
        <w:snapToGrid/>
        <w:spacing w:before="157" w:beforeLines="50" w:after="157" w:afterLines="50" w:line="560" w:lineRule="exact"/>
        <w:ind w:firstLine="643" w:firstLineChars="200"/>
        <w:textAlignment w:val="auto"/>
        <w:rPr>
          <w:rFonts w:ascii="仿宋" w:hAnsi="仿宋" w:eastAsia="仿宋"/>
          <w:b/>
          <w:bCs/>
          <w:sz w:val="32"/>
          <w:szCs w:val="32"/>
          <w:highlight w:val="none"/>
        </w:rPr>
      </w:pPr>
      <w:r>
        <w:rPr>
          <w:rFonts w:hint="eastAsia" w:ascii="仿宋" w:hAnsi="仿宋" w:eastAsia="仿宋"/>
          <w:b/>
          <w:bCs/>
          <w:sz w:val="32"/>
          <w:szCs w:val="32"/>
          <w:highlight w:val="none"/>
        </w:rPr>
        <w:t>6</w:t>
      </w:r>
      <w:r>
        <w:rPr>
          <w:rFonts w:hint="eastAsia" w:ascii="仿宋" w:hAnsi="仿宋" w:eastAsia="仿宋"/>
          <w:b/>
          <w:bCs/>
          <w:sz w:val="32"/>
          <w:szCs w:val="32"/>
          <w:highlight w:val="none"/>
          <w:lang w:val="en-US" w:eastAsia="zh-CN"/>
        </w:rPr>
        <w:t>.</w:t>
      </w:r>
      <w:r>
        <w:rPr>
          <w:rFonts w:hint="eastAsia" w:ascii="仿宋" w:hAnsi="仿宋" w:eastAsia="仿宋"/>
          <w:b/>
          <w:bCs/>
          <w:sz w:val="32"/>
          <w:szCs w:val="32"/>
          <w:highlight w:val="none"/>
        </w:rPr>
        <w:t>加强成人继续教育社会培训和工作, 提升社会服务能力</w:t>
      </w:r>
    </w:p>
    <w:p w14:paraId="6A1E36BB">
      <w:pPr>
        <w:pStyle w:val="5"/>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80" w:lineRule="exact"/>
        <w:ind w:left="0" w:firstLine="640" w:firstLineChars="200"/>
        <w:jc w:val="both"/>
        <w:textAlignment w:val="auto"/>
        <w:rPr>
          <w:rFonts w:hint="eastAsia" w:ascii="仿宋" w:hAnsi="仿宋" w:eastAsia="仿宋"/>
          <w:color w:val="auto"/>
          <w:sz w:val="32"/>
          <w:szCs w:val="32"/>
          <w:lang w:val="en-US" w:eastAsia="zh-CN"/>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年度我</w:t>
      </w:r>
      <w:r>
        <w:rPr>
          <w:rFonts w:hint="eastAsia" w:ascii="仿宋" w:hAnsi="仿宋" w:eastAsia="仿宋"/>
          <w:sz w:val="32"/>
          <w:szCs w:val="32"/>
          <w:lang w:val="en-US" w:eastAsia="zh-CN"/>
        </w:rPr>
        <w:t>校</w:t>
      </w:r>
      <w:r>
        <w:rPr>
          <w:rFonts w:hint="eastAsia" w:ascii="仿宋" w:hAnsi="仿宋" w:eastAsia="仿宋"/>
          <w:sz w:val="32"/>
          <w:szCs w:val="32"/>
        </w:rPr>
        <w:t>加大承接社会培训力度，尽最大努力为学</w:t>
      </w:r>
      <w:r>
        <w:rPr>
          <w:rFonts w:hint="eastAsia" w:ascii="仿宋" w:hAnsi="仿宋" w:eastAsia="仿宋"/>
          <w:sz w:val="32"/>
          <w:szCs w:val="32"/>
          <w:lang w:val="en-US" w:eastAsia="zh-CN"/>
        </w:rPr>
        <w:t>校</w:t>
      </w:r>
      <w:r>
        <w:rPr>
          <w:rFonts w:hint="eastAsia" w:ascii="仿宋" w:hAnsi="仿宋" w:eastAsia="仿宋"/>
          <w:sz w:val="32"/>
          <w:szCs w:val="32"/>
        </w:rPr>
        <w:t>创造社会影响力及知名度</w:t>
      </w:r>
      <w:r>
        <w:rPr>
          <w:rFonts w:hint="eastAsia" w:ascii="仿宋" w:hAnsi="仿宋" w:eastAsia="仿宋"/>
          <w:sz w:val="32"/>
          <w:szCs w:val="32"/>
          <w:lang w:eastAsia="zh-CN"/>
        </w:rPr>
        <w:t>：</w:t>
      </w:r>
      <w:r>
        <w:rPr>
          <w:rFonts w:hint="eastAsia" w:ascii="仿宋" w:hAnsi="仿宋" w:eastAsia="仿宋"/>
          <w:sz w:val="32"/>
          <w:szCs w:val="32"/>
        </w:rPr>
        <w:t>承接了</w:t>
      </w:r>
      <w:r>
        <w:rPr>
          <w:rFonts w:hint="eastAsia" w:ascii="仿宋" w:hAnsi="仿宋" w:eastAsia="仿宋"/>
          <w:sz w:val="32"/>
          <w:szCs w:val="32"/>
          <w:lang w:eastAsia="zh-CN"/>
        </w:rPr>
        <w:t>（</w:t>
      </w:r>
      <w:r>
        <w:rPr>
          <w:rFonts w:hint="eastAsia" w:ascii="仿宋" w:hAnsi="仿宋" w:eastAsia="仿宋"/>
          <w:sz w:val="32"/>
          <w:szCs w:val="32"/>
          <w:lang w:val="en-US" w:eastAsia="zh-CN"/>
        </w:rPr>
        <w:t>1</w:t>
      </w:r>
      <w:r>
        <w:rPr>
          <w:rFonts w:hint="eastAsia" w:ascii="仿宋" w:hAnsi="仿宋" w:eastAsia="仿宋"/>
          <w:sz w:val="32"/>
          <w:szCs w:val="32"/>
          <w:lang w:eastAsia="zh-CN"/>
        </w:rPr>
        <w:t>）</w:t>
      </w:r>
      <w:r>
        <w:rPr>
          <w:rFonts w:hint="eastAsia" w:ascii="仿宋" w:hAnsi="仿宋" w:eastAsia="仿宋"/>
          <w:color w:val="auto"/>
          <w:sz w:val="32"/>
          <w:szCs w:val="32"/>
          <w:lang w:eastAsia="zh-CN"/>
        </w:rPr>
        <w:t>河北省2024年度职业院校教师素质提高计划国家级培训--</w:t>
      </w:r>
      <w:r>
        <w:rPr>
          <w:rFonts w:hint="eastAsia" w:ascii="仿宋" w:hAnsi="仿宋" w:eastAsia="仿宋"/>
          <w:color w:val="auto"/>
          <w:sz w:val="32"/>
          <w:szCs w:val="32"/>
          <w:lang w:val="en-US" w:eastAsia="zh-CN"/>
        </w:rPr>
        <w:t>高</w:t>
      </w:r>
      <w:r>
        <w:rPr>
          <w:rFonts w:hint="eastAsia" w:ascii="仿宋" w:hAnsi="仿宋" w:eastAsia="仿宋"/>
          <w:color w:val="auto"/>
          <w:sz w:val="32"/>
          <w:szCs w:val="32"/>
          <w:lang w:eastAsia="zh-CN"/>
        </w:rPr>
        <w:t>职课程实施能力提升（课程思政教育能力提升）项目，（</w:t>
      </w:r>
      <w:r>
        <w:rPr>
          <w:rFonts w:hint="eastAsia" w:ascii="仿宋" w:hAnsi="仿宋" w:eastAsia="仿宋"/>
          <w:color w:val="auto"/>
          <w:sz w:val="32"/>
          <w:szCs w:val="32"/>
          <w:lang w:val="en-US" w:eastAsia="zh-CN"/>
        </w:rPr>
        <w:t>2</w:t>
      </w:r>
      <w:r>
        <w:rPr>
          <w:rFonts w:hint="eastAsia" w:ascii="仿宋" w:hAnsi="仿宋" w:eastAsia="仿宋"/>
          <w:color w:val="auto"/>
          <w:sz w:val="32"/>
          <w:szCs w:val="32"/>
          <w:lang w:eastAsia="zh-CN"/>
        </w:rPr>
        <w:t>）石家庄市委宣传部“三八”妇女节扎染研学</w:t>
      </w:r>
      <w:r>
        <w:rPr>
          <w:rFonts w:hint="eastAsia" w:ascii="仿宋" w:hAnsi="仿宋" w:eastAsia="仿宋"/>
          <w:color w:val="auto"/>
          <w:sz w:val="32"/>
          <w:szCs w:val="32"/>
          <w:lang w:val="en-US" w:eastAsia="zh-CN"/>
        </w:rPr>
        <w:t>项目，（3）河北省教育系统E级教练员培训项目，（4）河北省教育系统三级裁判员培训项目，（5）河北省“国培计划（2024）”— 中小学骨干教师专项能力提升培训计划项目：家庭教育指导、中华优秀传统文化教育、中小学教育研究、学校教育评价改，（6）“践行西柏坡精神 走好新时代赶考路”北矿科技党员教育专题培训班项目，（7）“践行西柏坡精神 走好新时代赶考路”北京工商大学师德师风专题培训项目。</w:t>
      </w:r>
    </w:p>
    <w:p w14:paraId="549EC05D">
      <w:pPr>
        <w:numPr>
          <w:ilvl w:val="0"/>
          <w:numId w:val="0"/>
        </w:numPr>
        <w:adjustRightInd w:val="0"/>
        <w:snapToGrid w:val="0"/>
        <w:spacing w:line="560" w:lineRule="exact"/>
        <w:ind w:firstLine="640" w:firstLineChars="200"/>
        <w:rPr>
          <w:rFonts w:hint="default"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 xml:space="preserve"> </w:t>
      </w:r>
      <w:r>
        <w:rPr>
          <w:rFonts w:hint="eastAsia" w:ascii="仿宋" w:hAnsi="仿宋" w:eastAsia="仿宋"/>
          <w:color w:val="auto"/>
          <w:sz w:val="32"/>
          <w:szCs w:val="32"/>
          <w:lang w:val="en-US" w:eastAsia="zh-CN"/>
        </w:rPr>
        <w:t>培训对象涉及幼儿园教师、中职教师、高职教师、国企党员及大学党员教师等，各项目</w:t>
      </w:r>
      <w:r>
        <w:rPr>
          <w:rFonts w:hint="eastAsia" w:ascii="仿宋" w:hAnsi="仿宋" w:eastAsia="仿宋"/>
          <w:color w:val="auto"/>
          <w:sz w:val="32"/>
          <w:szCs w:val="32"/>
        </w:rPr>
        <w:t>吃、住、管理、教学、课程等一切与培训相关事宜由学</w:t>
      </w:r>
      <w:r>
        <w:rPr>
          <w:rFonts w:hint="eastAsia" w:ascii="仿宋" w:hAnsi="仿宋" w:eastAsia="仿宋"/>
          <w:color w:val="auto"/>
          <w:sz w:val="32"/>
          <w:szCs w:val="32"/>
          <w:lang w:val="en-US" w:eastAsia="zh-CN"/>
        </w:rPr>
        <w:t>校培训计划制定</w:t>
      </w:r>
      <w:r>
        <w:rPr>
          <w:rFonts w:hint="eastAsia" w:ascii="仿宋" w:hAnsi="仿宋" w:eastAsia="仿宋"/>
          <w:color w:val="auto"/>
          <w:sz w:val="32"/>
          <w:szCs w:val="32"/>
        </w:rPr>
        <w:t>后报</w:t>
      </w:r>
      <w:r>
        <w:rPr>
          <w:rFonts w:hint="eastAsia" w:ascii="仿宋" w:hAnsi="仿宋" w:eastAsia="仿宋"/>
          <w:color w:val="auto"/>
          <w:sz w:val="32"/>
          <w:szCs w:val="32"/>
          <w:lang w:val="en-US" w:eastAsia="zh-CN"/>
        </w:rPr>
        <w:t>主办单位</w:t>
      </w:r>
      <w:r>
        <w:rPr>
          <w:rFonts w:hint="eastAsia" w:ascii="仿宋" w:hAnsi="仿宋" w:eastAsia="仿宋"/>
          <w:color w:val="auto"/>
          <w:sz w:val="32"/>
          <w:szCs w:val="32"/>
        </w:rPr>
        <w:t>批准</w:t>
      </w:r>
      <w:r>
        <w:rPr>
          <w:rFonts w:hint="eastAsia" w:ascii="仿宋" w:hAnsi="仿宋" w:eastAsia="仿宋"/>
          <w:color w:val="auto"/>
          <w:sz w:val="32"/>
          <w:szCs w:val="32"/>
          <w:lang w:val="en-US" w:eastAsia="zh-CN"/>
        </w:rPr>
        <w:t>后</w:t>
      </w:r>
      <w:r>
        <w:rPr>
          <w:rFonts w:hint="eastAsia" w:ascii="仿宋" w:hAnsi="仿宋" w:eastAsia="仿宋"/>
          <w:color w:val="auto"/>
          <w:sz w:val="32"/>
          <w:szCs w:val="32"/>
        </w:rPr>
        <w:t>实</w:t>
      </w:r>
      <w:r>
        <w:rPr>
          <w:rFonts w:hint="eastAsia" w:ascii="仿宋" w:hAnsi="仿宋" w:eastAsia="仿宋"/>
          <w:color w:val="auto"/>
          <w:sz w:val="32"/>
          <w:szCs w:val="32"/>
          <w:lang w:val="en-US" w:eastAsia="zh-CN"/>
        </w:rPr>
        <w:t>施。</w:t>
      </w:r>
      <w:r>
        <w:rPr>
          <w:rFonts w:hint="default" w:ascii="仿宋" w:hAnsi="仿宋" w:eastAsia="仿宋"/>
          <w:color w:val="auto"/>
          <w:sz w:val="32"/>
          <w:szCs w:val="32"/>
          <w:lang w:val="en-US" w:eastAsia="zh-CN"/>
        </w:rPr>
        <w:t>通过培训，教师综合素质得到了显著提升</w:t>
      </w:r>
      <w:r>
        <w:rPr>
          <w:rFonts w:hint="eastAsia" w:ascii="仿宋" w:hAnsi="仿宋" w:eastAsia="仿宋"/>
          <w:color w:val="auto"/>
          <w:sz w:val="32"/>
          <w:szCs w:val="32"/>
          <w:lang w:val="en-US" w:eastAsia="zh-CN"/>
        </w:rPr>
        <w:t>。学员</w:t>
      </w:r>
      <w:r>
        <w:rPr>
          <w:rFonts w:hint="default" w:ascii="仿宋" w:hAnsi="仿宋" w:eastAsia="仿宋"/>
          <w:color w:val="auto"/>
          <w:sz w:val="32"/>
          <w:szCs w:val="32"/>
          <w:lang w:val="en-US" w:eastAsia="zh-CN"/>
        </w:rPr>
        <w:t>在教育理念、教学方法、课程与教材改革等方面有了更加深入的</w:t>
      </w:r>
      <w:r>
        <w:rPr>
          <w:rFonts w:hint="eastAsia" w:ascii="仿宋" w:hAnsi="仿宋" w:eastAsia="仿宋"/>
          <w:color w:val="auto"/>
          <w:sz w:val="32"/>
          <w:szCs w:val="32"/>
          <w:lang w:val="en-US" w:eastAsia="zh-CN"/>
        </w:rPr>
        <w:t>提高</w:t>
      </w:r>
      <w:r>
        <w:rPr>
          <w:rFonts w:hint="default" w:ascii="仿宋" w:hAnsi="仿宋" w:eastAsia="仿宋"/>
          <w:color w:val="auto"/>
          <w:sz w:val="32"/>
          <w:szCs w:val="32"/>
          <w:lang w:val="en-US" w:eastAsia="zh-CN"/>
        </w:rPr>
        <w:t>，为今后的教学工作打下了坚实的基础</w:t>
      </w:r>
      <w:r>
        <w:rPr>
          <w:rFonts w:hint="eastAsia" w:ascii="仿宋" w:hAnsi="仿宋" w:eastAsia="仿宋"/>
          <w:color w:val="auto"/>
          <w:sz w:val="32"/>
          <w:szCs w:val="32"/>
          <w:lang w:val="en-US" w:eastAsia="zh-CN"/>
        </w:rPr>
        <w:t>。</w:t>
      </w:r>
      <w:r>
        <w:rPr>
          <w:rFonts w:hint="default" w:ascii="仿宋" w:hAnsi="仿宋" w:eastAsia="仿宋"/>
          <w:color w:val="auto"/>
          <w:sz w:val="32"/>
          <w:szCs w:val="32"/>
          <w:lang w:val="en-US" w:eastAsia="zh-CN"/>
        </w:rPr>
        <w:t>党员的思想政治素质得到了显著提升</w:t>
      </w:r>
      <w:r>
        <w:rPr>
          <w:rFonts w:hint="eastAsia" w:ascii="仿宋" w:hAnsi="仿宋" w:eastAsia="仿宋"/>
          <w:color w:val="auto"/>
          <w:sz w:val="32"/>
          <w:szCs w:val="32"/>
          <w:lang w:val="en-US" w:eastAsia="zh-CN"/>
        </w:rPr>
        <w:t>，学员</w:t>
      </w:r>
      <w:r>
        <w:rPr>
          <w:rFonts w:hint="default" w:ascii="仿宋" w:hAnsi="仿宋" w:eastAsia="仿宋"/>
          <w:color w:val="auto"/>
          <w:sz w:val="32"/>
          <w:szCs w:val="32"/>
          <w:lang w:val="en-US" w:eastAsia="zh-CN"/>
        </w:rPr>
        <w:t>自觉学习政治理论，利用“学习强国”等平台，重点学习政治理论、党章、党规党纪和党风廉政建设等方面的规定，时刻接受党的教育，有效提升了他们的党性修养和为人民服务的意识</w:t>
      </w:r>
      <w:r>
        <w:rPr>
          <w:rFonts w:hint="eastAsia" w:ascii="仿宋" w:hAnsi="仿宋" w:eastAsia="仿宋"/>
          <w:color w:val="auto"/>
          <w:sz w:val="32"/>
          <w:szCs w:val="32"/>
          <w:lang w:val="en-US" w:eastAsia="zh-CN"/>
        </w:rPr>
        <w:t>。践行西柏坡精神-走好新时代赶考路主题学习班组织学员</w:t>
      </w:r>
      <w:r>
        <w:rPr>
          <w:rFonts w:hint="default" w:ascii="仿宋" w:hAnsi="仿宋" w:eastAsia="仿宋"/>
          <w:color w:val="auto"/>
          <w:sz w:val="32"/>
          <w:szCs w:val="32"/>
          <w:lang w:val="en-US" w:eastAsia="zh-CN"/>
        </w:rPr>
        <w:t>重温入党誓词、敬献花篮仪式</w:t>
      </w:r>
      <w:r>
        <w:rPr>
          <w:rFonts w:hint="eastAsia" w:ascii="仿宋" w:hAnsi="仿宋" w:eastAsia="仿宋"/>
          <w:color w:val="auto"/>
          <w:sz w:val="32"/>
          <w:szCs w:val="32"/>
          <w:lang w:val="en-US" w:eastAsia="zh-CN"/>
        </w:rPr>
        <w:t>、</w:t>
      </w:r>
      <w:r>
        <w:rPr>
          <w:rFonts w:hint="default" w:ascii="仿宋" w:hAnsi="仿宋" w:eastAsia="仿宋"/>
          <w:color w:val="auto"/>
          <w:sz w:val="32"/>
          <w:szCs w:val="32"/>
          <w:lang w:val="en-US" w:eastAsia="zh-CN"/>
        </w:rPr>
        <w:t>参观毛主席纪念馆和其他红色旧址等活动，</w:t>
      </w:r>
      <w:r>
        <w:rPr>
          <w:rFonts w:hint="eastAsia" w:ascii="仿宋" w:hAnsi="仿宋" w:eastAsia="仿宋"/>
          <w:color w:val="auto"/>
          <w:sz w:val="32"/>
          <w:szCs w:val="32"/>
          <w:lang w:val="en-US" w:eastAsia="zh-CN"/>
        </w:rPr>
        <w:t>使学员</w:t>
      </w:r>
      <w:r>
        <w:rPr>
          <w:rFonts w:hint="default" w:ascii="仿宋" w:hAnsi="仿宋" w:eastAsia="仿宋"/>
          <w:color w:val="auto"/>
          <w:sz w:val="32"/>
          <w:szCs w:val="32"/>
          <w:lang w:val="en-US" w:eastAsia="zh-CN"/>
        </w:rPr>
        <w:t>深刻理解了革命先烈的牺牲精神和无私奉献，</w:t>
      </w:r>
      <w:r>
        <w:rPr>
          <w:rFonts w:hint="eastAsia" w:ascii="仿宋" w:hAnsi="仿宋" w:eastAsia="仿宋"/>
          <w:color w:val="auto"/>
          <w:sz w:val="32"/>
          <w:szCs w:val="32"/>
          <w:lang w:val="en-US" w:eastAsia="zh-CN"/>
        </w:rPr>
        <w:t>提升了学员的责任感和使命感，增强了学员的爱国主义精神，各项培训项目都达到了预期的效果</w:t>
      </w:r>
      <w:r>
        <w:rPr>
          <w:rFonts w:hint="default" w:ascii="仿宋" w:hAnsi="仿宋" w:eastAsia="仿宋"/>
          <w:color w:val="auto"/>
          <w:sz w:val="32"/>
          <w:szCs w:val="32"/>
          <w:lang w:val="en-US" w:eastAsia="zh-CN"/>
        </w:rPr>
        <w:t>。</w:t>
      </w:r>
    </w:p>
    <w:p w14:paraId="179C665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2F18C292">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根据部门职责定位和各项工作履职情况进行综合评价，我校预算项目综合绩效评价得分9</w:t>
      </w:r>
      <w:r>
        <w:rPr>
          <w:rFonts w:hint="eastAsia" w:ascii="仿宋" w:hAnsi="仿宋" w:eastAsia="仿宋"/>
          <w:sz w:val="32"/>
          <w:szCs w:val="32"/>
          <w:lang w:val="en-US" w:eastAsia="zh-CN"/>
        </w:rPr>
        <w:t>6</w:t>
      </w:r>
      <w:r>
        <w:rPr>
          <w:rFonts w:hint="eastAsia" w:ascii="仿宋" w:hAnsi="仿宋" w:eastAsia="仿宋"/>
          <w:sz w:val="32"/>
          <w:szCs w:val="32"/>
        </w:rPr>
        <w:t>分，等级为优秀。预算支出项目的预期绩效目标基本完成。</w:t>
      </w:r>
    </w:p>
    <w:p w14:paraId="55A41225">
      <w:pPr>
        <w:spacing w:line="560" w:lineRule="exact"/>
        <w:ind w:firstLine="640" w:firstLineChars="200"/>
        <w:rPr>
          <w:rFonts w:ascii="黑体" w:hAnsi="黑体" w:eastAsia="黑体"/>
          <w:sz w:val="32"/>
          <w:szCs w:val="32"/>
          <w:highlight w:val="none"/>
        </w:rPr>
      </w:pPr>
      <w:r>
        <w:rPr>
          <w:rFonts w:hint="eastAsia" w:ascii="黑体" w:hAnsi="黑体" w:eastAsia="黑体"/>
          <w:sz w:val="32"/>
          <w:szCs w:val="32"/>
          <w:highlight w:val="none"/>
        </w:rPr>
        <w:t>五、存在的问题及改进措施</w:t>
      </w:r>
    </w:p>
    <w:p w14:paraId="5972F63C">
      <w:pPr>
        <w:spacing w:line="560" w:lineRule="exact"/>
        <w:ind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（一）存在的主要问题</w:t>
      </w:r>
    </w:p>
    <w:p w14:paraId="588D1226">
      <w:pPr>
        <w:adjustRightInd w:val="0"/>
        <w:snapToGrid w:val="0"/>
        <w:spacing w:line="560" w:lineRule="exact"/>
        <w:ind w:firstLine="640" w:firstLineChars="200"/>
        <w:rPr>
          <w:rFonts w:hint="default" w:ascii="仿宋" w:hAnsi="仿宋" w:eastAsia="仿宋"/>
          <w:sz w:val="32"/>
          <w:szCs w:val="32"/>
          <w:lang w:val="en-US" w:eastAsia="zh-CN"/>
        </w:rPr>
      </w:pPr>
      <w:r>
        <w:rPr>
          <w:rFonts w:hint="eastAsia" w:ascii="仿宋" w:hAnsi="仿宋" w:eastAsia="仿宋"/>
          <w:sz w:val="32"/>
          <w:szCs w:val="32"/>
        </w:rPr>
        <w:t>我校在202</w:t>
      </w:r>
      <w:r>
        <w:rPr>
          <w:rFonts w:hint="eastAsia" w:ascii="仿宋" w:hAnsi="仿宋" w:eastAsia="仿宋"/>
          <w:sz w:val="32"/>
          <w:szCs w:val="32"/>
          <w:lang w:val="en-US" w:eastAsia="zh-CN"/>
        </w:rPr>
        <w:t>5</w:t>
      </w:r>
      <w:r>
        <w:rPr>
          <w:rFonts w:hint="eastAsia" w:ascii="仿宋" w:hAnsi="仿宋" w:eastAsia="仿宋"/>
          <w:sz w:val="32"/>
          <w:szCs w:val="32"/>
        </w:rPr>
        <w:t>年预算执行过程中</w:t>
      </w:r>
      <w:r>
        <w:rPr>
          <w:rFonts w:hint="eastAsia" w:ascii="仿宋" w:hAnsi="仿宋" w:eastAsia="仿宋"/>
          <w:sz w:val="32"/>
          <w:szCs w:val="32"/>
          <w:lang w:eastAsia="zh-CN"/>
        </w:rPr>
        <w:t>，</w:t>
      </w:r>
      <w:r>
        <w:rPr>
          <w:rFonts w:hint="eastAsia" w:ascii="仿宋" w:hAnsi="仿宋" w:eastAsia="仿宋"/>
          <w:sz w:val="32"/>
          <w:szCs w:val="32"/>
          <w:lang w:val="en-US" w:eastAsia="zh-CN"/>
        </w:rPr>
        <w:t>项目预算执行率达到99%及以上的项目共计15个，最低预算执行率0%，该项目为2024高校学生资助中央资金（追加），该项目为上年结转中央资金，用于支付向服兵役学生发放学费补偿款，执行率低原因是在2025年我校已经按照政策全部为服兵役学生发放了学费补偿款，多余资金无需再支付，</w:t>
      </w:r>
      <w:r>
        <w:rPr>
          <w:rFonts w:hint="eastAsia" w:ascii="仿宋" w:hAnsi="仿宋" w:eastAsia="仿宋"/>
          <w:sz w:val="32"/>
          <w:szCs w:val="32"/>
        </w:rPr>
        <w:t>故该项资金未支付</w:t>
      </w:r>
      <w:r>
        <w:rPr>
          <w:rFonts w:hint="eastAsia" w:ascii="仿宋" w:hAnsi="仿宋" w:eastAsia="仿宋"/>
          <w:sz w:val="32"/>
          <w:szCs w:val="32"/>
          <w:lang w:eastAsia="zh-CN"/>
        </w:rPr>
        <w:t>，</w:t>
      </w:r>
      <w:r>
        <w:rPr>
          <w:rFonts w:hint="eastAsia" w:ascii="仿宋" w:hAnsi="仿宋" w:eastAsia="仿宋"/>
          <w:sz w:val="32"/>
          <w:szCs w:val="32"/>
          <w:lang w:val="en-US" w:eastAsia="zh-CN"/>
        </w:rPr>
        <w:t>年末已交回财政。</w:t>
      </w:r>
    </w:p>
    <w:p w14:paraId="2E4FD2EB">
      <w:pPr>
        <w:numPr>
          <w:ilvl w:val="0"/>
          <w:numId w:val="3"/>
        </w:numPr>
        <w:spacing w:line="560" w:lineRule="exact"/>
        <w:ind w:left="0" w:leftChars="0" w:firstLine="640" w:firstLineChars="200"/>
        <w:rPr>
          <w:rFonts w:hint="eastAsia" w:ascii="楷体" w:hAnsi="楷体" w:eastAsia="楷体"/>
          <w:bCs/>
          <w:sz w:val="32"/>
          <w:szCs w:val="32"/>
          <w:highlight w:val="none"/>
        </w:rPr>
      </w:pPr>
      <w:r>
        <w:rPr>
          <w:rFonts w:hint="eastAsia" w:ascii="楷体" w:hAnsi="楷体" w:eastAsia="楷体"/>
          <w:bCs/>
          <w:sz w:val="32"/>
          <w:szCs w:val="32"/>
          <w:highlight w:val="none"/>
        </w:rPr>
        <w:t>针对问题提出具体的改进措施或建议</w:t>
      </w:r>
    </w:p>
    <w:p w14:paraId="4F1DB2E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通过对</w:t>
      </w:r>
      <w:r>
        <w:rPr>
          <w:rFonts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度各预算项目绩效自评结果对比倒查年初绩效目标设定质量情况，学校有些项目在设置绩效评价指标方面有欠缺，例如绩效目标设定方面目标指标填报方面，指标名称未使用指标化语言，缺少目标值设置等；绩效指标过于宽泛，界定过于模糊，指标目标值不清晰或不量化，今后在指标分解方面需要再细化。</w:t>
      </w:r>
    </w:p>
    <w:p w14:paraId="6614596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学</w:t>
      </w:r>
      <w:r>
        <w:rPr>
          <w:rFonts w:hint="eastAsia" w:ascii="仿宋" w:hAnsi="仿宋" w:eastAsia="仿宋"/>
          <w:sz w:val="32"/>
          <w:szCs w:val="32"/>
          <w:lang w:val="en-US" w:eastAsia="zh-CN"/>
        </w:rPr>
        <w:t>校</w:t>
      </w:r>
      <w:r>
        <w:rPr>
          <w:rFonts w:hint="eastAsia" w:ascii="仿宋" w:hAnsi="仿宋" w:eastAsia="仿宋"/>
          <w:sz w:val="32"/>
          <w:szCs w:val="32"/>
        </w:rPr>
        <w:t>通过开展预算项目绩效自评价工作，深刻认识到项目绩效评价工作的重要性、科学性和规范性。我们在今后工作中，要加强政策理论和业务理论学习，精准把握工作实质和内涵，在设置项目绩效评价指标时结合项目内容和实际工作，全面完整、科学合理地设置绩效评价目标和标准，按期完成各项目工作进度，进一步提高绩效目标设置质量，提高项目绩效评价效率，使财政资金使用更加高效。</w:t>
      </w:r>
    </w:p>
    <w:p w14:paraId="67187BD5">
      <w:pPr>
        <w:numPr>
          <w:numId w:val="0"/>
        </w:numPr>
        <w:spacing w:line="560" w:lineRule="exact"/>
        <w:ind w:leftChars="200"/>
        <w:rPr>
          <w:rFonts w:hint="eastAsia" w:ascii="楷体" w:hAnsi="楷体" w:eastAsia="楷体"/>
          <w:bCs/>
          <w:sz w:val="32"/>
          <w:szCs w:val="32"/>
          <w:highlight w:val="none"/>
        </w:rPr>
      </w:pPr>
      <w:bookmarkStart w:id="1" w:name="_GoBack"/>
      <w:bookmarkEnd w:id="1"/>
    </w:p>
    <w:p w14:paraId="57DAB05C">
      <w:pPr>
        <w:adjustRightInd w:val="0"/>
        <w:snapToGrid w:val="0"/>
        <w:spacing w:line="560" w:lineRule="exact"/>
        <w:ind w:firstLine="640" w:firstLineChars="200"/>
        <w:rPr>
          <w:rFonts w:ascii="黑体" w:hAnsi="黑体" w:eastAsia="黑体"/>
          <w:sz w:val="32"/>
          <w:szCs w:val="32"/>
          <w:highlight w:val="yellow"/>
        </w:rPr>
      </w:pPr>
    </w:p>
    <w:p w14:paraId="65862311">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0D3E62">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CD7A13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0B9FAB48"/>
    <w:multiLevelType w:val="singleLevel"/>
    <w:tmpl w:val="0B9FAB48"/>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F187B"/>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A444411"/>
    <w:rsid w:val="1AAF0063"/>
    <w:rsid w:val="1B740D26"/>
    <w:rsid w:val="1BE140DE"/>
    <w:rsid w:val="1E542E40"/>
    <w:rsid w:val="1E5E181A"/>
    <w:rsid w:val="204D1B46"/>
    <w:rsid w:val="20995681"/>
    <w:rsid w:val="216E7FC6"/>
    <w:rsid w:val="248C197D"/>
    <w:rsid w:val="252959AF"/>
    <w:rsid w:val="25F0544D"/>
    <w:rsid w:val="26C50688"/>
    <w:rsid w:val="277A6671"/>
    <w:rsid w:val="292D35B7"/>
    <w:rsid w:val="29C27101"/>
    <w:rsid w:val="2B0D3ECD"/>
    <w:rsid w:val="2E185CFA"/>
    <w:rsid w:val="2E690493"/>
    <w:rsid w:val="33EB6CFF"/>
    <w:rsid w:val="34C24459"/>
    <w:rsid w:val="35A12947"/>
    <w:rsid w:val="36FD79CA"/>
    <w:rsid w:val="37387040"/>
    <w:rsid w:val="377D0B0B"/>
    <w:rsid w:val="39CD7129"/>
    <w:rsid w:val="3B625C0A"/>
    <w:rsid w:val="3BF07AFD"/>
    <w:rsid w:val="3CEE1963"/>
    <w:rsid w:val="3D485717"/>
    <w:rsid w:val="436B78D3"/>
    <w:rsid w:val="439416B6"/>
    <w:rsid w:val="467F21AA"/>
    <w:rsid w:val="483526DD"/>
    <w:rsid w:val="488D56D5"/>
    <w:rsid w:val="494F1056"/>
    <w:rsid w:val="49DA451B"/>
    <w:rsid w:val="4C9C27FE"/>
    <w:rsid w:val="4DE84AD8"/>
    <w:rsid w:val="502A44B1"/>
    <w:rsid w:val="512260B4"/>
    <w:rsid w:val="52BD6ACB"/>
    <w:rsid w:val="55537534"/>
    <w:rsid w:val="561A74F1"/>
    <w:rsid w:val="570404A9"/>
    <w:rsid w:val="582A063F"/>
    <w:rsid w:val="58B17416"/>
    <w:rsid w:val="597244E8"/>
    <w:rsid w:val="5D6677C8"/>
    <w:rsid w:val="5D975B23"/>
    <w:rsid w:val="5DEA03F9"/>
    <w:rsid w:val="5EB71C30"/>
    <w:rsid w:val="60D47FE9"/>
    <w:rsid w:val="66AF0CE5"/>
    <w:rsid w:val="68AC2130"/>
    <w:rsid w:val="6AC537CF"/>
    <w:rsid w:val="6E5B14A6"/>
    <w:rsid w:val="711B255E"/>
    <w:rsid w:val="76BA0E58"/>
    <w:rsid w:val="78DA6752"/>
    <w:rsid w:val="7BB51E06"/>
    <w:rsid w:val="7C387F7C"/>
    <w:rsid w:val="7C99506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9"/>
    <w:pPr>
      <w:outlineLvl w:val="1"/>
    </w:p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100" w:beforeAutospacing="1" w:after="100" w:afterAutospacing="1"/>
      <w:ind w:left="0" w:right="0"/>
      <w:jc w:val="left"/>
    </w:pPr>
    <w:rPr>
      <w:rFonts w:ascii="Times New Roman" w:hAnsi="Times New Roman" w:eastAsia="宋体" w:cs="Times New Roman"/>
      <w:kern w:val="0"/>
      <w:sz w:val="24"/>
      <w:lang w:val="en-US" w:eastAsia="zh-CN" w:bidi="ar"/>
    </w:r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1447</Words>
  <Characters>1578</Characters>
  <Lines>4</Lines>
  <Paragraphs>1</Paragraphs>
  <TotalTime>8</TotalTime>
  <ScaleCrop>false</ScaleCrop>
  <LinksUpToDate>false</LinksUpToDate>
  <CharactersWithSpaces>1600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Sarah</cp:lastModifiedBy>
  <cp:lastPrinted>2026-03-03T01:23:00Z</cp:lastPrinted>
  <dcterms:modified xsi:type="dcterms:W3CDTF">2026-04-15T07:06:07Z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96934721B1514D3FBAA28020338CE855_12</vt:lpwstr>
  </property>
  <property fmtid="{D5CDD505-2E9C-101B-9397-08002B2CF9AE}" pid="4" name="KSOTemplateDocerSaveRecord">
    <vt:lpwstr>eyJoZGlkIjoiMjBlODAwMzlkOTBmNTY5ODA5Mjc3YWJlNjA0ZmYyMGYiLCJ1c2VySWQiOiI2NTYwMTkxMjIifQ==</vt:lpwstr>
  </property>
</Properties>
</file>