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石家庄市社会科学院</w:t>
      </w:r>
    </w:p>
    <w:p>
      <w:pPr>
        <w:spacing w:line="560" w:lineRule="exact"/>
        <w:jc w:val="center"/>
        <w:rPr>
          <w:rFonts w:ascii="宋体" w:hAnsi="宋体" w:cs="宋体"/>
          <w:sz w:val="32"/>
          <w:szCs w:val="32"/>
        </w:rPr>
      </w:pPr>
      <w:r>
        <w:rPr>
          <w:rFonts w:hint="eastAsia" w:ascii="宋体" w:hAnsi="宋体" w:cs="宋体"/>
          <w:b/>
          <w:bCs/>
          <w:sz w:val="44"/>
          <w:szCs w:val="44"/>
          <w:lang w:eastAsia="zh-CN"/>
        </w:rPr>
        <w:t>2025年</w:t>
      </w:r>
      <w:r>
        <w:rPr>
          <w:rFonts w:hint="eastAsia" w:ascii="宋体" w:hAnsi="宋体" w:cs="宋体"/>
          <w:b/>
          <w:bCs/>
          <w:sz w:val="44"/>
          <w:szCs w:val="44"/>
        </w:rPr>
        <w:t>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我院2025年</w:t>
      </w:r>
      <w:r>
        <w:rPr>
          <w:rFonts w:hint="eastAsia" w:ascii="仿宋" w:hAnsi="仿宋" w:eastAsia="仿宋"/>
          <w:sz w:val="32"/>
          <w:szCs w:val="32"/>
        </w:rPr>
        <w:t>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我院主要职责为组织开展中国特色社会主义理论体系以及马克思主义基本理论的研究；围绕市委、市政府中心工作，进行经济、政治、文化和社会发展应用对策研究，为市委、市政府科学决策提供理论支撑等。</w:t>
      </w:r>
      <w:r>
        <w:rPr>
          <w:rFonts w:hint="eastAsia" w:ascii="仿宋" w:hAnsi="仿宋" w:eastAsia="仿宋"/>
          <w:sz w:val="32"/>
          <w:szCs w:val="32"/>
        </w:rPr>
        <w:t>独立机构编制数</w:t>
      </w:r>
      <w:r>
        <w:rPr>
          <w:rFonts w:hint="eastAsia" w:ascii="仿宋" w:hAnsi="仿宋" w:eastAsia="仿宋"/>
          <w:sz w:val="32"/>
          <w:szCs w:val="32"/>
          <w:lang w:eastAsia="zh-CN"/>
        </w:rPr>
        <w:t>为</w:t>
      </w:r>
      <w:r>
        <w:rPr>
          <w:rFonts w:hint="eastAsia" w:ascii="仿宋" w:hAnsi="仿宋" w:eastAsia="仿宋"/>
          <w:sz w:val="32"/>
          <w:szCs w:val="32"/>
          <w:lang w:val="en-US" w:eastAsia="zh-CN"/>
        </w:rPr>
        <w:t>1</w:t>
      </w:r>
      <w:r>
        <w:rPr>
          <w:rFonts w:hint="eastAsia" w:ascii="仿宋" w:hAnsi="仿宋" w:eastAsia="仿宋"/>
          <w:sz w:val="32"/>
          <w:szCs w:val="32"/>
          <w:lang w:eastAsia="zh-CN"/>
        </w:rPr>
        <w:t>个，</w:t>
      </w:r>
      <w:r>
        <w:rPr>
          <w:rFonts w:hint="eastAsia" w:ascii="仿宋" w:hAnsi="仿宋" w:eastAsia="仿宋"/>
          <w:sz w:val="32"/>
          <w:szCs w:val="32"/>
        </w:rPr>
        <w:t>年末实有在职3</w:t>
      </w:r>
      <w:r>
        <w:rPr>
          <w:rFonts w:hint="eastAsia" w:ascii="仿宋" w:hAnsi="仿宋" w:eastAsia="仿宋"/>
          <w:sz w:val="32"/>
          <w:szCs w:val="32"/>
          <w:lang w:val="en-US" w:eastAsia="zh-CN"/>
        </w:rPr>
        <w:t>4</w:t>
      </w:r>
      <w:r>
        <w:rPr>
          <w:rFonts w:hint="eastAsia" w:ascii="仿宋" w:hAnsi="仿宋" w:eastAsia="仿宋"/>
          <w:sz w:val="32"/>
          <w:szCs w:val="32"/>
        </w:rPr>
        <w:t>人，较</w:t>
      </w:r>
      <w:r>
        <w:rPr>
          <w:rFonts w:hint="eastAsia" w:ascii="仿宋" w:hAnsi="仿宋" w:eastAsia="仿宋"/>
          <w:sz w:val="32"/>
          <w:szCs w:val="32"/>
          <w:lang w:eastAsia="zh-CN"/>
        </w:rPr>
        <w:t>2024年末减少</w:t>
      </w:r>
      <w:r>
        <w:rPr>
          <w:rFonts w:hint="eastAsia" w:ascii="仿宋" w:hAnsi="仿宋" w:eastAsia="仿宋"/>
          <w:sz w:val="32"/>
          <w:szCs w:val="32"/>
          <w:lang w:val="en-US" w:eastAsia="zh-CN"/>
        </w:rPr>
        <w:t>3人</w:t>
      </w:r>
      <w:r>
        <w:rPr>
          <w:rFonts w:hint="eastAsia" w:ascii="仿宋" w:hAnsi="仿宋" w:eastAsia="仿宋"/>
          <w:sz w:val="32"/>
          <w:szCs w:val="32"/>
          <w:lang w:eastAsia="zh-CN"/>
        </w:rPr>
        <w:t>。</w:t>
      </w:r>
      <w:r>
        <w:rPr>
          <w:rFonts w:hint="eastAsia" w:ascii="仿宋" w:hAnsi="仿宋" w:eastAsia="仿宋"/>
          <w:sz w:val="32"/>
          <w:szCs w:val="32"/>
          <w:lang w:val="en-US" w:eastAsia="zh-CN"/>
        </w:rPr>
        <w:t>年末资产总值为</w:t>
      </w:r>
      <w:r>
        <w:rPr>
          <w:rFonts w:hint="eastAsia" w:ascii="仿宋_GB2312" w:hAnsi="仿宋" w:eastAsia="仿宋_GB2312" w:cs="Times New Roman"/>
          <w:sz w:val="32"/>
          <w:szCs w:val="32"/>
          <w:lang w:val="en-US" w:eastAsia="zh-CN"/>
        </w:rPr>
        <w:t>168.6</w:t>
      </w:r>
      <w:r>
        <w:rPr>
          <w:rFonts w:hint="eastAsia" w:ascii="仿宋" w:hAnsi="仿宋" w:eastAsia="仿宋"/>
          <w:sz w:val="32"/>
          <w:szCs w:val="32"/>
          <w:lang w:val="en-US" w:eastAsia="zh-CN"/>
        </w:rPr>
        <w:t>万元，较上年减少26.99万元</w:t>
      </w:r>
      <w:r>
        <w:rPr>
          <w:rFonts w:hint="eastAsia" w:ascii="仿宋" w:hAnsi="仿宋" w:eastAsia="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2025年年初安排预算收入</w:t>
      </w:r>
      <w:r>
        <w:rPr>
          <w:rFonts w:hint="eastAsia" w:ascii="仿宋_GB2312" w:hAnsi="仿宋" w:eastAsia="仿宋_GB2312"/>
          <w:sz w:val="32"/>
          <w:szCs w:val="32"/>
          <w:lang w:val="en-US" w:eastAsia="zh-CN"/>
        </w:rPr>
        <w:t>1046.69</w:t>
      </w:r>
      <w:r>
        <w:rPr>
          <w:rFonts w:hint="eastAsia" w:ascii="仿宋" w:hAnsi="仿宋" w:eastAsia="仿宋"/>
          <w:sz w:val="32"/>
          <w:szCs w:val="32"/>
          <w:lang w:val="en-US" w:eastAsia="zh-CN"/>
        </w:rPr>
        <w:t>万元，全部为一般公共预算拨款收入，无其他类型的收入；2025年度决算收入数</w:t>
      </w:r>
      <w:r>
        <w:rPr>
          <w:rFonts w:hint="eastAsia" w:ascii="仿宋_GB2312" w:hAnsi="仿宋" w:eastAsia="仿宋_GB2312"/>
          <w:sz w:val="32"/>
          <w:szCs w:val="32"/>
          <w:lang w:val="en-US" w:eastAsia="zh-CN"/>
        </w:rPr>
        <w:t>1046.69</w:t>
      </w:r>
      <w:r>
        <w:rPr>
          <w:rFonts w:hint="eastAsia" w:ascii="仿宋" w:hAnsi="仿宋" w:eastAsia="仿宋"/>
          <w:sz w:val="32"/>
          <w:szCs w:val="32"/>
          <w:lang w:val="en-US" w:eastAsia="zh-CN"/>
        </w:rPr>
        <w:t>万元，均为一般公共预算财政拨款收入，无其他类型的收入；2025年度支出决算数</w:t>
      </w:r>
      <w:r>
        <w:rPr>
          <w:rFonts w:hint="eastAsia" w:ascii="仿宋_GB2312" w:hAnsi="仿宋" w:eastAsia="仿宋_GB2312"/>
          <w:sz w:val="32"/>
          <w:szCs w:val="32"/>
          <w:lang w:val="en-US" w:eastAsia="zh-CN"/>
        </w:rPr>
        <w:t>1043.38</w:t>
      </w:r>
      <w:r>
        <w:rPr>
          <w:rFonts w:hint="eastAsia" w:ascii="仿宋" w:hAnsi="仿宋" w:eastAsia="仿宋"/>
          <w:sz w:val="32"/>
          <w:szCs w:val="32"/>
          <w:lang w:val="en-US" w:eastAsia="zh-CN"/>
        </w:rPr>
        <w:t>万元，按资金来源分：均为财政拨款支出，无其他资金来源支出。</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坚持以习近平新时代中国特色社会主义思想为指导，深入学习贯彻党的二十大和二十届</w:t>
      </w:r>
      <w:r>
        <w:rPr>
          <w:rFonts w:hint="eastAsia" w:ascii="仿宋" w:hAnsi="仿宋" w:eastAsia="仿宋"/>
          <w:sz w:val="32"/>
          <w:szCs w:val="32"/>
          <w:lang w:eastAsia="zh-CN"/>
        </w:rPr>
        <w:t>历次</w:t>
      </w:r>
      <w:r>
        <w:rPr>
          <w:rFonts w:hint="eastAsia" w:ascii="仿宋" w:hAnsi="仿宋" w:eastAsia="仿宋"/>
          <w:sz w:val="32"/>
          <w:szCs w:val="32"/>
        </w:rPr>
        <w:t>全会精神，不断加强中国特色社会主义理论体系以及马克思主义基本理论的研究，紧紧围绕市委、市政府中心工作开展</w:t>
      </w:r>
      <w:r>
        <w:rPr>
          <w:rFonts w:hint="eastAsia" w:ascii="仿宋" w:hAnsi="仿宋" w:eastAsia="仿宋"/>
          <w:sz w:val="32"/>
          <w:szCs w:val="32"/>
          <w:lang w:eastAsia="zh-CN"/>
        </w:rPr>
        <w:t>哲学</w:t>
      </w:r>
      <w:r>
        <w:rPr>
          <w:rFonts w:hint="eastAsia" w:ascii="仿宋" w:hAnsi="仿宋" w:eastAsia="仿宋"/>
          <w:sz w:val="32"/>
          <w:szCs w:val="32"/>
        </w:rPr>
        <w:t>社会科学研究，</w:t>
      </w:r>
      <w:r>
        <w:rPr>
          <w:rFonts w:hint="eastAsia" w:ascii="仿宋" w:hAnsi="仿宋" w:eastAsia="仿宋"/>
          <w:sz w:val="32"/>
          <w:szCs w:val="32"/>
          <w:lang w:eastAsia="zh-CN"/>
        </w:rPr>
        <w:t>扎实做好</w:t>
      </w:r>
      <w:r>
        <w:rPr>
          <w:rFonts w:hint="eastAsia" w:ascii="仿宋" w:hAnsi="仿宋" w:eastAsia="仿宋"/>
          <w:sz w:val="32"/>
          <w:szCs w:val="32"/>
        </w:rPr>
        <w:t>石家庄本土文化研究，开展社科</w:t>
      </w:r>
      <w:r>
        <w:rPr>
          <w:rFonts w:hint="eastAsia" w:ascii="仿宋" w:hAnsi="仿宋" w:eastAsia="仿宋"/>
          <w:sz w:val="32"/>
          <w:szCs w:val="32"/>
          <w:lang w:eastAsia="zh-CN"/>
        </w:rPr>
        <w:t>课题</w:t>
      </w:r>
      <w:r>
        <w:rPr>
          <w:rFonts w:hint="eastAsia" w:ascii="仿宋" w:hAnsi="仿宋" w:eastAsia="仿宋"/>
          <w:sz w:val="32"/>
          <w:szCs w:val="32"/>
        </w:rPr>
        <w:t>资助，统筹做好社科数据维护传播，激发社科研究活力；组织好理论宣讲大赛和巡讲活动，开展好面对面宣讲和普法宣传，实施好“三下乡”活动，充分发挥融媒体传播优势，制作好“理论之窗”电视栏目、“石家庄历史文化非遗微纪录片”、“石时宣讲”系列微视频，提升党的创新理论传播速度和我市影响力。发挥社科桥梁纽带作用，做好《石家庄社会科学》编纂印刷，加强社科普及基地建设，开展社科</w:t>
      </w:r>
      <w:r>
        <w:rPr>
          <w:rFonts w:hint="eastAsia" w:ascii="仿宋" w:hAnsi="仿宋" w:eastAsia="仿宋"/>
          <w:sz w:val="32"/>
          <w:szCs w:val="32"/>
          <w:lang w:eastAsia="zh-CN"/>
        </w:rPr>
        <w:t>骨干和理论</w:t>
      </w:r>
      <w:bookmarkStart w:id="0" w:name="_GoBack"/>
      <w:bookmarkEnd w:id="0"/>
      <w:r>
        <w:rPr>
          <w:rFonts w:hint="eastAsia" w:ascii="仿宋" w:hAnsi="仿宋" w:eastAsia="仿宋"/>
          <w:sz w:val="32"/>
          <w:szCs w:val="32"/>
        </w:rPr>
        <w:t>宣讲骨干培训，凝聚社科工作合力；组织好“科普月”活动，广泛开展社科普及进基层，引领社会新风尚；开展社科课题的立项、评审、资助工作，指导全市社科组织和社科工作者开展各项活动。扎实发挥我院理论武装、研究阐释、服务决策、社科普及等各项工作职能，自觉担负起“举旗帜、聚民心、育新人、兴文化、展形象”的使命任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根据市委</w:t>
      </w:r>
      <w:r>
        <w:rPr>
          <w:rFonts w:hint="eastAsia" w:ascii="仿宋" w:hAnsi="仿宋" w:eastAsia="仿宋"/>
          <w:sz w:val="32"/>
          <w:szCs w:val="32"/>
          <w:lang w:eastAsia="zh-CN"/>
        </w:rPr>
        <w:t>、</w:t>
      </w:r>
      <w:r>
        <w:rPr>
          <w:rFonts w:hint="eastAsia" w:ascii="仿宋" w:hAnsi="仿宋" w:eastAsia="仿宋"/>
          <w:sz w:val="32"/>
          <w:szCs w:val="32"/>
        </w:rPr>
        <w:t>市政府《关于全面落实预算绩效管理的实施意见》（石发﹝2019﹞8号）文件精神</w:t>
      </w:r>
      <w:r>
        <w:rPr>
          <w:rFonts w:hint="eastAsia" w:ascii="仿宋" w:hAnsi="仿宋" w:eastAsia="仿宋"/>
          <w:sz w:val="32"/>
          <w:szCs w:val="32"/>
          <w:lang w:eastAsia="zh-CN"/>
        </w:rPr>
        <w:t>，</w:t>
      </w:r>
      <w:r>
        <w:rPr>
          <w:rFonts w:hint="eastAsia" w:ascii="仿宋" w:hAnsi="仿宋" w:eastAsia="仿宋"/>
          <w:sz w:val="32"/>
          <w:szCs w:val="32"/>
        </w:rPr>
        <w:t>市财政局《</w:t>
      </w:r>
      <w:r>
        <w:rPr>
          <w:rFonts w:hint="eastAsia" w:ascii="仿宋" w:hAnsi="仿宋" w:eastAsia="仿宋"/>
          <w:sz w:val="32"/>
          <w:szCs w:val="32"/>
          <w:lang w:eastAsia="zh-CN"/>
        </w:rPr>
        <w:t>关于开展</w:t>
      </w:r>
      <w:r>
        <w:rPr>
          <w:rFonts w:hint="eastAsia" w:ascii="仿宋" w:hAnsi="仿宋" w:eastAsia="仿宋"/>
          <w:sz w:val="32"/>
          <w:szCs w:val="32"/>
          <w:lang w:val="en-US" w:eastAsia="zh-CN"/>
        </w:rPr>
        <w:t>2025年绩效自评工作的通知》要求</w:t>
      </w:r>
      <w:r>
        <w:rPr>
          <w:rFonts w:hint="eastAsia" w:ascii="仿宋" w:hAnsi="仿宋" w:eastAsia="仿宋"/>
          <w:sz w:val="32"/>
          <w:szCs w:val="32"/>
        </w:rPr>
        <w:t>，我院严格对照</w:t>
      </w:r>
      <w:r>
        <w:rPr>
          <w:rFonts w:hint="eastAsia" w:ascii="仿宋" w:hAnsi="仿宋" w:eastAsia="仿宋"/>
          <w:sz w:val="32"/>
          <w:szCs w:val="32"/>
          <w:lang w:eastAsia="zh-CN"/>
        </w:rPr>
        <w:t>预算文本中制定的部门整体绩效目标</w:t>
      </w:r>
      <w:r>
        <w:rPr>
          <w:rFonts w:hint="eastAsia" w:ascii="仿宋" w:hAnsi="仿宋" w:eastAsia="仿宋"/>
          <w:sz w:val="32"/>
          <w:szCs w:val="32"/>
        </w:rPr>
        <w:t>，提早部署、分解任务、压实责任、严肃考评。年初对所有绩效任务目标全部建立台账，每月定期开展绩效管理日常考评，确保各项任务目标任务明确、责任明确、措施明确、结果明确说。</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rPr>
          <w:rFonts w:hint="eastAsia" w:ascii="黑体" w:hAnsi="黑体" w:eastAsia="黑体"/>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我院</w:t>
      </w:r>
      <w:r>
        <w:rPr>
          <w:rFonts w:hint="eastAsia" w:ascii="仿宋" w:hAnsi="仿宋" w:eastAsia="仿宋"/>
          <w:sz w:val="32"/>
          <w:szCs w:val="32"/>
        </w:rPr>
        <w:t>成立了</w:t>
      </w:r>
      <w:r>
        <w:rPr>
          <w:rFonts w:hint="eastAsia" w:ascii="仿宋" w:hAnsi="仿宋" w:eastAsia="仿宋"/>
          <w:sz w:val="32"/>
          <w:szCs w:val="32"/>
          <w:lang w:eastAsia="zh-CN"/>
        </w:rPr>
        <w:t>由院主要负责同志担任组长、各分管负责同志担任副组长、各科室负责人为成员的</w:t>
      </w:r>
      <w:r>
        <w:rPr>
          <w:rFonts w:hint="eastAsia" w:ascii="仿宋" w:hAnsi="仿宋" w:eastAsia="仿宋"/>
          <w:sz w:val="32"/>
          <w:szCs w:val="32"/>
        </w:rPr>
        <w:t>绩效考核自评小组，</w:t>
      </w:r>
      <w:r>
        <w:rPr>
          <w:rFonts w:hint="eastAsia" w:ascii="仿宋" w:hAnsi="仿宋" w:eastAsia="仿宋"/>
          <w:sz w:val="32"/>
          <w:szCs w:val="32"/>
          <w:lang w:eastAsia="zh-CN"/>
        </w:rPr>
        <w:t>负责绩效自评全面工作</w:t>
      </w:r>
      <w:r>
        <w:rPr>
          <w:rFonts w:hint="eastAsia" w:ascii="仿宋" w:hAnsi="仿宋" w:eastAsia="仿宋"/>
          <w:sz w:val="32"/>
          <w:szCs w:val="32"/>
        </w:rPr>
        <w:t>。领导小组下设办公室，具体承担组织实施考核工作，科学制定了绩效自评工作方案，明确了绩效目标、评价标准、工作流程及时间步骤，全面收集资料，认真组织实施，严肃分析评价，形成评价结论。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2025年以来，市社科院领导班子坚持以习近平新时代中国特色社会主义思想为指导，全面学习贯彻党的二十大和党的二十届历次全会精神，在市委坚强领导下，围绕中心、服务大局，扎实开展理论武装、研究阐释、服务决策、社科普及等各项工作。</w:t>
      </w:r>
      <w:r>
        <w:rPr>
          <w:rFonts w:hint="eastAsia" w:ascii="CESI楷体-GB2312" w:hAnsi="CESI楷体-GB2312" w:eastAsia="CESI楷体-GB2312" w:cs="CESI楷体-GB2312"/>
          <w:sz w:val="32"/>
          <w:szCs w:val="32"/>
          <w:lang w:val="en-US" w:eastAsia="zh-CN"/>
        </w:rPr>
        <w:t>一是强化新时代“智库”建设。</w:t>
      </w:r>
      <w:r>
        <w:rPr>
          <w:rFonts w:hint="eastAsia" w:ascii="仿宋" w:hAnsi="仿宋" w:eastAsia="仿宋"/>
          <w:sz w:val="32"/>
          <w:szCs w:val="32"/>
          <w:lang w:val="en-US" w:eastAsia="zh-CN"/>
        </w:rPr>
        <w:t>创新性开展石家庄历史文化系列研究重点课题，设置8个子课题50余个研究方向，召开2场专题研讨座谈会，开展征文活动，助力“文化强市”建设，引发了热烈反响。用足用好“社科研究专家库”和“社科专家建言”平台，报送建言16项，13项到市领导批示，多项实现转化应用。社科课题立项485项，结项426项，实现了质效齐升。</w:t>
      </w:r>
      <w:r>
        <w:rPr>
          <w:rFonts w:hint="eastAsia" w:ascii="CESI楷体-GB2312" w:hAnsi="CESI楷体-GB2312" w:eastAsia="CESI楷体-GB2312" w:cs="CESI楷体-GB2312"/>
          <w:sz w:val="32"/>
          <w:szCs w:val="32"/>
          <w:lang w:val="en-US" w:eastAsia="zh-CN"/>
        </w:rPr>
        <w:t>二是深化“石时宣讲”品牌创建。</w:t>
      </w:r>
      <w:r>
        <w:rPr>
          <w:rFonts w:hint="eastAsia" w:ascii="仿宋" w:hAnsi="仿宋" w:eastAsia="仿宋"/>
          <w:sz w:val="32"/>
          <w:szCs w:val="32"/>
          <w:lang w:val="en-US" w:eastAsia="zh-CN"/>
        </w:rPr>
        <w:t>常态化开展面对面宣讲46场,“大赛+巡讲”模式持续巩固，圆满举办第六届石家庄市理论宣讲大赛，组织优秀理论宣讲骨干到长安区、赵县、高邑县开展示范巡讲活动，把党的创新理论送到千家万户。制作高水平理论微视频60期，持续做优融媒体矩阵。圆满承办河北省“新思想引领新征程 学习贯彻习近平文化思想”百姓宣讲活动，推动习近平文化思想深入人心。</w:t>
      </w:r>
      <w:r>
        <w:rPr>
          <w:rFonts w:hint="eastAsia" w:ascii="CESI楷体-GB2312" w:hAnsi="CESI楷体-GB2312" w:eastAsia="CESI楷体-GB2312" w:cs="CESI楷体-GB2312"/>
          <w:sz w:val="32"/>
          <w:szCs w:val="32"/>
          <w:lang w:val="en-US" w:eastAsia="zh-CN"/>
        </w:rPr>
        <w:t>三是发挥科普惠民优势。</w:t>
      </w:r>
      <w:r>
        <w:rPr>
          <w:rFonts w:hint="eastAsia" w:ascii="仿宋" w:hAnsi="仿宋" w:eastAsia="仿宋"/>
          <w:sz w:val="32"/>
          <w:szCs w:val="32"/>
          <w:lang w:val="en-US" w:eastAsia="zh-CN"/>
        </w:rPr>
        <w:t>扎实开展“2025年科普月”活动，开展各类活动近200场。我市推荐的3部作品荣获“2025年度河北省优秀社科普及影音作品”一二三等奖，制作的《常山战鼓震八方》斩获全国第三届“人文社科之光”社科普及短视频大赛二等奖。完成了市社科联直属社团“两个覆盖”，新命名3家市级基地，为4家基地制作形象宣传片，提升基地影响力。我市推荐2名选手斩获社科基地讲解员大赛全省一二等奖、全国三等奖。</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3" w:firstLineChars="25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1.党组织活动经费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绩效目标：通过开展各类党建活动，提升党员党性修养，建强党组织基层“堡垒”。</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参加党组织活动的党员人数≥38人；实际参加党组织活动人数占应参加人数的比例≥95%；党组织活动完成时间年底前；用于每名党员参加党组织活动的经费标准≤0.5万元；完成项目的成本控制在预算水平≤1.77万元；通过开展党员活动提升党员凝聚力；党员干部满意度≥95%。</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参加党组织活动的党员人数</w:t>
      </w:r>
      <w:r>
        <w:rPr>
          <w:rFonts w:hint="eastAsia" w:ascii="仿宋" w:hAnsi="仿宋" w:eastAsia="仿宋"/>
          <w:sz w:val="32"/>
          <w:szCs w:val="32"/>
          <w:lang w:val="en-US" w:eastAsia="zh-CN"/>
        </w:rPr>
        <w:t>172人次</w:t>
      </w:r>
      <w:r>
        <w:rPr>
          <w:rFonts w:hint="eastAsia" w:ascii="仿宋" w:hAnsi="仿宋" w:eastAsia="仿宋"/>
          <w:sz w:val="32"/>
          <w:szCs w:val="32"/>
        </w:rPr>
        <w:t>；实际参加党组织活动人数占应参加人数的比例</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val="en-US" w:eastAsia="zh-CN"/>
        </w:rPr>
        <w:t>2025年度顺利完成程全部</w:t>
      </w:r>
      <w:r>
        <w:rPr>
          <w:rFonts w:hint="eastAsia" w:ascii="仿宋" w:hAnsi="仿宋" w:eastAsia="仿宋"/>
          <w:sz w:val="32"/>
          <w:szCs w:val="32"/>
        </w:rPr>
        <w:t>党组织活动；用于每名党员参加党组织活动的经费标准≤0.</w:t>
      </w:r>
      <w:r>
        <w:rPr>
          <w:rFonts w:hint="eastAsia" w:ascii="仿宋" w:hAnsi="仿宋" w:eastAsia="仿宋"/>
          <w:sz w:val="32"/>
          <w:szCs w:val="32"/>
          <w:lang w:val="en-US" w:eastAsia="zh-CN"/>
        </w:rPr>
        <w:t>01</w:t>
      </w:r>
      <w:r>
        <w:rPr>
          <w:rFonts w:hint="eastAsia" w:ascii="仿宋" w:hAnsi="仿宋" w:eastAsia="仿宋"/>
          <w:sz w:val="32"/>
          <w:szCs w:val="32"/>
        </w:rPr>
        <w:t>万元；完成项目的成本控制在1.7695万元；充分推动党建与业务融合发展，进一步提升了党组织凝聚力；党员干部满意度</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3" w:firstLineChars="25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2.法律顾问咨询经费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绩效目标：及时聘用法治顾问，确保社科研究、理论宣讲、社科普及等工作依法依规开展。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聘请法律服务单位数量=1；考察聘请法律顾问达标的情况=100%；按时间节点完成工作情况=100%；平均每月咨询成本≤0.17万元；完成项目的成本控制在预算水平≤2万元；考察出现法律风险的次数≤3次；相关人员满意度≥95%。</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eastAsia="zh-CN"/>
        </w:rPr>
        <w:t>完成情况：</w:t>
      </w:r>
      <w:r>
        <w:rPr>
          <w:rFonts w:hint="eastAsia" w:ascii="仿宋" w:hAnsi="仿宋" w:eastAsia="仿宋"/>
          <w:sz w:val="32"/>
          <w:szCs w:val="32"/>
        </w:rPr>
        <w:t>聘请</w:t>
      </w:r>
      <w:r>
        <w:rPr>
          <w:rFonts w:hint="eastAsia" w:ascii="仿宋" w:hAnsi="仿宋" w:eastAsia="仿宋"/>
          <w:sz w:val="32"/>
          <w:szCs w:val="32"/>
          <w:lang w:val="en-US" w:eastAsia="zh-CN"/>
        </w:rPr>
        <w:t>1家</w:t>
      </w:r>
      <w:r>
        <w:rPr>
          <w:rFonts w:hint="eastAsia" w:ascii="仿宋" w:hAnsi="仿宋" w:eastAsia="仿宋"/>
          <w:sz w:val="32"/>
          <w:szCs w:val="32"/>
        </w:rPr>
        <w:t>法律</w:t>
      </w:r>
      <w:r>
        <w:rPr>
          <w:rFonts w:hint="eastAsia" w:ascii="仿宋" w:hAnsi="仿宋" w:eastAsia="仿宋"/>
          <w:sz w:val="32"/>
          <w:szCs w:val="32"/>
          <w:lang w:eastAsia="zh-CN"/>
        </w:rPr>
        <w:t>事务所</w:t>
      </w:r>
      <w:r>
        <w:rPr>
          <w:rFonts w:hint="eastAsia" w:ascii="仿宋" w:hAnsi="仿宋" w:eastAsia="仿宋"/>
          <w:sz w:val="32"/>
          <w:szCs w:val="32"/>
        </w:rPr>
        <w:t>；考察聘请法律顾问达标</w:t>
      </w:r>
      <w:r>
        <w:rPr>
          <w:rFonts w:hint="eastAsia" w:ascii="仿宋" w:hAnsi="仿宋" w:eastAsia="仿宋"/>
          <w:sz w:val="32"/>
          <w:szCs w:val="32"/>
          <w:lang w:eastAsia="zh-CN"/>
        </w:rPr>
        <w:t>率为</w:t>
      </w:r>
      <w:r>
        <w:rPr>
          <w:rFonts w:hint="eastAsia" w:ascii="仿宋" w:hAnsi="仿宋" w:eastAsia="仿宋"/>
          <w:sz w:val="32"/>
          <w:szCs w:val="32"/>
        </w:rPr>
        <w:t>100%；按时间节点完成工作情况</w:t>
      </w:r>
      <w:r>
        <w:rPr>
          <w:rFonts w:hint="eastAsia" w:ascii="仿宋" w:hAnsi="仿宋" w:eastAsia="仿宋"/>
          <w:sz w:val="32"/>
          <w:szCs w:val="32"/>
          <w:lang w:eastAsia="zh-CN"/>
        </w:rPr>
        <w:t>为</w:t>
      </w:r>
      <w:r>
        <w:rPr>
          <w:rFonts w:hint="eastAsia" w:ascii="仿宋" w:hAnsi="仿宋" w:eastAsia="仿宋"/>
          <w:sz w:val="32"/>
          <w:szCs w:val="32"/>
        </w:rPr>
        <w:t>100%；平均每月咨询成本</w:t>
      </w:r>
      <w:r>
        <w:rPr>
          <w:rFonts w:hint="eastAsia" w:ascii="仿宋" w:hAnsi="仿宋" w:eastAsia="仿宋"/>
          <w:sz w:val="32"/>
          <w:szCs w:val="32"/>
          <w:lang w:eastAsia="zh-CN"/>
        </w:rPr>
        <w:t>控制在</w:t>
      </w:r>
      <w:r>
        <w:rPr>
          <w:rFonts w:hint="eastAsia" w:ascii="仿宋" w:hAnsi="仿宋" w:eastAsia="仿宋"/>
          <w:sz w:val="32"/>
          <w:szCs w:val="32"/>
        </w:rPr>
        <w:t>0.1</w:t>
      </w:r>
      <w:r>
        <w:rPr>
          <w:rFonts w:hint="eastAsia" w:ascii="仿宋" w:hAnsi="仿宋" w:eastAsia="仿宋"/>
          <w:sz w:val="32"/>
          <w:szCs w:val="32"/>
          <w:lang w:val="en-US" w:eastAsia="zh-CN"/>
        </w:rPr>
        <w:t>5</w:t>
      </w:r>
      <w:r>
        <w:rPr>
          <w:rFonts w:hint="eastAsia" w:ascii="仿宋" w:hAnsi="仿宋" w:eastAsia="仿宋"/>
          <w:sz w:val="32"/>
          <w:szCs w:val="32"/>
        </w:rPr>
        <w:t>万元；完成项目的成本控制在预算水平</w:t>
      </w:r>
      <w:r>
        <w:rPr>
          <w:rFonts w:hint="eastAsia" w:ascii="仿宋" w:hAnsi="仿宋" w:eastAsia="仿宋"/>
          <w:sz w:val="32"/>
          <w:szCs w:val="32"/>
          <w:lang w:eastAsia="zh-CN"/>
        </w:rPr>
        <w:t>控制在</w:t>
      </w:r>
      <w:r>
        <w:rPr>
          <w:rFonts w:hint="eastAsia" w:ascii="仿宋" w:hAnsi="仿宋" w:eastAsia="仿宋"/>
          <w:sz w:val="32"/>
          <w:szCs w:val="32"/>
          <w:lang w:val="en-US" w:eastAsia="zh-CN"/>
        </w:rPr>
        <w:t>1.8</w:t>
      </w:r>
      <w:r>
        <w:rPr>
          <w:rFonts w:hint="eastAsia" w:ascii="仿宋" w:hAnsi="仿宋" w:eastAsia="仿宋"/>
          <w:sz w:val="32"/>
          <w:szCs w:val="32"/>
        </w:rPr>
        <w:t>万元；考察出现法律风险的次数</w:t>
      </w:r>
      <w:r>
        <w:rPr>
          <w:rFonts w:hint="eastAsia" w:ascii="仿宋" w:hAnsi="仿宋" w:eastAsia="仿宋"/>
          <w:sz w:val="32"/>
          <w:szCs w:val="32"/>
          <w:lang w:eastAsia="zh-CN"/>
        </w:rPr>
        <w:t>为</w:t>
      </w:r>
      <w:r>
        <w:rPr>
          <w:rFonts w:hint="eastAsia" w:ascii="仿宋" w:hAnsi="仿宋" w:eastAsia="仿宋"/>
          <w:sz w:val="32"/>
          <w:szCs w:val="32"/>
          <w:lang w:val="en-US" w:eastAsia="zh-CN"/>
        </w:rPr>
        <w:t>0</w:t>
      </w:r>
      <w:r>
        <w:rPr>
          <w:rFonts w:hint="eastAsia" w:ascii="仿宋" w:hAnsi="仿宋" w:eastAsia="仿宋"/>
          <w:sz w:val="32"/>
          <w:szCs w:val="32"/>
        </w:rPr>
        <w:t>次；相关人员满意度</w:t>
      </w:r>
      <w:r>
        <w:rPr>
          <w:rFonts w:hint="eastAsia" w:ascii="仿宋" w:hAnsi="仿宋" w:eastAsia="仿宋"/>
          <w:sz w:val="32"/>
          <w:szCs w:val="32"/>
          <w:lang w:eastAsia="zh-CN"/>
        </w:rPr>
        <w:t>为</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3" w:firstLineChars="25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3.中国特色社会主义理论研究、社会科学普及等经费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绩效目标：主要用于中国特色社会主义理论研究、理论宣讲、社科普及等工作，理论研究、理论宣讲、社科普及水平进一步提升。</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举办理论宣讲、社科普及活动场次≥10场次；宣讲、科普、科研资助及社科骨干培训等各项工作按时按质率≥95%；平均每场活动成本控制≤5万元/场；总成本控制≤93.28万元；进一步提升理论研究、社科普及、理论宣讲的影响力；服务对象满意度指标≥95%。</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eastAsia="zh-CN"/>
        </w:rPr>
        <w:t>完成情况：</w:t>
      </w:r>
      <w:r>
        <w:rPr>
          <w:rFonts w:hint="eastAsia" w:ascii="仿宋" w:hAnsi="仿宋" w:eastAsia="仿宋"/>
          <w:sz w:val="32"/>
          <w:szCs w:val="32"/>
        </w:rPr>
        <w:t>举办理论宣讲、社科普及</w:t>
      </w:r>
      <w:r>
        <w:rPr>
          <w:rFonts w:hint="eastAsia" w:ascii="仿宋" w:hAnsi="仿宋" w:eastAsia="仿宋"/>
          <w:sz w:val="32"/>
          <w:szCs w:val="32"/>
          <w:lang w:eastAsia="zh-CN"/>
        </w:rPr>
        <w:t>活动在</w:t>
      </w:r>
      <w:r>
        <w:rPr>
          <w:rFonts w:hint="eastAsia" w:ascii="仿宋" w:hAnsi="仿宋" w:eastAsia="仿宋"/>
          <w:sz w:val="32"/>
          <w:szCs w:val="32"/>
          <w:lang w:val="en-US" w:eastAsia="zh-CN"/>
        </w:rPr>
        <w:t>50</w:t>
      </w:r>
      <w:r>
        <w:rPr>
          <w:rFonts w:hint="eastAsia" w:ascii="仿宋" w:hAnsi="仿宋" w:eastAsia="仿宋"/>
          <w:sz w:val="32"/>
          <w:szCs w:val="32"/>
        </w:rPr>
        <w:t>场次</w:t>
      </w:r>
      <w:r>
        <w:rPr>
          <w:rFonts w:hint="eastAsia" w:ascii="仿宋" w:hAnsi="仿宋" w:eastAsia="仿宋"/>
          <w:sz w:val="32"/>
          <w:szCs w:val="32"/>
          <w:lang w:eastAsia="zh-CN"/>
        </w:rPr>
        <w:t>以上</w:t>
      </w:r>
      <w:r>
        <w:rPr>
          <w:rFonts w:hint="eastAsia" w:ascii="仿宋" w:hAnsi="仿宋" w:eastAsia="仿宋"/>
          <w:sz w:val="32"/>
          <w:szCs w:val="32"/>
        </w:rPr>
        <w:t>；宣讲、科普、科研资助及社科骨干培训等各项工作按时按质率</w:t>
      </w:r>
      <w:r>
        <w:rPr>
          <w:rFonts w:hint="eastAsia" w:ascii="仿宋" w:hAnsi="仿宋" w:eastAsia="仿宋"/>
          <w:sz w:val="32"/>
          <w:szCs w:val="32"/>
          <w:lang w:eastAsia="zh-CN"/>
        </w:rPr>
        <w:t>为</w:t>
      </w:r>
      <w:r>
        <w:rPr>
          <w:rFonts w:hint="eastAsia" w:ascii="仿宋" w:hAnsi="仿宋" w:eastAsia="仿宋"/>
          <w:sz w:val="32"/>
          <w:szCs w:val="32"/>
          <w:lang w:val="en-US" w:eastAsia="zh-CN"/>
        </w:rPr>
        <w:t>100</w:t>
      </w:r>
      <w:r>
        <w:rPr>
          <w:rFonts w:hint="eastAsia" w:ascii="仿宋" w:hAnsi="仿宋" w:eastAsia="仿宋"/>
          <w:sz w:val="32"/>
          <w:szCs w:val="32"/>
        </w:rPr>
        <w:t>%；平均每场活动成本控制</w:t>
      </w:r>
      <w:r>
        <w:rPr>
          <w:rFonts w:hint="eastAsia" w:ascii="仿宋" w:hAnsi="仿宋" w:eastAsia="仿宋"/>
          <w:sz w:val="32"/>
          <w:szCs w:val="32"/>
          <w:lang w:eastAsia="zh-CN"/>
        </w:rPr>
        <w:t>在</w:t>
      </w:r>
      <w:r>
        <w:rPr>
          <w:rFonts w:hint="eastAsia" w:ascii="仿宋" w:hAnsi="仿宋" w:eastAsia="仿宋"/>
          <w:sz w:val="32"/>
          <w:szCs w:val="32"/>
          <w:lang w:val="en-US" w:eastAsia="zh-CN"/>
        </w:rPr>
        <w:t>2</w:t>
      </w:r>
      <w:r>
        <w:rPr>
          <w:rFonts w:hint="eastAsia" w:ascii="仿宋" w:hAnsi="仿宋" w:eastAsia="仿宋"/>
          <w:sz w:val="32"/>
          <w:szCs w:val="32"/>
        </w:rPr>
        <w:t>万元</w:t>
      </w:r>
      <w:r>
        <w:rPr>
          <w:rFonts w:hint="eastAsia" w:ascii="仿宋" w:hAnsi="仿宋" w:eastAsia="仿宋"/>
          <w:sz w:val="32"/>
          <w:szCs w:val="32"/>
          <w:lang w:eastAsia="zh-CN"/>
        </w:rPr>
        <w:t>以内</w:t>
      </w:r>
      <w:r>
        <w:rPr>
          <w:rFonts w:hint="eastAsia" w:ascii="仿宋" w:hAnsi="仿宋" w:eastAsia="仿宋"/>
          <w:sz w:val="32"/>
          <w:szCs w:val="32"/>
        </w:rPr>
        <w:t>；总成本控制</w:t>
      </w:r>
      <w:r>
        <w:rPr>
          <w:rFonts w:hint="eastAsia" w:ascii="仿宋" w:hAnsi="仿宋" w:eastAsia="仿宋"/>
          <w:sz w:val="32"/>
          <w:szCs w:val="32"/>
          <w:lang w:eastAsia="zh-CN"/>
        </w:rPr>
        <w:t>为</w:t>
      </w:r>
      <w:r>
        <w:rPr>
          <w:rFonts w:hint="eastAsia" w:ascii="仿宋" w:hAnsi="仿宋" w:eastAsia="仿宋"/>
          <w:sz w:val="32"/>
          <w:szCs w:val="32"/>
        </w:rPr>
        <w:t>9</w:t>
      </w:r>
      <w:r>
        <w:rPr>
          <w:rFonts w:hint="eastAsia" w:ascii="仿宋" w:hAnsi="仿宋" w:eastAsia="仿宋"/>
          <w:sz w:val="32"/>
          <w:szCs w:val="32"/>
          <w:lang w:val="en-US" w:eastAsia="zh-CN"/>
        </w:rPr>
        <w:t>0</w:t>
      </w: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8万元；进一步提升</w:t>
      </w:r>
      <w:r>
        <w:rPr>
          <w:rFonts w:hint="eastAsia" w:ascii="仿宋" w:hAnsi="仿宋" w:eastAsia="仿宋"/>
          <w:sz w:val="32"/>
          <w:szCs w:val="32"/>
          <w:lang w:eastAsia="zh-CN"/>
        </w:rPr>
        <w:t>了</w:t>
      </w:r>
      <w:r>
        <w:rPr>
          <w:rFonts w:hint="eastAsia" w:ascii="仿宋" w:hAnsi="仿宋" w:eastAsia="仿宋"/>
          <w:sz w:val="32"/>
          <w:szCs w:val="32"/>
        </w:rPr>
        <w:t>理论研究、社科普及、理论宣讲的影响力；服务对象满意度指标</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3" w:firstLineChars="25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4.石家庄市社会科学界联合会第八次代表大会经费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绩效目标：召开石家庄市社会科学界联合会第八次会议，圆满完成换届任务。</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指标：举办石家庄市社会科学界联合会第八次会议场次=1场；圆满完成换届任务；石家庄市社会科学界联合会第八次会议2025年1月31日前完成；会议人均资金成本控制≤550元；会议总成本控制≤16.5万元；完成第八届社科联选举，保障社科工作有序开展；参会代表满意度≥95%。</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eastAsia="zh-CN"/>
        </w:rPr>
        <w:t>完成情况：成功</w:t>
      </w:r>
      <w:r>
        <w:rPr>
          <w:rFonts w:hint="eastAsia" w:ascii="仿宋" w:hAnsi="仿宋" w:eastAsia="仿宋"/>
          <w:sz w:val="32"/>
          <w:szCs w:val="32"/>
        </w:rPr>
        <w:t>举办石家庄市社会科学界联合会第八次会议；圆满完成换届任务；石家庄市社会科学界联合会第八次会议</w:t>
      </w:r>
      <w:r>
        <w:rPr>
          <w:rFonts w:hint="eastAsia" w:ascii="仿宋" w:hAnsi="仿宋" w:eastAsia="仿宋"/>
          <w:sz w:val="32"/>
          <w:szCs w:val="32"/>
          <w:lang w:eastAsia="zh-CN"/>
        </w:rPr>
        <w:t>在</w:t>
      </w:r>
      <w:r>
        <w:rPr>
          <w:rFonts w:hint="eastAsia" w:ascii="仿宋" w:hAnsi="仿宋" w:eastAsia="仿宋"/>
          <w:sz w:val="32"/>
          <w:szCs w:val="32"/>
        </w:rPr>
        <w:t>2025年1月</w:t>
      </w:r>
      <w:r>
        <w:rPr>
          <w:rFonts w:hint="eastAsia" w:ascii="仿宋" w:hAnsi="仿宋" w:eastAsia="仿宋"/>
          <w:sz w:val="32"/>
          <w:szCs w:val="32"/>
          <w:lang w:eastAsia="zh-CN"/>
        </w:rPr>
        <w:t>份</w:t>
      </w:r>
      <w:r>
        <w:rPr>
          <w:rFonts w:hint="eastAsia" w:ascii="仿宋" w:hAnsi="仿宋" w:eastAsia="仿宋"/>
          <w:sz w:val="32"/>
          <w:szCs w:val="32"/>
        </w:rPr>
        <w:t>前完成；会议人均资金成本控制≤5</w:t>
      </w:r>
      <w:r>
        <w:rPr>
          <w:rFonts w:hint="eastAsia" w:ascii="仿宋" w:hAnsi="仿宋" w:eastAsia="仿宋"/>
          <w:sz w:val="32"/>
          <w:szCs w:val="32"/>
          <w:lang w:val="en-US" w:eastAsia="zh-CN"/>
        </w:rPr>
        <w:t>0</w:t>
      </w:r>
      <w:r>
        <w:rPr>
          <w:rFonts w:hint="eastAsia" w:ascii="仿宋" w:hAnsi="仿宋" w:eastAsia="仿宋"/>
          <w:sz w:val="32"/>
          <w:szCs w:val="32"/>
        </w:rPr>
        <w:t>0元</w:t>
      </w:r>
      <w:r>
        <w:rPr>
          <w:rFonts w:hint="eastAsia" w:ascii="仿宋" w:hAnsi="仿宋" w:eastAsia="仿宋"/>
          <w:sz w:val="32"/>
          <w:szCs w:val="32"/>
          <w:lang w:val="en-US" w:eastAsia="zh-CN"/>
        </w:rPr>
        <w:t>/人</w:t>
      </w:r>
      <w:r>
        <w:rPr>
          <w:rFonts w:hint="eastAsia" w:ascii="仿宋" w:hAnsi="仿宋" w:eastAsia="仿宋"/>
          <w:sz w:val="32"/>
          <w:szCs w:val="32"/>
        </w:rPr>
        <w:t>；会议总成本控制</w:t>
      </w:r>
      <w:r>
        <w:rPr>
          <w:rFonts w:hint="eastAsia" w:ascii="仿宋" w:hAnsi="仿宋" w:eastAsia="仿宋"/>
          <w:sz w:val="32"/>
          <w:szCs w:val="32"/>
          <w:lang w:eastAsia="zh-CN"/>
        </w:rPr>
        <w:t>在</w:t>
      </w:r>
      <w:r>
        <w:rPr>
          <w:rFonts w:hint="eastAsia" w:ascii="仿宋" w:hAnsi="仿宋" w:eastAsia="仿宋"/>
          <w:sz w:val="32"/>
          <w:szCs w:val="32"/>
        </w:rPr>
        <w:t>16.5万元</w:t>
      </w:r>
      <w:r>
        <w:rPr>
          <w:rFonts w:hint="eastAsia" w:ascii="仿宋" w:hAnsi="仿宋" w:eastAsia="仿宋"/>
          <w:sz w:val="32"/>
          <w:szCs w:val="32"/>
          <w:lang w:eastAsia="zh-CN"/>
        </w:rPr>
        <w:t>以内</w:t>
      </w:r>
      <w:r>
        <w:rPr>
          <w:rFonts w:hint="eastAsia" w:ascii="仿宋" w:hAnsi="仿宋" w:eastAsia="仿宋"/>
          <w:sz w:val="32"/>
          <w:szCs w:val="32"/>
        </w:rPr>
        <w:t>；</w:t>
      </w:r>
      <w:r>
        <w:rPr>
          <w:rFonts w:hint="eastAsia" w:ascii="仿宋" w:hAnsi="仿宋" w:eastAsia="仿宋"/>
          <w:sz w:val="32"/>
          <w:szCs w:val="32"/>
          <w:lang w:eastAsia="zh-CN"/>
        </w:rPr>
        <w:t>顺利</w:t>
      </w:r>
      <w:r>
        <w:rPr>
          <w:rFonts w:hint="eastAsia" w:ascii="仿宋" w:hAnsi="仿宋" w:eastAsia="仿宋"/>
          <w:sz w:val="32"/>
          <w:szCs w:val="32"/>
        </w:rPr>
        <w:t>完成第八届社科联选举</w:t>
      </w:r>
      <w:r>
        <w:rPr>
          <w:rFonts w:hint="eastAsia" w:ascii="仿宋" w:hAnsi="仿宋" w:eastAsia="仿宋"/>
          <w:sz w:val="32"/>
          <w:szCs w:val="32"/>
          <w:lang w:eastAsia="zh-CN"/>
        </w:rPr>
        <w:t>工作</w:t>
      </w:r>
      <w:r>
        <w:rPr>
          <w:rFonts w:hint="eastAsia" w:ascii="仿宋" w:hAnsi="仿宋" w:eastAsia="仿宋"/>
          <w:sz w:val="32"/>
          <w:szCs w:val="32"/>
        </w:rPr>
        <w:t>；参会代表满意度</w:t>
      </w:r>
      <w:r>
        <w:rPr>
          <w:rFonts w:hint="eastAsia" w:ascii="仿宋" w:hAnsi="仿宋" w:eastAsia="仿宋"/>
          <w:sz w:val="32"/>
          <w:szCs w:val="32"/>
          <w:lang w:eastAsia="zh-CN"/>
        </w:rPr>
        <w:t>为</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5.石家庄历史文化系列研究重点课题项目</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rPr>
        <w:t>绩效目标：顺利启动并开展石家庄历史文化重点课题研究项目</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子</w:t>
      </w:r>
      <w:r>
        <w:rPr>
          <w:rFonts w:hint="eastAsia" w:ascii="仿宋" w:hAnsi="仿宋" w:eastAsia="仿宋"/>
          <w:sz w:val="32"/>
          <w:szCs w:val="32"/>
        </w:rPr>
        <w:t>课题研究数量</w:t>
      </w:r>
      <w:r>
        <w:rPr>
          <w:rFonts w:hint="eastAsia" w:ascii="仿宋" w:hAnsi="仿宋" w:eastAsia="仿宋"/>
          <w:sz w:val="32"/>
          <w:szCs w:val="32"/>
          <w:lang w:val="en-US" w:eastAsia="zh-CN"/>
        </w:rPr>
        <w:t>=8个；2025年前期研究成果通过专家评审；2025年12月31日前完成前期工作；总成本控制5万元以内；征文活动资金成本控制在1万元以内；进一步提升石家庄历史文化影响力；服务对象的满意度</w:t>
      </w:r>
      <w:r>
        <w:rPr>
          <w:rFonts w:hint="eastAsia" w:ascii="仿宋" w:hAnsi="仿宋" w:eastAsia="仿宋"/>
          <w:sz w:val="32"/>
          <w:szCs w:val="32"/>
        </w:rPr>
        <w:t>≥95%。</w:t>
      </w:r>
    </w:p>
    <w:p>
      <w:pPr>
        <w:spacing w:line="560" w:lineRule="exact"/>
        <w:ind w:firstLine="800" w:firstLineChars="250"/>
        <w:rPr>
          <w:rFonts w:ascii="仿宋" w:hAnsi="仿宋" w:eastAsia="仿宋"/>
          <w:sz w:val="32"/>
          <w:szCs w:val="32"/>
        </w:rPr>
      </w:pPr>
      <w:r>
        <w:rPr>
          <w:rFonts w:hint="eastAsia" w:ascii="仿宋" w:hAnsi="仿宋" w:eastAsia="仿宋"/>
          <w:sz w:val="32"/>
          <w:szCs w:val="32"/>
          <w:lang w:eastAsia="zh-CN"/>
        </w:rPr>
        <w:t>完成情况：子</w:t>
      </w:r>
      <w:r>
        <w:rPr>
          <w:rFonts w:hint="eastAsia" w:ascii="仿宋" w:hAnsi="仿宋" w:eastAsia="仿宋"/>
          <w:sz w:val="32"/>
          <w:szCs w:val="32"/>
        </w:rPr>
        <w:t>课题研究数量</w:t>
      </w:r>
      <w:r>
        <w:rPr>
          <w:rFonts w:hint="eastAsia" w:ascii="仿宋" w:hAnsi="仿宋" w:eastAsia="仿宋"/>
          <w:sz w:val="32"/>
          <w:szCs w:val="32"/>
          <w:lang w:eastAsia="zh-CN"/>
        </w:rPr>
        <w:t>为</w:t>
      </w:r>
      <w:r>
        <w:rPr>
          <w:rFonts w:hint="eastAsia" w:ascii="仿宋" w:hAnsi="仿宋" w:eastAsia="仿宋"/>
          <w:sz w:val="32"/>
          <w:szCs w:val="32"/>
          <w:lang w:val="en-US" w:eastAsia="zh-CN"/>
        </w:rPr>
        <w:t>8个；2025年12月31日前正式启动该项目；前期总成本控制在5万元以内；征文活动资金成本控制在1万元以内；进一步提升了石家庄历史文化影响力；服务对象的满意度100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val="en"/>
        </w:rPr>
        <w:t>,</w:t>
      </w:r>
      <w:r>
        <w:rPr>
          <w:rFonts w:hint="eastAsia" w:ascii="仿宋" w:hAnsi="仿宋" w:eastAsia="仿宋"/>
          <w:sz w:val="32"/>
          <w:szCs w:val="32"/>
          <w:lang w:val="en" w:eastAsia="zh-CN"/>
        </w:rPr>
        <w:t>我院</w:t>
      </w:r>
      <w:r>
        <w:rPr>
          <w:rFonts w:hint="eastAsia" w:ascii="仿宋" w:hAnsi="仿宋" w:eastAsia="仿宋"/>
          <w:sz w:val="32"/>
          <w:szCs w:val="32"/>
        </w:rPr>
        <w:t>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98</w:t>
      </w:r>
      <w:r>
        <w:rPr>
          <w:rFonts w:hint="eastAsia" w:ascii="仿宋" w:hAnsi="仿宋" w:eastAsia="仿宋"/>
          <w:sz w:val="32"/>
          <w:szCs w:val="32"/>
          <w:lang w:val="en" w:eastAsia="zh-CN"/>
        </w:rPr>
        <w:t>分，</w:t>
      </w:r>
      <w:r>
        <w:rPr>
          <w:rFonts w:hint="eastAsia" w:ascii="仿宋" w:hAnsi="仿宋" w:eastAsia="仿宋"/>
          <w:sz w:val="32"/>
          <w:szCs w:val="32"/>
        </w:rPr>
        <w:t>得分为优秀。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无。</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无。</w:t>
      </w:r>
    </w:p>
    <w:p>
      <w:pPr>
        <w:adjustRightInd w:val="0"/>
        <w:snapToGrid w:val="0"/>
        <w:spacing w:line="560" w:lineRule="exact"/>
        <w:ind w:firstLine="640" w:firstLineChars="200"/>
        <w:rPr>
          <w:rFonts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华文楷体">
    <w:altName w:val="方正楷体_GBK"/>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CESI楷体-GB2312">
    <w:panose1 w:val="02000500000000000000"/>
    <w:charset w:val="86"/>
    <w:family w:val="auto"/>
    <w:pitch w:val="default"/>
    <w:sig w:usb0="800002BF" w:usb1="184F6CF8" w:usb2="00000012"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3CAEBB"/>
    <w:rsid w:val="11B71E6A"/>
    <w:rsid w:val="1AAF0063"/>
    <w:rsid w:val="1B2EC4F8"/>
    <w:rsid w:val="1B67507B"/>
    <w:rsid w:val="1BE140DE"/>
    <w:rsid w:val="1E542E40"/>
    <w:rsid w:val="1EF57BE9"/>
    <w:rsid w:val="1F5FE0F3"/>
    <w:rsid w:val="1FFFE982"/>
    <w:rsid w:val="248C197D"/>
    <w:rsid w:val="252959AF"/>
    <w:rsid w:val="277A6671"/>
    <w:rsid w:val="292D35B7"/>
    <w:rsid w:val="2FFB4902"/>
    <w:rsid w:val="33EB6CFF"/>
    <w:rsid w:val="35A12947"/>
    <w:rsid w:val="37387040"/>
    <w:rsid w:val="3B3FCD8A"/>
    <w:rsid w:val="3B625C0A"/>
    <w:rsid w:val="3BCF4B50"/>
    <w:rsid w:val="3BEE84D2"/>
    <w:rsid w:val="3CEE1963"/>
    <w:rsid w:val="3DFF0C82"/>
    <w:rsid w:val="3EFF9301"/>
    <w:rsid w:val="3EFFA78C"/>
    <w:rsid w:val="3F27B2A9"/>
    <w:rsid w:val="3FFEAFC0"/>
    <w:rsid w:val="3FFF2FD5"/>
    <w:rsid w:val="40FFF970"/>
    <w:rsid w:val="436B78D3"/>
    <w:rsid w:val="43B62DFE"/>
    <w:rsid w:val="4C9C27FE"/>
    <w:rsid w:val="4F6FF5A5"/>
    <w:rsid w:val="4FFD7A78"/>
    <w:rsid w:val="512260B4"/>
    <w:rsid w:val="51FED7AB"/>
    <w:rsid w:val="52BD6ACB"/>
    <w:rsid w:val="55537534"/>
    <w:rsid w:val="561A74F1"/>
    <w:rsid w:val="56FF1F13"/>
    <w:rsid w:val="57DFB45F"/>
    <w:rsid w:val="58B17416"/>
    <w:rsid w:val="597244E8"/>
    <w:rsid w:val="5BD462C2"/>
    <w:rsid w:val="5BD76D23"/>
    <w:rsid w:val="5BDE3F2D"/>
    <w:rsid w:val="5DFF1F5B"/>
    <w:rsid w:val="5EB71C30"/>
    <w:rsid w:val="5EFA7CCD"/>
    <w:rsid w:val="5F3B1937"/>
    <w:rsid w:val="5F7F44AC"/>
    <w:rsid w:val="5F9E7E3C"/>
    <w:rsid w:val="5FEF6741"/>
    <w:rsid w:val="63BFD95A"/>
    <w:rsid w:val="66AF0CE5"/>
    <w:rsid w:val="68AC2130"/>
    <w:rsid w:val="6AC537CF"/>
    <w:rsid w:val="6ACED537"/>
    <w:rsid w:val="6CF65FCF"/>
    <w:rsid w:val="6E5B14A6"/>
    <w:rsid w:val="6F3FB0F3"/>
    <w:rsid w:val="6F7F859A"/>
    <w:rsid w:val="6F7F8D0C"/>
    <w:rsid w:val="6F8F15AC"/>
    <w:rsid w:val="6F99D718"/>
    <w:rsid w:val="6FBB27F8"/>
    <w:rsid w:val="6FE52641"/>
    <w:rsid w:val="6FFE07B7"/>
    <w:rsid w:val="6FFF438D"/>
    <w:rsid w:val="711B255E"/>
    <w:rsid w:val="71F3D310"/>
    <w:rsid w:val="73FA5340"/>
    <w:rsid w:val="74F38420"/>
    <w:rsid w:val="74F49EB4"/>
    <w:rsid w:val="757DE146"/>
    <w:rsid w:val="75BEB568"/>
    <w:rsid w:val="75D16D4C"/>
    <w:rsid w:val="75ED5D32"/>
    <w:rsid w:val="77DF0080"/>
    <w:rsid w:val="77E918F1"/>
    <w:rsid w:val="77FE0978"/>
    <w:rsid w:val="78FD9208"/>
    <w:rsid w:val="792FF87E"/>
    <w:rsid w:val="79EBA42F"/>
    <w:rsid w:val="79FFD191"/>
    <w:rsid w:val="7A4DAC6E"/>
    <w:rsid w:val="7A7F15D5"/>
    <w:rsid w:val="7B3E1CAF"/>
    <w:rsid w:val="7B5F232A"/>
    <w:rsid w:val="7BB51E06"/>
    <w:rsid w:val="7BF5E476"/>
    <w:rsid w:val="7C387F7C"/>
    <w:rsid w:val="7CA3E458"/>
    <w:rsid w:val="7D6E8EB4"/>
    <w:rsid w:val="7DCFDB1E"/>
    <w:rsid w:val="7DEEAE67"/>
    <w:rsid w:val="7DF3B369"/>
    <w:rsid w:val="7DF75DE5"/>
    <w:rsid w:val="7EB3B8B1"/>
    <w:rsid w:val="7EDB68AA"/>
    <w:rsid w:val="7F796350"/>
    <w:rsid w:val="7F7D58EC"/>
    <w:rsid w:val="7F9BE0C6"/>
    <w:rsid w:val="7FC7CB1F"/>
    <w:rsid w:val="7FDAB199"/>
    <w:rsid w:val="7FDBF677"/>
    <w:rsid w:val="7FDF6925"/>
    <w:rsid w:val="7FE83423"/>
    <w:rsid w:val="7FED44F2"/>
    <w:rsid w:val="7FEE3E79"/>
    <w:rsid w:val="7FEF372D"/>
    <w:rsid w:val="7FFC9A82"/>
    <w:rsid w:val="7FFF266A"/>
    <w:rsid w:val="86ED239F"/>
    <w:rsid w:val="8CAE1270"/>
    <w:rsid w:val="959ED660"/>
    <w:rsid w:val="97302773"/>
    <w:rsid w:val="979E481D"/>
    <w:rsid w:val="9D4B5CFF"/>
    <w:rsid w:val="AD5F5AE9"/>
    <w:rsid w:val="AEFE36B8"/>
    <w:rsid w:val="AFFE27C2"/>
    <w:rsid w:val="B33A4160"/>
    <w:rsid w:val="B3FB35B8"/>
    <w:rsid w:val="B6FF9147"/>
    <w:rsid w:val="B73FC482"/>
    <w:rsid w:val="B7BF3FC2"/>
    <w:rsid w:val="BA7B23C6"/>
    <w:rsid w:val="BBDF6E49"/>
    <w:rsid w:val="BFF7B29A"/>
    <w:rsid w:val="C4AB3075"/>
    <w:rsid w:val="CBF775A0"/>
    <w:rsid w:val="CFB6A7B6"/>
    <w:rsid w:val="CFFF7263"/>
    <w:rsid w:val="D77F7269"/>
    <w:rsid w:val="DDFBF5E6"/>
    <w:rsid w:val="DDFF3B40"/>
    <w:rsid w:val="DE3A7AF9"/>
    <w:rsid w:val="DEBC89DF"/>
    <w:rsid w:val="DEFFE970"/>
    <w:rsid w:val="DFDB6A1E"/>
    <w:rsid w:val="DFEFD79F"/>
    <w:rsid w:val="DFF7E9E8"/>
    <w:rsid w:val="E3BF74C1"/>
    <w:rsid w:val="E55B364C"/>
    <w:rsid w:val="E69F14A6"/>
    <w:rsid w:val="E9F71EFB"/>
    <w:rsid w:val="EA7FED90"/>
    <w:rsid w:val="EBD7DD48"/>
    <w:rsid w:val="EBFF883A"/>
    <w:rsid w:val="ECAE8611"/>
    <w:rsid w:val="EDDFBDD4"/>
    <w:rsid w:val="EE5DAB1C"/>
    <w:rsid w:val="EEF621B7"/>
    <w:rsid w:val="EFB1248A"/>
    <w:rsid w:val="EFBFC400"/>
    <w:rsid w:val="EFEAC958"/>
    <w:rsid w:val="EFF4F9F7"/>
    <w:rsid w:val="EFFEFB36"/>
    <w:rsid w:val="EFFFB71D"/>
    <w:rsid w:val="F38D895D"/>
    <w:rsid w:val="F3BF84EC"/>
    <w:rsid w:val="F3E8CC46"/>
    <w:rsid w:val="F3EBBD9C"/>
    <w:rsid w:val="F5DB5377"/>
    <w:rsid w:val="F6265885"/>
    <w:rsid w:val="F67D990A"/>
    <w:rsid w:val="F6E0C2C1"/>
    <w:rsid w:val="F7AE8BB8"/>
    <w:rsid w:val="F7FFBECE"/>
    <w:rsid w:val="F9CF8CB2"/>
    <w:rsid w:val="FA5DA317"/>
    <w:rsid w:val="FAFECEF4"/>
    <w:rsid w:val="FB3BD7B7"/>
    <w:rsid w:val="FB6E079A"/>
    <w:rsid w:val="FB7E255A"/>
    <w:rsid w:val="FBFD7D8B"/>
    <w:rsid w:val="FBFFA592"/>
    <w:rsid w:val="FC7F9A56"/>
    <w:rsid w:val="FDABA8D4"/>
    <w:rsid w:val="FDE7F41E"/>
    <w:rsid w:val="FDF6FE56"/>
    <w:rsid w:val="FE5F48A6"/>
    <w:rsid w:val="FE734873"/>
    <w:rsid w:val="FE79E24A"/>
    <w:rsid w:val="FEB579F7"/>
    <w:rsid w:val="FEEFD49D"/>
    <w:rsid w:val="FF5F2865"/>
    <w:rsid w:val="FF673820"/>
    <w:rsid w:val="FFC9AD78"/>
    <w:rsid w:val="FFEBB5CA"/>
    <w:rsid w:val="FFEF2315"/>
    <w:rsid w:val="FFF7123C"/>
    <w:rsid w:val="FFF7A99A"/>
    <w:rsid w:val="FFFD51F7"/>
    <w:rsid w:val="FFFEF78F"/>
    <w:rsid w:val="FFFEFF15"/>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4</TotalTime>
  <ScaleCrop>false</ScaleCrop>
  <LinksUpToDate>false</LinksUpToDate>
  <CharactersWithSpaces>612</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ModifiedBy>uos</cp:lastModifiedBy>
  <cp:lastPrinted>2024-03-07T15:40:00Z</cp:lastPrinted>
  <dcterms:modified xsi:type="dcterms:W3CDTF">2026-04-29T09:43:16Z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