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default"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pPr>
        <w:spacing w:line="560" w:lineRule="exact"/>
        <w:jc w:val="center"/>
        <w:rPr>
          <w:rFonts w:ascii="宋体" w:hAnsi="宋体" w:cs="宋体"/>
          <w:b/>
          <w:bCs/>
          <w:sz w:val="44"/>
          <w:szCs w:val="44"/>
        </w:rPr>
      </w:pPr>
    </w:p>
    <w:p>
      <w:pPr>
        <w:keepNext w:val="0"/>
        <w:keepLines w:val="0"/>
        <w:pageBreakBefore w:val="0"/>
        <w:widowControl w:val="0"/>
        <w:kinsoku/>
        <w:wordWrap/>
        <w:overflowPunct/>
        <w:topLinePunct w:val="0"/>
        <w:autoSpaceDE/>
        <w:autoSpaceDN/>
        <w:bidi w:val="0"/>
        <w:spacing w:line="580" w:lineRule="exact"/>
        <w:jc w:val="center"/>
        <w:textAlignment w:val="auto"/>
        <w:rPr>
          <w:rFonts w:hint="default" w:ascii="Times New Roman" w:hAnsi="Times New Roman" w:cs="Times New Roman" w:eastAsiaTheme="majorEastAsia"/>
          <w:b/>
          <w:bCs/>
          <w:color w:val="auto"/>
          <w:sz w:val="44"/>
          <w:szCs w:val="44"/>
          <w:lang w:val="en-US" w:eastAsia="zh-CN"/>
        </w:rPr>
      </w:pPr>
      <w:r>
        <w:rPr>
          <w:rFonts w:hint="default" w:ascii="Times New Roman" w:hAnsi="Times New Roman" w:cs="Times New Roman" w:eastAsiaTheme="majorEastAsia"/>
          <w:b/>
          <w:bCs/>
          <w:color w:val="auto"/>
          <w:sz w:val="44"/>
          <w:szCs w:val="44"/>
          <w:lang w:val="en-US" w:eastAsia="zh-CN"/>
        </w:rPr>
        <w:t>石家庄市轨道交通建设办公室</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贯彻落实市委市政府《关于全面落实预算绩效管理的实施意见》（石发﹝2019﹞8号）文件精神，遵循“科学性、规范性、客观性和公正性”的原则，对家庄市轨道交通建设办公室202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both"/>
        <w:textAlignment w:val="auto"/>
        <w:rPr>
          <w:rFonts w:hint="default" w:ascii="Times New Roman" w:hAnsi="Times New Roman" w:eastAsia="楷体" w:cs="Times New Roman"/>
          <w:b/>
          <w:bCs w:val="0"/>
          <w:sz w:val="32"/>
          <w:szCs w:val="32"/>
        </w:rPr>
      </w:pPr>
      <w:r>
        <w:rPr>
          <w:rFonts w:hint="default" w:ascii="Times New Roman" w:hAnsi="Times New Roman" w:eastAsia="楷体" w:cs="Times New Roman"/>
          <w:b/>
          <w:bCs w:val="0"/>
          <w:sz w:val="32"/>
          <w:szCs w:val="32"/>
        </w:rPr>
        <w:t>（一）部门概况</w:t>
      </w:r>
    </w:p>
    <w:p>
      <w:pPr>
        <w:keepNext w:val="0"/>
        <w:keepLines w:val="0"/>
        <w:pageBreakBefore w:val="0"/>
        <w:widowControl w:val="0"/>
        <w:kinsoku/>
        <w:wordWrap/>
        <w:overflowPunct/>
        <w:topLinePunct w:val="0"/>
        <w:autoSpaceDE/>
        <w:autoSpaceDN/>
        <w:bidi w:val="0"/>
        <w:adjustRightInd/>
        <w:snapToGrid w:val="0"/>
        <w:spacing w:line="580" w:lineRule="exact"/>
        <w:ind w:firstLine="643" w:firstLineChars="200"/>
        <w:jc w:val="both"/>
        <w:textAlignment w:val="auto"/>
        <w:rPr>
          <w:rFonts w:hint="default" w:ascii="Times New Roman" w:hAnsi="Times New Roman" w:eastAsia="仿宋_GB2312" w:cs="Times New Roman"/>
          <w:b/>
          <w:bCs/>
          <w:color w:val="auto"/>
          <w:sz w:val="32"/>
          <w:szCs w:val="32"/>
        </w:rPr>
      </w:pPr>
      <w:r>
        <w:rPr>
          <w:rFonts w:hint="default" w:ascii="Times New Roman" w:hAnsi="Times New Roman" w:eastAsia="仿宋_GB2312" w:cs="Times New Roman"/>
          <w:b/>
          <w:bCs/>
          <w:color w:val="auto"/>
          <w:sz w:val="32"/>
          <w:szCs w:val="32"/>
        </w:rPr>
        <w:t>1</w:t>
      </w:r>
      <w:r>
        <w:rPr>
          <w:rFonts w:hint="default" w:ascii="Times New Roman" w:hAnsi="Times New Roman" w:eastAsia="仿宋_GB2312" w:cs="Times New Roman"/>
          <w:b/>
          <w:bCs/>
          <w:color w:val="auto"/>
          <w:sz w:val="32"/>
          <w:szCs w:val="32"/>
          <w:lang w:val="en-US" w:eastAsia="zh-CN"/>
        </w:rPr>
        <w:t>.部门职能</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（1）贯彻执行国家、省、市有关城市轨道交通的方针、政策和法律法规，研究拟订全市轨道交通发展战略。</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（2）负责轨道交通线网规划和建设规划的编制工作。</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（3）代表市政府下达轨道交通建设任务，行使协调、监督和检查职责，推动市直各部门、各县（市、区）和各轨道交通建设单位共同抓好轨道交通建设。</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（4）负责审定我市轨道交通建设模式。</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（5）负责监管轨道交通运营工作。</w:t>
      </w:r>
    </w:p>
    <w:p>
      <w:pPr>
        <w:keepNext w:val="0"/>
        <w:keepLines w:val="0"/>
        <w:pageBreakBefore w:val="0"/>
        <w:widowControl w:val="0"/>
        <w:numPr>
          <w:ilvl w:val="0"/>
          <w:numId w:val="0"/>
        </w:numPr>
        <w:kinsoku/>
        <w:wordWrap/>
        <w:overflowPunct/>
        <w:topLinePunct w:val="0"/>
        <w:autoSpaceDE/>
        <w:autoSpaceDN/>
        <w:bidi w:val="0"/>
        <w:adjustRightInd/>
        <w:spacing w:line="58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（6）完成市委、市政府交办的其它工作。</w:t>
      </w:r>
    </w:p>
    <w:p>
      <w:pPr>
        <w:keepNext w:val="0"/>
        <w:keepLines w:val="0"/>
        <w:pageBreakBefore w:val="0"/>
        <w:widowControl w:val="0"/>
        <w:numPr>
          <w:ilvl w:val="0"/>
          <w:numId w:val="0"/>
        </w:numPr>
        <w:kinsoku/>
        <w:wordWrap/>
        <w:overflowPunct/>
        <w:topLinePunct w:val="0"/>
        <w:autoSpaceDE/>
        <w:autoSpaceDN/>
        <w:bidi w:val="0"/>
        <w:adjustRightInd/>
        <w:spacing w:line="580" w:lineRule="exact"/>
        <w:ind w:left="0" w:leftChars="0" w:firstLine="643" w:firstLineChars="200"/>
        <w:jc w:val="both"/>
        <w:textAlignment w:val="auto"/>
        <w:rPr>
          <w:rFonts w:hint="default" w:ascii="Times New Roman" w:hAnsi="Times New Roman" w:eastAsia="仿宋_GB2312" w:cs="Times New Roman"/>
          <w:b/>
          <w:bCs/>
          <w:color w:val="auto"/>
          <w:sz w:val="32"/>
          <w:szCs w:val="32"/>
          <w:lang w:eastAsia="zh-CN"/>
        </w:rPr>
      </w:pPr>
      <w:r>
        <w:rPr>
          <w:rFonts w:hint="default" w:ascii="Times New Roman" w:hAnsi="Times New Roman" w:eastAsia="仿宋_GB2312" w:cs="Times New Roman"/>
          <w:b/>
          <w:bCs/>
          <w:color w:val="auto"/>
          <w:sz w:val="32"/>
          <w:szCs w:val="32"/>
          <w:lang w:val="en-US" w:eastAsia="zh-CN"/>
        </w:rPr>
        <w:t>2.组织机构及</w:t>
      </w:r>
      <w:r>
        <w:rPr>
          <w:rFonts w:hint="default" w:ascii="Times New Roman" w:hAnsi="Times New Roman" w:eastAsia="仿宋_GB2312" w:cs="Times New Roman"/>
          <w:b/>
          <w:bCs/>
          <w:color w:val="auto"/>
          <w:sz w:val="32"/>
          <w:szCs w:val="32"/>
        </w:rPr>
        <w:t>人员情况</w:t>
      </w:r>
    </w:p>
    <w:p>
      <w:pPr>
        <w:keepNext w:val="0"/>
        <w:keepLines w:val="0"/>
        <w:pageBreakBefore w:val="0"/>
        <w:widowControl w:val="0"/>
        <w:numPr>
          <w:ilvl w:val="-1"/>
          <w:numId w:val="0"/>
        </w:numPr>
        <w:kinsoku/>
        <w:wordWrap/>
        <w:overflowPunct/>
        <w:topLinePunct w:val="0"/>
        <w:autoSpaceDE/>
        <w:autoSpaceDN/>
        <w:bidi w:val="0"/>
        <w:adjustRightInd/>
        <w:snapToGrid w:val="0"/>
        <w:spacing w:line="58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lang w:val="en-US" w:eastAsia="zh-CN"/>
        </w:rPr>
        <w:t>市轨道办单位性质为事业单位，规格正处（县）级，经费形式财政性资金基本保证，执行政府会计制度。单位编制33人，202</w:t>
      </w:r>
      <w:r>
        <w:rPr>
          <w:rFonts w:hint="eastAsia" w:ascii="Times New Roman" w:hAnsi="Times New Roman" w:eastAsia="仿宋_GB2312" w:cs="Times New Roman"/>
          <w:color w:val="auto"/>
          <w:sz w:val="32"/>
          <w:szCs w:val="32"/>
          <w:lang w:val="en-US" w:eastAsia="zh-CN"/>
        </w:rPr>
        <w:t>5</w:t>
      </w:r>
      <w:r>
        <w:rPr>
          <w:rFonts w:hint="default" w:ascii="Times New Roman" w:hAnsi="Times New Roman" w:eastAsia="仿宋_GB2312" w:cs="Times New Roman"/>
          <w:color w:val="auto"/>
          <w:sz w:val="32"/>
          <w:szCs w:val="32"/>
          <w:lang w:val="en-US" w:eastAsia="zh-CN"/>
        </w:rPr>
        <w:t>年实有在职人数</w:t>
      </w:r>
      <w:r>
        <w:rPr>
          <w:rFonts w:hint="eastAsia" w:ascii="Times New Roman" w:hAnsi="Times New Roman" w:eastAsia="仿宋_GB2312" w:cs="Times New Roman"/>
          <w:color w:val="auto"/>
          <w:sz w:val="32"/>
          <w:szCs w:val="32"/>
          <w:lang w:val="en-US" w:eastAsia="zh-CN"/>
        </w:rPr>
        <w:t>33</w:t>
      </w:r>
      <w:r>
        <w:rPr>
          <w:rFonts w:hint="default" w:ascii="Times New Roman" w:hAnsi="Times New Roman" w:eastAsia="仿宋_GB2312" w:cs="Times New Roman"/>
          <w:color w:val="auto"/>
          <w:sz w:val="32"/>
          <w:szCs w:val="32"/>
          <w:lang w:val="en-US" w:eastAsia="zh-CN"/>
        </w:rPr>
        <w:t>人，退休4人。</w:t>
      </w:r>
    </w:p>
    <w:p>
      <w:pPr>
        <w:keepNext w:val="0"/>
        <w:keepLines w:val="0"/>
        <w:pageBreakBefore w:val="0"/>
        <w:widowControl w:val="0"/>
        <w:numPr>
          <w:ilvl w:val="0"/>
          <w:numId w:val="0"/>
        </w:numPr>
        <w:kinsoku/>
        <w:wordWrap/>
        <w:overflowPunct/>
        <w:topLinePunct w:val="0"/>
        <w:autoSpaceDE/>
        <w:autoSpaceDN/>
        <w:bidi w:val="0"/>
        <w:adjustRightInd/>
        <w:snapToGrid w:val="0"/>
        <w:spacing w:line="580" w:lineRule="exact"/>
        <w:ind w:left="0" w:leftChars="0" w:firstLine="643" w:firstLineChars="200"/>
        <w:jc w:val="both"/>
        <w:textAlignment w:val="auto"/>
        <w:rPr>
          <w:rFonts w:hint="default" w:ascii="Times New Roman" w:hAnsi="Times New Roman" w:eastAsia="仿宋_GB2312" w:cs="Times New Roman"/>
          <w:b/>
          <w:bCs/>
          <w:color w:val="auto"/>
          <w:sz w:val="32"/>
          <w:szCs w:val="32"/>
          <w:highlight w:val="none"/>
        </w:rPr>
      </w:pPr>
      <w:r>
        <w:rPr>
          <w:rFonts w:hint="default" w:ascii="Times New Roman" w:hAnsi="Times New Roman" w:eastAsia="仿宋_GB2312" w:cs="Times New Roman"/>
          <w:b/>
          <w:bCs/>
          <w:color w:val="auto"/>
          <w:sz w:val="32"/>
          <w:szCs w:val="32"/>
          <w:lang w:val="en-US" w:eastAsia="zh-CN"/>
        </w:rPr>
        <w:t>3.</w:t>
      </w:r>
      <w:r>
        <w:rPr>
          <w:rFonts w:hint="default" w:ascii="Times New Roman" w:hAnsi="Times New Roman" w:eastAsia="仿宋_GB2312" w:cs="Times New Roman"/>
          <w:b/>
          <w:bCs/>
          <w:color w:val="auto"/>
          <w:sz w:val="32"/>
          <w:szCs w:val="32"/>
          <w:highlight w:val="none"/>
        </w:rPr>
        <w:t>资产情况</w:t>
      </w:r>
    </w:p>
    <w:p>
      <w:pPr>
        <w:pStyle w:val="2"/>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sz w:val="32"/>
          <w:szCs w:val="32"/>
          <w:highlight w:val="none"/>
          <w:lang w:val="en-US" w:eastAsia="zh-CN"/>
        </w:rPr>
      </w:pPr>
      <w:r>
        <w:rPr>
          <w:rFonts w:hint="eastAsia" w:cs="Times New Roman"/>
          <w:color w:val="auto"/>
          <w:sz w:val="32"/>
          <w:szCs w:val="32"/>
          <w:highlight w:val="none"/>
          <w:lang w:val="en-US" w:eastAsia="zh-CN"/>
        </w:rPr>
        <w:t>截至</w:t>
      </w:r>
      <w:r>
        <w:rPr>
          <w:rFonts w:hint="default" w:ascii="Times New Roman" w:hAnsi="Times New Roman" w:eastAsia="仿宋_GB2312" w:cs="Times New Roman"/>
          <w:color w:val="auto"/>
          <w:sz w:val="32"/>
          <w:szCs w:val="32"/>
          <w:highlight w:val="none"/>
          <w:lang w:val="en-US" w:eastAsia="zh-CN"/>
        </w:rPr>
        <w:t>202</w:t>
      </w:r>
      <w:r>
        <w:rPr>
          <w:rFonts w:hint="eastAsia" w:cs="Times New Roman"/>
          <w:color w:val="auto"/>
          <w:sz w:val="32"/>
          <w:szCs w:val="32"/>
          <w:highlight w:val="none"/>
          <w:lang w:val="en-US" w:eastAsia="zh-CN"/>
        </w:rPr>
        <w:t>5</w:t>
      </w:r>
      <w:r>
        <w:rPr>
          <w:rFonts w:hint="default" w:ascii="Times New Roman" w:hAnsi="Times New Roman" w:eastAsia="仿宋_GB2312" w:cs="Times New Roman"/>
          <w:color w:val="auto"/>
          <w:sz w:val="32"/>
          <w:szCs w:val="32"/>
          <w:highlight w:val="none"/>
          <w:lang w:val="en-US" w:eastAsia="zh-CN"/>
        </w:rPr>
        <w:t>年底，我部门</w:t>
      </w:r>
      <w:r>
        <w:rPr>
          <w:rFonts w:hint="default" w:ascii="Times New Roman" w:hAnsi="Times New Roman" w:eastAsia="仿宋_GB2312" w:cs="Times New Roman"/>
          <w:color w:val="auto"/>
          <w:sz w:val="32"/>
          <w:szCs w:val="32"/>
          <w:highlight w:val="none"/>
        </w:rPr>
        <w:t>资产总计</w:t>
      </w:r>
      <w:r>
        <w:rPr>
          <w:rFonts w:hint="eastAsia" w:cs="Times New Roman"/>
          <w:color w:val="000000" w:themeColor="text1"/>
          <w:sz w:val="32"/>
          <w:szCs w:val="32"/>
          <w:lang w:val="en-US" w:eastAsia="zh-CN"/>
        </w:rPr>
        <w:t>290.89</w:t>
      </w:r>
      <w:r>
        <w:rPr>
          <w:rFonts w:hint="default" w:ascii="Times New Roman" w:hAnsi="Times New Roman" w:eastAsia="仿宋_GB2312" w:cs="Times New Roman"/>
          <w:color w:val="auto"/>
          <w:sz w:val="32"/>
          <w:szCs w:val="32"/>
          <w:highlight w:val="none"/>
        </w:rPr>
        <w:t>万元，其中：货币资</w:t>
      </w:r>
      <w:r>
        <w:rPr>
          <w:rFonts w:hint="default" w:ascii="Times New Roman" w:hAnsi="Times New Roman" w:eastAsia="仿宋_GB2312" w:cs="Times New Roman"/>
          <w:b w:val="0"/>
          <w:bCs w:val="0"/>
          <w:color w:val="auto"/>
          <w:sz w:val="32"/>
          <w:szCs w:val="32"/>
          <w:highlight w:val="none"/>
        </w:rPr>
        <w:t>金</w:t>
      </w:r>
      <w:r>
        <w:rPr>
          <w:rFonts w:hint="eastAsia" w:cs="Times New Roman"/>
          <w:color w:val="000000" w:themeColor="text1"/>
          <w:sz w:val="32"/>
          <w:szCs w:val="32"/>
          <w:lang w:val="en-US" w:eastAsia="zh-CN"/>
        </w:rPr>
        <w:t>263.93</w:t>
      </w:r>
      <w:r>
        <w:rPr>
          <w:rFonts w:hint="default" w:ascii="Times New Roman" w:hAnsi="Times New Roman" w:eastAsia="仿宋_GB2312" w:cs="Times New Roman"/>
          <w:b w:val="0"/>
          <w:bCs w:val="0"/>
          <w:color w:val="auto"/>
          <w:sz w:val="32"/>
          <w:szCs w:val="32"/>
          <w:highlight w:val="none"/>
        </w:rPr>
        <w:t>万元，固定资产净值</w:t>
      </w:r>
      <w:r>
        <w:rPr>
          <w:rFonts w:hint="eastAsia" w:cs="Times New Roman"/>
          <w:color w:val="000000" w:themeColor="text1"/>
          <w:sz w:val="32"/>
          <w:szCs w:val="32"/>
          <w:lang w:val="en-US" w:eastAsia="zh-CN"/>
        </w:rPr>
        <w:t>26.93</w:t>
      </w:r>
      <w:r>
        <w:rPr>
          <w:rFonts w:hint="default" w:ascii="Times New Roman" w:hAnsi="Times New Roman" w:eastAsia="仿宋_GB2312" w:cs="Times New Roman"/>
          <w:b w:val="0"/>
          <w:bCs w:val="0"/>
          <w:color w:val="auto"/>
          <w:sz w:val="32"/>
          <w:szCs w:val="32"/>
          <w:highlight w:val="none"/>
        </w:rPr>
        <w:t>万元。</w:t>
      </w:r>
    </w:p>
    <w:p>
      <w:pPr>
        <w:keepNext w:val="0"/>
        <w:keepLines w:val="0"/>
        <w:pageBreakBefore w:val="0"/>
        <w:widowControl w:val="0"/>
        <w:numPr>
          <w:ilvl w:val="0"/>
          <w:numId w:val="1"/>
        </w:numPr>
        <w:kinsoku/>
        <w:wordWrap/>
        <w:overflowPunct/>
        <w:topLinePunct w:val="0"/>
        <w:autoSpaceDE/>
        <w:autoSpaceDN/>
        <w:bidi w:val="0"/>
        <w:adjustRightInd w:val="0"/>
        <w:snapToGrid w:val="0"/>
        <w:spacing w:line="580" w:lineRule="exact"/>
        <w:ind w:firstLine="643" w:firstLineChars="200"/>
        <w:jc w:val="both"/>
        <w:textAlignment w:val="auto"/>
        <w:rPr>
          <w:rFonts w:hint="default" w:ascii="Times New Roman" w:hAnsi="Times New Roman" w:eastAsia="楷体" w:cs="Times New Roman"/>
          <w:b/>
          <w:bCs/>
          <w:sz w:val="32"/>
          <w:szCs w:val="32"/>
        </w:rPr>
      </w:pPr>
      <w:r>
        <w:rPr>
          <w:rFonts w:hint="default" w:ascii="Times New Roman" w:hAnsi="Times New Roman" w:eastAsia="楷体" w:cs="Times New Roman"/>
          <w:b/>
          <w:bCs/>
          <w:sz w:val="32"/>
          <w:szCs w:val="32"/>
        </w:rPr>
        <w:t>部门收支预决算情况</w:t>
      </w:r>
    </w:p>
    <w:p>
      <w:pPr>
        <w:keepNext w:val="0"/>
        <w:keepLines w:val="0"/>
        <w:pageBreakBefore w:val="0"/>
        <w:widowControl w:val="0"/>
        <w:kinsoku/>
        <w:wordWrap/>
        <w:overflowPunct/>
        <w:topLinePunct w:val="0"/>
        <w:autoSpaceDE/>
        <w:autoSpaceDN/>
        <w:bidi w:val="0"/>
        <w:adjustRightInd/>
        <w:snapToGrid w:val="0"/>
        <w:spacing w:line="580" w:lineRule="exact"/>
        <w:ind w:left="0" w:leftChars="0" w:firstLine="643" w:firstLineChars="200"/>
        <w:jc w:val="both"/>
        <w:textAlignment w:val="auto"/>
        <w:rPr>
          <w:rFonts w:hint="default" w:ascii="Times New Roman" w:hAnsi="Times New Roman" w:eastAsia="仿宋_GB2312" w:cs="Times New Roman"/>
          <w:b/>
          <w:bCs/>
          <w:color w:val="auto"/>
          <w:sz w:val="32"/>
          <w:szCs w:val="32"/>
          <w:highlight w:val="none"/>
        </w:rPr>
      </w:pPr>
      <w:r>
        <w:rPr>
          <w:rFonts w:hint="default" w:ascii="Times New Roman" w:hAnsi="Times New Roman" w:eastAsia="仿宋_GB2312" w:cs="Times New Roman"/>
          <w:b/>
          <w:bCs/>
          <w:color w:val="auto"/>
          <w:sz w:val="32"/>
          <w:szCs w:val="32"/>
          <w:highlight w:val="none"/>
          <w:lang w:val="en-US" w:eastAsia="zh-CN"/>
        </w:rPr>
        <w:t>1.</w:t>
      </w:r>
      <w:r>
        <w:rPr>
          <w:rFonts w:hint="default" w:ascii="Times New Roman" w:hAnsi="Times New Roman" w:eastAsia="仿宋_GB2312" w:cs="Times New Roman"/>
          <w:b/>
          <w:bCs/>
          <w:color w:val="auto"/>
          <w:sz w:val="32"/>
          <w:szCs w:val="32"/>
          <w:highlight w:val="none"/>
        </w:rPr>
        <w:t>收入支出预算安排情况</w:t>
      </w:r>
    </w:p>
    <w:p>
      <w:pPr>
        <w:pStyle w:val="2"/>
        <w:keepNext w:val="0"/>
        <w:keepLines w:val="0"/>
        <w:pageBreakBefore w:val="0"/>
        <w:widowControl w:val="0"/>
        <w:kinsoku/>
        <w:wordWrap/>
        <w:overflowPunct/>
        <w:topLinePunct w:val="0"/>
        <w:autoSpaceDE/>
        <w:autoSpaceDN/>
        <w:bidi w:val="0"/>
        <w:adjustRightInd/>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2025年部门预算收支总计422992.42万元，较2024年增加182258.11万元，增加75.71%，主要原因是政府性基金预算财政收入增加10亿元，一般公共预算收入增加约8亿元。</w:t>
      </w:r>
    </w:p>
    <w:p>
      <w:pPr>
        <w:pStyle w:val="2"/>
        <w:keepNext w:val="0"/>
        <w:keepLines w:val="0"/>
        <w:pageBreakBefore w:val="0"/>
        <w:widowControl w:val="0"/>
        <w:kinsoku/>
        <w:wordWrap/>
        <w:overflowPunct/>
        <w:topLinePunct w:val="0"/>
        <w:autoSpaceDE/>
        <w:autoSpaceDN/>
        <w:bidi w:val="0"/>
        <w:adjustRightInd/>
        <w:spacing w:line="580" w:lineRule="exact"/>
        <w:ind w:left="0" w:leftChars="0" w:firstLine="643" w:firstLineChars="200"/>
        <w:jc w:val="both"/>
        <w:textAlignment w:val="auto"/>
        <w:rPr>
          <w:rFonts w:hint="default" w:ascii="Times New Roman" w:hAnsi="Times New Roman" w:eastAsia="仿宋_GB2312" w:cs="Times New Roman"/>
          <w:b/>
          <w:bCs/>
          <w:color w:val="auto"/>
          <w:sz w:val="32"/>
          <w:szCs w:val="32"/>
          <w:highlight w:val="none"/>
        </w:rPr>
      </w:pPr>
      <w:r>
        <w:rPr>
          <w:rFonts w:hint="default" w:ascii="Times New Roman" w:hAnsi="Times New Roman" w:eastAsia="仿宋_GB2312" w:cs="Times New Roman"/>
          <w:b/>
          <w:bCs/>
          <w:color w:val="auto"/>
          <w:sz w:val="32"/>
          <w:szCs w:val="32"/>
          <w:highlight w:val="none"/>
          <w:lang w:val="en-US" w:eastAsia="zh-CN"/>
        </w:rPr>
        <w:t>2.</w:t>
      </w:r>
      <w:r>
        <w:rPr>
          <w:rFonts w:hint="default" w:ascii="Times New Roman" w:hAnsi="Times New Roman" w:eastAsia="仿宋_GB2312" w:cs="Times New Roman"/>
          <w:b/>
          <w:bCs/>
          <w:color w:val="auto"/>
          <w:sz w:val="32"/>
          <w:szCs w:val="32"/>
          <w:highlight w:val="none"/>
        </w:rPr>
        <w:t>收入支出预算执行情况</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both"/>
        <w:textAlignment w:val="auto"/>
        <w:rPr>
          <w:rFonts w:hint="default" w:ascii="Times New Roman" w:hAnsi="Times New Roman" w:eastAsia="仿宋_GB2312" w:cs="Times New Roman"/>
          <w:b w:val="0"/>
          <w:bCs w:val="0"/>
          <w:color w:val="auto"/>
          <w:sz w:val="32"/>
          <w:szCs w:val="32"/>
          <w:highlight w:val="none"/>
          <w:lang w:val="en-US" w:eastAsia="zh-CN"/>
        </w:rPr>
      </w:pPr>
      <w:r>
        <w:rPr>
          <w:rFonts w:hint="default" w:ascii="Times New Roman" w:hAnsi="Times New Roman" w:eastAsia="仿宋_GB2312" w:cs="Times New Roman"/>
          <w:b w:val="0"/>
          <w:bCs w:val="0"/>
          <w:color w:val="auto"/>
          <w:sz w:val="32"/>
          <w:szCs w:val="32"/>
          <w:highlight w:val="none"/>
          <w:lang w:val="en-US" w:eastAsia="zh-CN"/>
        </w:rPr>
        <w:t>2025年本年收入439628.16万元，本年支出439628.19万元。2025年本年收入较2024年增加294358.39万元，增加202.63%；2025年本年支出较2024年增加294358.31万元，增加202.63%；主要原因是政府性基金预算财政拨款收入增加30亿元。</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both"/>
        <w:textAlignment w:val="auto"/>
        <w:rPr>
          <w:rFonts w:hint="default" w:ascii="Times New Roman" w:hAnsi="Times New Roman" w:eastAsia="楷体" w:cs="Times New Roman"/>
          <w:b/>
          <w:bCs/>
          <w:sz w:val="32"/>
          <w:szCs w:val="32"/>
        </w:rPr>
      </w:pPr>
      <w:r>
        <w:rPr>
          <w:rFonts w:hint="default" w:ascii="Times New Roman" w:hAnsi="Times New Roman" w:eastAsia="楷体" w:cs="Times New Roman"/>
          <w:b/>
          <w:bCs/>
          <w:sz w:val="32"/>
          <w:szCs w:val="32"/>
        </w:rPr>
        <w:t>（三）部门整体支出绩效目标、指标</w:t>
      </w:r>
    </w:p>
    <w:p>
      <w:pPr>
        <w:keepNext w:val="0"/>
        <w:keepLines w:val="0"/>
        <w:pageBreakBefore w:val="0"/>
        <w:widowControl w:val="0"/>
        <w:kinsoku/>
        <w:wordWrap/>
        <w:overflowPunct/>
        <w:topLinePunct w:val="0"/>
        <w:autoSpaceDE/>
        <w:autoSpaceDN/>
        <w:bidi w:val="0"/>
        <w:spacing w:line="580" w:lineRule="exact"/>
        <w:ind w:left="0" w:leftChars="0" w:firstLine="643" w:firstLineChars="200"/>
        <w:jc w:val="both"/>
        <w:textAlignment w:val="auto"/>
        <w:rPr>
          <w:rFonts w:hint="default" w:ascii="Times New Roman" w:hAnsi="Times New Roman" w:eastAsia="仿宋_GB2312" w:cs="Times New Roman"/>
          <w:b/>
          <w:bCs/>
          <w:color w:val="auto"/>
          <w:sz w:val="32"/>
          <w:szCs w:val="32"/>
          <w:highlight w:val="none"/>
        </w:rPr>
      </w:pPr>
      <w:r>
        <w:rPr>
          <w:rFonts w:hint="default" w:ascii="Times New Roman" w:hAnsi="Times New Roman" w:eastAsia="仿宋_GB2312" w:cs="Times New Roman"/>
          <w:b/>
          <w:bCs/>
          <w:color w:val="auto"/>
          <w:sz w:val="32"/>
          <w:szCs w:val="32"/>
          <w:highlight w:val="none"/>
          <w:lang w:val="en-US" w:eastAsia="zh-CN"/>
        </w:rPr>
        <w:t>1.</w:t>
      </w:r>
      <w:r>
        <w:rPr>
          <w:rFonts w:hint="default" w:ascii="Times New Roman" w:hAnsi="Times New Roman" w:eastAsia="仿宋_GB2312" w:cs="Times New Roman"/>
          <w:b/>
          <w:bCs/>
          <w:color w:val="auto"/>
          <w:sz w:val="32"/>
          <w:szCs w:val="32"/>
          <w:highlight w:val="none"/>
        </w:rPr>
        <w:t>总体绩效目标</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2025年轨道办将紧紧围绕市委、市政府中心工作，践行“地铁让城市更美好”的发展理念，聚焦主责主业，确保轨道交通建设有序推进，做好轨道交通在建工程的质量、进度监管工作；加快推进我市轨道交通第二期建设规划调整的报批工作，为正定机场和滹沱河经济带发展提供支撑；编制轨道交通线网用地控制性详细规划，加强轨道交通建设用地空间管控，为轨道交通线路实施预留条件；通过开展城市轨道交通服务质量评价工作，提高轨道交通运营服务水平和保障能力；开展塔北地下综合管廊项目运营维护季度绩效考核和年度绩效评价工作，保障地下综合管廊全年安全平稳运营无事故。</w:t>
      </w:r>
    </w:p>
    <w:p>
      <w:pPr>
        <w:keepNext w:val="0"/>
        <w:keepLines w:val="0"/>
        <w:pageBreakBefore w:val="0"/>
        <w:widowControl w:val="0"/>
        <w:kinsoku/>
        <w:wordWrap/>
        <w:overflowPunct/>
        <w:topLinePunct w:val="0"/>
        <w:autoSpaceDE/>
        <w:autoSpaceDN/>
        <w:bidi w:val="0"/>
        <w:spacing w:line="580" w:lineRule="exact"/>
        <w:ind w:left="0" w:leftChars="0" w:firstLine="643" w:firstLineChars="200"/>
        <w:jc w:val="both"/>
        <w:textAlignment w:val="auto"/>
        <w:rPr>
          <w:rFonts w:hint="default" w:ascii="Times New Roman" w:hAnsi="Times New Roman" w:eastAsia="仿宋_GB2312" w:cs="Times New Roman"/>
          <w:b/>
          <w:bCs/>
          <w:color w:val="auto"/>
          <w:sz w:val="32"/>
          <w:szCs w:val="32"/>
          <w:highlight w:val="none"/>
        </w:rPr>
      </w:pPr>
      <w:r>
        <w:rPr>
          <w:rFonts w:hint="default" w:ascii="Times New Roman" w:hAnsi="Times New Roman" w:eastAsia="仿宋_GB2312" w:cs="Times New Roman"/>
          <w:b/>
          <w:bCs/>
          <w:color w:val="auto"/>
          <w:sz w:val="32"/>
          <w:szCs w:val="32"/>
          <w:highlight w:val="none"/>
          <w:lang w:val="en-US" w:eastAsia="zh-CN"/>
        </w:rPr>
        <w:t>2.</w:t>
      </w:r>
      <w:r>
        <w:rPr>
          <w:rFonts w:hint="default" w:ascii="Times New Roman" w:hAnsi="Times New Roman" w:eastAsia="仿宋_GB2312" w:cs="Times New Roman"/>
          <w:b/>
          <w:bCs/>
          <w:color w:val="auto"/>
          <w:sz w:val="32"/>
          <w:szCs w:val="32"/>
          <w:highlight w:val="none"/>
        </w:rPr>
        <w:t>分项绩效目标</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（1）保障轨道交通建设有序推进</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绩效目标：保证工程建设顺利实施，确保轨道交通建设有序推进。</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绩效指标：保证4、5、6号线一期、1号线三期、1号线二期北段工程建设，保证工程质量合格率达100%，按照年度预算和工程进度拨付轨道交通项目资本金。</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（2）加快推进第二期建设规划调整报批</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目标：完成轨道交通第二期建设规划调整环境影响评价报告，积极跑办国家生态环境部，取得第二期建设规划调整环评审查意见。待具备国家规定的其他申报条件后，跑办国家发改委和住建部，争取其早日受理第二期建设规划调整。</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指标：①加快跑办国家生态环境部，确保第二期建设规划调整环境影响评价报告10月底前通过审查。②紧盯二期工程进度、投资完成、资金到位等指标，待具备国家规定的其他申报条件后，跑办国家发改委和住建部，力争其12月底前受理第二期建设规划调整。</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（3）编制线网用地控制性详细规划</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绩效目标：编制完成《石家庄市城市轨道交通线网控制性详细规划（2021-2035年）》。</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指标：①整理引用设计成果，将已批复开通运营和在建的轨道交通一期和二期线路约140公里的保护区纳入线网控规。②结合我市发展实际，对已经控制路由的6条线路尚未批复建设规划部分约90公里的区间、站点、车辆场段等用地控制方案进行适当调整。</w:t>
      </w:r>
      <w:r>
        <w:rPr>
          <w:rFonts w:hint="eastAsia" w:ascii="Times New Roman" w:hAnsi="Times New Roman" w:eastAsia="仿宋_GB2312" w:cs="Times New Roman"/>
          <w:b w:val="0"/>
          <w:bCs w:val="0"/>
          <w:color w:val="auto"/>
          <w:kern w:val="2"/>
          <w:sz w:val="32"/>
          <w:szCs w:val="32"/>
          <w:highlight w:val="none"/>
          <w:lang w:val="en-US" w:eastAsia="zh-CN" w:bidi="ar-SA"/>
        </w:rPr>
        <w:t>③</w:t>
      </w:r>
      <w:r>
        <w:rPr>
          <w:rFonts w:hint="default" w:ascii="Times New Roman" w:hAnsi="Times New Roman" w:eastAsia="仿宋_GB2312" w:cs="Times New Roman"/>
          <w:b w:val="0"/>
          <w:bCs w:val="0"/>
          <w:color w:val="auto"/>
          <w:kern w:val="2"/>
          <w:sz w:val="32"/>
          <w:szCs w:val="32"/>
          <w:highlight w:val="none"/>
          <w:lang w:val="en-US" w:eastAsia="zh-CN" w:bidi="ar-SA"/>
        </w:rPr>
        <w:t>根据轨道交通线网发展目标和相关规范标准，稳定轨道交通线网规划中心城区范围内新增线路约250公里的路由、设站位置和系统制式方案，提出线路区间、站点、车辆场段等用地控制方案。</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（4）完成城市轨道交通服务质量评价</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绩效目标：按照城市轨道交通服务质量评价规范，开展乘客满意度、服务保障能力、运营服务关键指标评价。</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指标：6月底前高质量完成服务质量评价工作，包括对已开通运营的3条线路进行服务质量评价，向1、2、3号线乘客发放调查问卷不少于1200份，促进客运量提升，轨道交通线网客运量超过14000万人次，服务对象满意度达到85%以上。</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（5）保障轨道交通正常运营</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绩效目标：保障我市轨道公司工作正常开展，维持我市轨道交通的有序性。</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绩效指标：进一步保障我市轨道交通正常运行，线网运营车公里达820.5万列公里及以上，线网客运周转量达101137.5万人次公里及以上；列车运行图兑现率达99%及以上，列车正点率达98.5%及以上。</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（6）保障塔北路管廊项目正常运营</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绩效目标：保障管廊正常运营，无安全事故。</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绩效指标：塔北路地下综合管廊全年安全平稳运营无事故，季度绩效考核和年度绩效评价平均成绩80分以上，入廊单位满意度不低于90%，管廊周边道路重复开挖全年少于5次。</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（7）完成塔北路地下管廊季度考核和年度绩效评价</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绩效目标：完成对塔北路地下管廊运营维护情况的季度绩效考核和年度绩效评价工作，为计算支付缺口补助提供依据，出具每期考核报告，发现问题及时整改。</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绩效指标：每季度内完成 1 次季度绩效考核，每年内完成一定年度绩效评价，每次考核及评价出具报告，对发现的问题及时整改，考核评价工作完成满意度90%以上。</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default" w:ascii="Times New Roman" w:hAnsi="Times New Roman" w:eastAsia="仿宋" w:cs="Times New Roman"/>
          <w:strike/>
          <w:dstrike w:val="0"/>
          <w:sz w:val="32"/>
          <w:szCs w:val="32"/>
          <w:highlight w:val="yellow"/>
        </w:rPr>
      </w:pPr>
      <w:r>
        <w:rPr>
          <w:rFonts w:hint="default" w:ascii="Times New Roman" w:hAnsi="Times New Roman" w:eastAsia="黑体" w:cs="Times New Roman"/>
          <w:sz w:val="32"/>
          <w:szCs w:val="32"/>
        </w:rPr>
        <w:t>二、自评工作开展情况</w:t>
      </w:r>
    </w:p>
    <w:p>
      <w:pPr>
        <w:keepNext w:val="0"/>
        <w:keepLines w:val="0"/>
        <w:pageBreakBefore w:val="0"/>
        <w:widowControl w:val="0"/>
        <w:kinsoku/>
        <w:wordWrap/>
        <w:overflowPunct/>
        <w:topLinePunct w:val="0"/>
        <w:autoSpaceDE/>
        <w:autoSpaceDN/>
        <w:bidi w:val="0"/>
        <w:spacing w:line="580" w:lineRule="exact"/>
        <w:ind w:right="0" w:firstLine="643" w:firstLineChars="200"/>
        <w:jc w:val="both"/>
        <w:textAlignment w:val="auto"/>
        <w:outlineLvl w:val="9"/>
        <w:rPr>
          <w:rFonts w:hint="default" w:ascii="Times New Roman" w:hAnsi="Times New Roman" w:eastAsia="楷体" w:cs="Times New Roman"/>
          <w:b/>
          <w:bCs/>
          <w:strike w:val="0"/>
          <w:dstrike w:val="0"/>
          <w:color w:val="auto"/>
          <w:sz w:val="32"/>
          <w:szCs w:val="32"/>
          <w:highlight w:val="lightGray"/>
        </w:rPr>
      </w:pPr>
      <w:r>
        <w:rPr>
          <w:rFonts w:hint="default" w:ascii="Times New Roman" w:hAnsi="Times New Roman" w:eastAsia="楷体" w:cs="Times New Roman"/>
          <w:b/>
          <w:bCs/>
          <w:color w:val="auto"/>
          <w:sz w:val="32"/>
          <w:szCs w:val="32"/>
        </w:rPr>
        <w:t>（一）自评的组织工作</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我办按照石家庄市财政局《关于开展202</w:t>
      </w:r>
      <w:r>
        <w:rPr>
          <w:rFonts w:hint="eastAsia" w:ascii="Times New Roman" w:hAnsi="Times New Roman" w:eastAsia="仿宋_GB2312" w:cs="Times New Roman"/>
          <w:b w:val="0"/>
          <w:bCs w:val="0"/>
          <w:color w:val="auto"/>
          <w:kern w:val="2"/>
          <w:sz w:val="32"/>
          <w:szCs w:val="32"/>
          <w:highlight w:val="none"/>
          <w:lang w:val="en-US" w:eastAsia="zh-CN" w:bidi="ar-SA"/>
        </w:rPr>
        <w:t>6</w:t>
      </w:r>
      <w:r>
        <w:rPr>
          <w:rFonts w:hint="default" w:ascii="Times New Roman" w:hAnsi="Times New Roman" w:eastAsia="仿宋_GB2312" w:cs="Times New Roman"/>
          <w:b w:val="0"/>
          <w:bCs w:val="0"/>
          <w:color w:val="auto"/>
          <w:kern w:val="2"/>
          <w:sz w:val="32"/>
          <w:szCs w:val="32"/>
          <w:highlight w:val="none"/>
          <w:lang w:val="en-US" w:eastAsia="zh-CN" w:bidi="ar-SA"/>
        </w:rPr>
        <w:t>年绩效自评工作的通知》（石财</w:t>
      </w:r>
      <w:r>
        <w:rPr>
          <w:rFonts w:hint="eastAsia" w:ascii="Times New Roman" w:hAnsi="Times New Roman" w:eastAsia="仿宋_GB2312" w:cs="Times New Roman"/>
          <w:b w:val="0"/>
          <w:bCs w:val="0"/>
          <w:color w:val="auto"/>
          <w:kern w:val="2"/>
          <w:sz w:val="32"/>
          <w:szCs w:val="32"/>
          <w:highlight w:val="none"/>
          <w:lang w:val="en-US" w:eastAsia="zh-CN" w:bidi="ar-SA"/>
        </w:rPr>
        <w:t>绩</w:t>
      </w:r>
      <w:r>
        <w:rPr>
          <w:rFonts w:hint="default" w:ascii="Times New Roman" w:hAnsi="Times New Roman" w:eastAsia="仿宋_GB2312" w:cs="Times New Roman"/>
          <w:b w:val="0"/>
          <w:bCs w:val="0"/>
          <w:color w:val="auto"/>
          <w:kern w:val="2"/>
          <w:sz w:val="32"/>
          <w:szCs w:val="32"/>
          <w:highlight w:val="none"/>
          <w:lang w:val="en-US" w:eastAsia="zh-CN" w:bidi="ar-SA"/>
        </w:rPr>
        <w:t>〔202</w:t>
      </w:r>
      <w:r>
        <w:rPr>
          <w:rFonts w:hint="eastAsia" w:ascii="Times New Roman" w:hAnsi="Times New Roman" w:eastAsia="仿宋_GB2312" w:cs="Times New Roman"/>
          <w:b w:val="0"/>
          <w:bCs w:val="0"/>
          <w:color w:val="auto"/>
          <w:kern w:val="2"/>
          <w:sz w:val="32"/>
          <w:szCs w:val="32"/>
          <w:highlight w:val="none"/>
          <w:lang w:val="en-US" w:eastAsia="zh-CN" w:bidi="ar-SA"/>
        </w:rPr>
        <w:t>6</w:t>
      </w:r>
      <w:r>
        <w:rPr>
          <w:rFonts w:hint="default" w:ascii="Times New Roman" w:hAnsi="Times New Roman" w:eastAsia="仿宋_GB2312" w:cs="Times New Roman"/>
          <w:b w:val="0"/>
          <w:bCs w:val="0"/>
          <w:color w:val="auto"/>
          <w:kern w:val="2"/>
          <w:sz w:val="32"/>
          <w:szCs w:val="32"/>
          <w:highlight w:val="none"/>
          <w:lang w:val="en-US" w:eastAsia="zh-CN" w:bidi="ar-SA"/>
        </w:rPr>
        <w:t>〕</w:t>
      </w:r>
      <w:r>
        <w:rPr>
          <w:rFonts w:hint="eastAsia" w:ascii="Times New Roman" w:hAnsi="Times New Roman" w:eastAsia="仿宋_GB2312" w:cs="Times New Roman"/>
          <w:b w:val="0"/>
          <w:bCs w:val="0"/>
          <w:color w:val="auto"/>
          <w:kern w:val="2"/>
          <w:sz w:val="32"/>
          <w:szCs w:val="32"/>
          <w:highlight w:val="none"/>
          <w:lang w:val="en-US" w:eastAsia="zh-CN" w:bidi="ar-SA"/>
        </w:rPr>
        <w:t>6</w:t>
      </w:r>
      <w:r>
        <w:rPr>
          <w:rFonts w:hint="default" w:ascii="Times New Roman" w:hAnsi="Times New Roman" w:eastAsia="仿宋_GB2312" w:cs="Times New Roman"/>
          <w:b w:val="0"/>
          <w:bCs w:val="0"/>
          <w:color w:val="auto"/>
          <w:kern w:val="2"/>
          <w:sz w:val="32"/>
          <w:szCs w:val="32"/>
          <w:highlight w:val="none"/>
          <w:lang w:val="en-US" w:eastAsia="zh-CN" w:bidi="ar-SA"/>
        </w:rPr>
        <w:t>号）的文件要求，认真落实本次部门整体支出绩效自评工作，要求各相关科室充分认识到开展绩效自评工作的重要性和必要性，致力于以科学、客观、公正的态度高质量完成自评，以期有效提升财政资金的使用效益。具体执行中，首先，成立绩效自评工作组，全面负责评价工作的管理与组织，采用科学合理的绩效评价指标、评价标准和评价方法，对本部门202</w:t>
      </w:r>
      <w:r>
        <w:rPr>
          <w:rFonts w:hint="eastAsia" w:ascii="Times New Roman" w:hAnsi="Times New Roman" w:eastAsia="仿宋_GB2312" w:cs="Times New Roman"/>
          <w:b w:val="0"/>
          <w:bCs w:val="0"/>
          <w:color w:val="auto"/>
          <w:kern w:val="2"/>
          <w:sz w:val="32"/>
          <w:szCs w:val="32"/>
          <w:highlight w:val="none"/>
          <w:lang w:val="en-US" w:eastAsia="zh-CN" w:bidi="ar-SA"/>
        </w:rPr>
        <w:t>5</w:t>
      </w:r>
      <w:r>
        <w:rPr>
          <w:rFonts w:hint="default" w:ascii="Times New Roman" w:hAnsi="Times New Roman" w:eastAsia="仿宋_GB2312" w:cs="Times New Roman"/>
          <w:b w:val="0"/>
          <w:bCs w:val="0"/>
          <w:color w:val="auto"/>
          <w:kern w:val="2"/>
          <w:sz w:val="32"/>
          <w:szCs w:val="32"/>
          <w:highlight w:val="none"/>
          <w:lang w:val="en-US" w:eastAsia="zh-CN" w:bidi="ar-SA"/>
        </w:rPr>
        <w:t>年度部门整体支出的绩效情况进行客观、公正的评价。其次，制定绩效评价工作方案，收集查阅与项目有关的政策，全面了解项目实施细节，确定评价依据和评价方法，明确时间安排，确保评价工作的有序进行。接着，重视评价资料的收集工作，对原始资料进行严格的质量评估与核实，筛选并确定评价所需的关键材料，确保信息的准确性和完整性。最后，通过实施评价、综合分析并撰写自评报告，全面完成本次整体支出绩效自评，确保评价结果的准确性和实用性。</w:t>
      </w:r>
    </w:p>
    <w:p>
      <w:pPr>
        <w:keepNext w:val="0"/>
        <w:keepLines w:val="0"/>
        <w:pageBreakBefore w:val="0"/>
        <w:widowControl w:val="0"/>
        <w:numPr>
          <w:ilvl w:val="0"/>
          <w:numId w:val="2"/>
        </w:numPr>
        <w:kinsoku/>
        <w:wordWrap/>
        <w:overflowPunct/>
        <w:topLinePunct w:val="0"/>
        <w:autoSpaceDE/>
        <w:autoSpaceDN/>
        <w:bidi w:val="0"/>
        <w:spacing w:line="580" w:lineRule="exact"/>
        <w:ind w:left="0" w:leftChars="0" w:right="0" w:firstLine="643" w:firstLineChars="200"/>
        <w:jc w:val="both"/>
        <w:textAlignment w:val="auto"/>
        <w:outlineLvl w:val="9"/>
        <w:rPr>
          <w:rFonts w:hint="default" w:ascii="Times New Roman" w:hAnsi="Times New Roman" w:eastAsia="楷体" w:cs="Times New Roman"/>
          <w:b/>
          <w:bCs/>
          <w:color w:val="auto"/>
          <w:sz w:val="32"/>
          <w:szCs w:val="32"/>
          <w:highlight w:val="none"/>
        </w:rPr>
      </w:pPr>
      <w:r>
        <w:rPr>
          <w:rFonts w:hint="default" w:ascii="Times New Roman" w:hAnsi="Times New Roman" w:eastAsia="楷体" w:cs="Times New Roman"/>
          <w:b/>
          <w:bCs/>
          <w:color w:val="auto"/>
          <w:sz w:val="32"/>
          <w:szCs w:val="32"/>
          <w:highlight w:val="none"/>
        </w:rPr>
        <w:t>自评的方法</w:t>
      </w:r>
    </w:p>
    <w:p>
      <w:pPr>
        <w:keepNext w:val="0"/>
        <w:keepLines w:val="0"/>
        <w:pageBreakBefore w:val="0"/>
        <w:widowControl w:val="0"/>
        <w:kinsoku/>
        <w:wordWrap/>
        <w:overflowPunct/>
        <w:topLinePunct w:val="0"/>
        <w:autoSpaceDE/>
        <w:autoSpaceDN/>
        <w:bidi w:val="0"/>
        <w:spacing w:line="580" w:lineRule="exact"/>
        <w:ind w:left="0" w:leftChars="0" w:firstLine="643" w:firstLineChars="200"/>
        <w:jc w:val="both"/>
        <w:textAlignment w:val="auto"/>
        <w:rPr>
          <w:rFonts w:hint="default" w:ascii="Times New Roman" w:hAnsi="Times New Roman" w:eastAsia="仿宋_GB2312" w:cs="Times New Roman"/>
          <w:b/>
          <w:bCs/>
          <w:color w:val="auto"/>
          <w:kern w:val="2"/>
          <w:sz w:val="32"/>
          <w:szCs w:val="32"/>
          <w:highlight w:val="none"/>
          <w:lang w:val="en-US" w:eastAsia="zh-CN" w:bidi="ar-SA"/>
        </w:rPr>
      </w:pPr>
      <w:r>
        <w:rPr>
          <w:rFonts w:hint="default" w:ascii="Times New Roman" w:hAnsi="Times New Roman" w:eastAsia="仿宋_GB2312" w:cs="Times New Roman"/>
          <w:b/>
          <w:bCs/>
          <w:color w:val="auto"/>
          <w:kern w:val="2"/>
          <w:sz w:val="32"/>
          <w:szCs w:val="32"/>
          <w:highlight w:val="none"/>
          <w:lang w:val="en-US" w:eastAsia="zh-CN" w:bidi="ar-SA"/>
        </w:rPr>
        <w:t>1. 定量分析法</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定量分析法是通过收集、整理和分析与项目绩效相关的数据，运用数学方法进行量化分析，以评估项目绩效的一种方法。这种方法可以直观地展示项目的成果和效益，如通过对比项目实际完成数与计划完成数，计算完成率等指标来评估项目的执行情况。</w:t>
      </w:r>
    </w:p>
    <w:p>
      <w:pPr>
        <w:keepNext w:val="0"/>
        <w:keepLines w:val="0"/>
        <w:pageBreakBefore w:val="0"/>
        <w:widowControl w:val="0"/>
        <w:kinsoku/>
        <w:wordWrap/>
        <w:overflowPunct/>
        <w:topLinePunct w:val="0"/>
        <w:autoSpaceDE/>
        <w:autoSpaceDN/>
        <w:bidi w:val="0"/>
        <w:spacing w:line="580" w:lineRule="exact"/>
        <w:ind w:left="0" w:leftChars="0" w:firstLine="643" w:firstLineChars="200"/>
        <w:jc w:val="both"/>
        <w:textAlignment w:val="auto"/>
        <w:rPr>
          <w:rFonts w:hint="default" w:ascii="Times New Roman" w:hAnsi="Times New Roman" w:eastAsia="仿宋_GB2312" w:cs="Times New Roman"/>
          <w:b/>
          <w:bCs/>
          <w:color w:val="auto"/>
          <w:kern w:val="2"/>
          <w:sz w:val="32"/>
          <w:szCs w:val="32"/>
          <w:highlight w:val="none"/>
          <w:lang w:val="en-US" w:eastAsia="zh-CN" w:bidi="ar-SA"/>
        </w:rPr>
      </w:pPr>
      <w:r>
        <w:rPr>
          <w:rFonts w:hint="default" w:ascii="Times New Roman" w:hAnsi="Times New Roman" w:eastAsia="仿宋_GB2312" w:cs="Times New Roman"/>
          <w:b/>
          <w:bCs/>
          <w:color w:val="auto"/>
          <w:kern w:val="2"/>
          <w:sz w:val="32"/>
          <w:szCs w:val="32"/>
          <w:highlight w:val="none"/>
          <w:lang w:val="en-US" w:eastAsia="zh-CN" w:bidi="ar-SA"/>
        </w:rPr>
        <w:t>2.目标管理法</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目标管理法是根据项目的目标和计划，制定具体的绩效指标，并在项目实施过程中进行持续跟踪和评估的一种方法。这种方法可以确保项目的实施始终围绕目标进行，及时发现和解决存在的问题，确保项目目标的实现。事业单位可以根据项目的实际情况，制定合适的绩效指标，如项目进度、质量、成本等，并进行定期评估。</w:t>
      </w:r>
    </w:p>
    <w:p>
      <w:pPr>
        <w:keepNext w:val="0"/>
        <w:keepLines w:val="0"/>
        <w:pageBreakBefore w:val="0"/>
        <w:widowControl w:val="0"/>
        <w:kinsoku/>
        <w:wordWrap/>
        <w:overflowPunct/>
        <w:topLinePunct w:val="0"/>
        <w:autoSpaceDE/>
        <w:autoSpaceDN/>
        <w:bidi w:val="0"/>
        <w:spacing w:line="580" w:lineRule="exact"/>
        <w:ind w:left="0" w:leftChars="0" w:firstLine="643" w:firstLineChars="200"/>
        <w:jc w:val="both"/>
        <w:textAlignment w:val="auto"/>
        <w:rPr>
          <w:rFonts w:hint="default" w:ascii="Times New Roman" w:hAnsi="Times New Roman" w:eastAsia="仿宋_GB2312" w:cs="Times New Roman"/>
          <w:b/>
          <w:bCs/>
          <w:color w:val="auto"/>
          <w:kern w:val="2"/>
          <w:sz w:val="32"/>
          <w:szCs w:val="32"/>
          <w:highlight w:val="none"/>
          <w:lang w:val="en-US" w:eastAsia="zh-CN" w:bidi="ar-SA"/>
        </w:rPr>
      </w:pPr>
      <w:r>
        <w:rPr>
          <w:rFonts w:hint="default" w:ascii="Times New Roman" w:hAnsi="Times New Roman" w:eastAsia="仿宋_GB2312" w:cs="Times New Roman"/>
          <w:b/>
          <w:bCs/>
          <w:color w:val="auto"/>
          <w:kern w:val="2"/>
          <w:sz w:val="32"/>
          <w:szCs w:val="32"/>
          <w:highlight w:val="none"/>
          <w:lang w:val="en-US" w:eastAsia="zh-CN" w:bidi="ar-SA"/>
        </w:rPr>
        <w:t>3.效益分析法</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效益分析法是从项目的经济效益、社会效益、生态效益等方面出发，对项目绩效进行全面评估的一种方法。这种方法可以综合考虑项目的多个方面，确保项目的综合效益最大化。事业单位可以根据项目的实际情况，制定相应的效益评估指标，并进行定期评估和分析。</w:t>
      </w:r>
    </w:p>
    <w:p>
      <w:pPr>
        <w:keepNext w:val="0"/>
        <w:keepLines w:val="0"/>
        <w:pageBreakBefore w:val="0"/>
        <w:widowControl w:val="0"/>
        <w:numPr>
          <w:ilvl w:val="0"/>
          <w:numId w:val="2"/>
        </w:numPr>
        <w:kinsoku/>
        <w:wordWrap/>
        <w:overflowPunct/>
        <w:topLinePunct w:val="0"/>
        <w:autoSpaceDE/>
        <w:autoSpaceDN/>
        <w:bidi w:val="0"/>
        <w:spacing w:line="580" w:lineRule="exact"/>
        <w:ind w:left="0" w:leftChars="0" w:right="0" w:firstLine="643" w:firstLineChars="200"/>
        <w:jc w:val="both"/>
        <w:textAlignment w:val="auto"/>
        <w:outlineLvl w:val="9"/>
        <w:rPr>
          <w:rFonts w:hint="default" w:ascii="Times New Roman" w:hAnsi="Times New Roman" w:eastAsia="楷体" w:cs="Times New Roman"/>
          <w:b/>
          <w:bCs/>
          <w:color w:val="auto"/>
          <w:sz w:val="32"/>
          <w:szCs w:val="32"/>
          <w:highlight w:val="none"/>
        </w:rPr>
      </w:pPr>
      <w:r>
        <w:rPr>
          <w:rFonts w:hint="default" w:ascii="Times New Roman" w:hAnsi="Times New Roman" w:eastAsia="楷体" w:cs="Times New Roman"/>
          <w:b/>
          <w:bCs/>
          <w:color w:val="auto"/>
          <w:sz w:val="32"/>
          <w:szCs w:val="32"/>
          <w:highlight w:val="none"/>
          <w:lang w:val="en-US" w:eastAsia="zh-CN"/>
        </w:rPr>
        <w:t>自评工作</w:t>
      </w:r>
      <w:r>
        <w:rPr>
          <w:rFonts w:hint="default" w:ascii="Times New Roman" w:hAnsi="Times New Roman" w:eastAsia="楷体" w:cs="Times New Roman"/>
          <w:b/>
          <w:bCs/>
          <w:color w:val="auto"/>
          <w:sz w:val="32"/>
          <w:szCs w:val="32"/>
          <w:highlight w:val="none"/>
        </w:rPr>
        <w:t>过程</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依据部门职能定位及各项工作职责的履行状况，进行综合考量与评估，以确定部门整体支出的综合绩效评价等级，并赋予相应的总得分。具体自评过程如下：</w:t>
      </w:r>
    </w:p>
    <w:p>
      <w:pPr>
        <w:keepNext w:val="0"/>
        <w:keepLines w:val="0"/>
        <w:pageBreakBefore w:val="0"/>
        <w:widowControl w:val="0"/>
        <w:kinsoku/>
        <w:wordWrap/>
        <w:overflowPunct/>
        <w:topLinePunct w:val="0"/>
        <w:autoSpaceDE/>
        <w:autoSpaceDN/>
        <w:bidi w:val="0"/>
        <w:spacing w:line="580" w:lineRule="exact"/>
        <w:ind w:left="0" w:leftChars="0" w:firstLine="643"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bCs/>
          <w:color w:val="auto"/>
          <w:kern w:val="2"/>
          <w:sz w:val="32"/>
          <w:szCs w:val="32"/>
          <w:highlight w:val="none"/>
          <w:lang w:val="en-US" w:eastAsia="zh-CN" w:bidi="ar-SA"/>
        </w:rPr>
        <w:t>1.实施评价阶段。</w:t>
      </w:r>
      <w:r>
        <w:rPr>
          <w:rFonts w:hint="default" w:ascii="Times New Roman" w:hAnsi="Times New Roman" w:eastAsia="仿宋_GB2312" w:cs="Times New Roman"/>
          <w:b w:val="0"/>
          <w:bCs w:val="0"/>
          <w:color w:val="auto"/>
          <w:kern w:val="2"/>
          <w:sz w:val="32"/>
          <w:szCs w:val="32"/>
          <w:highlight w:val="none"/>
          <w:lang w:val="en-US" w:eastAsia="zh-CN" w:bidi="ar-SA"/>
        </w:rPr>
        <w:t>参照202</w:t>
      </w:r>
      <w:r>
        <w:rPr>
          <w:rFonts w:hint="eastAsia" w:ascii="Times New Roman" w:hAnsi="Times New Roman" w:eastAsia="仿宋_GB2312" w:cs="Times New Roman"/>
          <w:b w:val="0"/>
          <w:bCs w:val="0"/>
          <w:color w:val="auto"/>
          <w:kern w:val="2"/>
          <w:sz w:val="32"/>
          <w:szCs w:val="32"/>
          <w:highlight w:val="none"/>
          <w:lang w:val="en-US" w:eastAsia="zh-CN" w:bidi="ar-SA"/>
        </w:rPr>
        <w:t>5</w:t>
      </w:r>
      <w:r>
        <w:rPr>
          <w:rFonts w:hint="default" w:ascii="Times New Roman" w:hAnsi="Times New Roman" w:eastAsia="仿宋_GB2312" w:cs="Times New Roman"/>
          <w:b w:val="0"/>
          <w:bCs w:val="0"/>
          <w:color w:val="auto"/>
          <w:kern w:val="2"/>
          <w:sz w:val="32"/>
          <w:szCs w:val="32"/>
          <w:highlight w:val="none"/>
          <w:lang w:val="en-US" w:eastAsia="zh-CN" w:bidi="ar-SA"/>
        </w:rPr>
        <w:t>年度预算公开中绩效文本的相关内容，明确界定部门总体绩效目标与分项绩效目标、指标。由相关工作科室及其主管领导共同组建自评工作组，负责全面收集、系统整理、细致分类及深入分析被评价项目的各项数据资料。在此基础上，工作组需核实并确认基础数据的完整性、真实性，以及指标口径的一致性，确保评价基础坚实可靠。</w:t>
      </w:r>
    </w:p>
    <w:p>
      <w:pPr>
        <w:keepNext w:val="0"/>
        <w:keepLines w:val="0"/>
        <w:pageBreakBefore w:val="0"/>
        <w:widowControl w:val="0"/>
        <w:kinsoku/>
        <w:wordWrap/>
        <w:overflowPunct/>
        <w:topLinePunct w:val="0"/>
        <w:autoSpaceDE/>
        <w:autoSpaceDN/>
        <w:bidi w:val="0"/>
        <w:spacing w:line="580" w:lineRule="exact"/>
        <w:ind w:left="0" w:leftChars="0" w:firstLine="643"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bCs/>
          <w:color w:val="auto"/>
          <w:kern w:val="2"/>
          <w:sz w:val="32"/>
          <w:szCs w:val="32"/>
          <w:highlight w:val="none"/>
          <w:lang w:val="en-US" w:eastAsia="zh-CN" w:bidi="ar-SA"/>
        </w:rPr>
        <w:t>2.综合评价阶段。</w:t>
      </w:r>
      <w:r>
        <w:rPr>
          <w:rFonts w:hint="default" w:ascii="Times New Roman" w:hAnsi="Times New Roman" w:eastAsia="仿宋_GB2312" w:cs="Times New Roman"/>
          <w:b w:val="0"/>
          <w:bCs w:val="0"/>
          <w:color w:val="auto"/>
          <w:kern w:val="2"/>
          <w:sz w:val="32"/>
          <w:szCs w:val="32"/>
          <w:highlight w:val="none"/>
          <w:lang w:val="en-US" w:eastAsia="zh-CN" w:bidi="ar-SA"/>
        </w:rPr>
        <w:t>自评工作组依据既定的评价指标与标准，对项目绩效进行全面而深入的评判。遵循评价标准和评价方法，逐项进行细致评定，同时深入探究年初设定的绩效信息。结合部门职能定位及各项工作的实际履行情况，进行综合考量，依据实际情况给出总得分，并据此形成综合绩效评价等级。评价过程中，每位自评工作组成员均需对评价结果签字确认，以强化责任意识，确保评价结果的独立性、客观性和公正性。</w:t>
      </w:r>
    </w:p>
    <w:p>
      <w:pPr>
        <w:keepNext w:val="0"/>
        <w:keepLines w:val="0"/>
        <w:pageBreakBefore w:val="0"/>
        <w:widowControl w:val="0"/>
        <w:kinsoku/>
        <w:wordWrap/>
        <w:overflowPunct/>
        <w:topLinePunct w:val="0"/>
        <w:autoSpaceDE/>
        <w:autoSpaceDN/>
        <w:bidi w:val="0"/>
        <w:spacing w:line="580" w:lineRule="exact"/>
        <w:ind w:left="0" w:leftChars="0" w:firstLine="643"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bCs/>
          <w:color w:val="auto"/>
          <w:kern w:val="2"/>
          <w:sz w:val="32"/>
          <w:szCs w:val="32"/>
          <w:highlight w:val="none"/>
          <w:lang w:val="en-US" w:eastAsia="zh-CN" w:bidi="ar-SA"/>
        </w:rPr>
        <w:t>3.撰写报告阶段。</w:t>
      </w:r>
      <w:r>
        <w:rPr>
          <w:rFonts w:hint="default" w:ascii="Times New Roman" w:hAnsi="Times New Roman" w:eastAsia="仿宋_GB2312" w:cs="Times New Roman"/>
          <w:b w:val="0"/>
          <w:bCs w:val="0"/>
          <w:color w:val="auto"/>
          <w:kern w:val="2"/>
          <w:sz w:val="32"/>
          <w:szCs w:val="32"/>
          <w:highlight w:val="none"/>
          <w:lang w:val="en-US" w:eastAsia="zh-CN" w:bidi="ar-SA"/>
        </w:rPr>
        <w:t>基于前期工作的积累，自评工作组遵循统一规范的格式要求，撰写了本部门整体支出绩效自评工作报告的文字部分。报告全面回顾了自评工作的流程、方法、结果及建议，为后续的绩效改进与提升提供了有力参考。</w:t>
      </w:r>
    </w:p>
    <w:p>
      <w:pPr>
        <w:keepNext w:val="0"/>
        <w:keepLines w:val="0"/>
        <w:pageBreakBefore w:val="0"/>
        <w:widowControl w:val="0"/>
        <w:kinsoku/>
        <w:wordWrap/>
        <w:overflowPunct/>
        <w:topLinePunct w:val="0"/>
        <w:autoSpaceDE/>
        <w:autoSpaceDN/>
        <w:bidi w:val="0"/>
        <w:spacing w:line="580" w:lineRule="exact"/>
        <w:textAlignment w:val="auto"/>
        <w:rPr>
          <w:rFonts w:hint="default" w:ascii="Times New Roman" w:hAnsi="Times New Roman" w:eastAsia="黑体" w:cs="Times New Roman"/>
          <w:b/>
          <w:bCs/>
          <w:sz w:val="32"/>
          <w:szCs w:val="32"/>
          <w:highlight w:val="none"/>
        </w:rPr>
      </w:pPr>
      <w:r>
        <w:rPr>
          <w:rFonts w:hint="eastAsia" w:ascii="黑体" w:hAnsi="黑体" w:eastAsia="黑体"/>
          <w:sz w:val="32"/>
          <w:szCs w:val="32"/>
        </w:rPr>
        <w:t xml:space="preserve">  </w:t>
      </w:r>
      <w:r>
        <w:rPr>
          <w:rFonts w:hint="eastAsia" w:ascii="黑体" w:hAnsi="黑体" w:eastAsia="黑体"/>
          <w:sz w:val="32"/>
          <w:szCs w:val="32"/>
          <w:highlight w:val="none"/>
        </w:rPr>
        <w:t xml:space="preserve">  </w:t>
      </w:r>
      <w:r>
        <w:rPr>
          <w:rFonts w:hint="default" w:ascii="Times New Roman" w:hAnsi="Times New Roman" w:eastAsia="黑体" w:cs="Times New Roman"/>
          <w:sz w:val="32"/>
          <w:szCs w:val="32"/>
          <w:highlight w:val="none"/>
        </w:rPr>
        <w:t>三、部门整体支出绩效目标实现情况及指标分析</w:t>
      </w:r>
    </w:p>
    <w:p>
      <w:pPr>
        <w:keepNext w:val="0"/>
        <w:keepLines w:val="0"/>
        <w:pageBreakBefore w:val="0"/>
        <w:widowControl w:val="0"/>
        <w:numPr>
          <w:ilvl w:val="0"/>
          <w:numId w:val="3"/>
        </w:numPr>
        <w:kinsoku/>
        <w:wordWrap/>
        <w:overflowPunct/>
        <w:topLinePunct w:val="0"/>
        <w:autoSpaceDE/>
        <w:autoSpaceDN/>
        <w:bidi w:val="0"/>
        <w:spacing w:line="580" w:lineRule="exact"/>
        <w:ind w:firstLine="643" w:firstLineChars="200"/>
        <w:textAlignment w:val="auto"/>
        <w:rPr>
          <w:rFonts w:hint="default" w:ascii="Times New Roman" w:hAnsi="Times New Roman" w:eastAsia="楷体" w:cs="Times New Roman"/>
          <w:b/>
          <w:bCs w:val="0"/>
          <w:sz w:val="32"/>
          <w:szCs w:val="32"/>
          <w:highlight w:val="none"/>
        </w:rPr>
      </w:pPr>
      <w:r>
        <w:rPr>
          <w:rFonts w:hint="default" w:ascii="Times New Roman" w:hAnsi="Times New Roman" w:eastAsia="楷体" w:cs="Times New Roman"/>
          <w:b/>
          <w:bCs w:val="0"/>
          <w:sz w:val="32"/>
          <w:szCs w:val="32"/>
          <w:highlight w:val="none"/>
        </w:rPr>
        <w:t>总体绩效目标实现情况</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2025年轨道办将紧紧围绕市委、市政府中心工作，践行“地铁让城市更美好”的发展理念，聚焦主责主业，确保了轨道交通建设有序推进，做好了轨道交通在建工程的质量、进度监管工作；推进我市轨道交通第二期建设规划调整的报批工作，全力跑办生态环境部，取得建设规划环境影响跟踪评价报告审查意见；结合国土空间详细规划，编制完成已运营线路、在建线路和规划线路共约490公里线路的用地控制性详细规划，通过了专家审查；根据《城市轨道交通运营安全评估管理办法》和《城市轨道交通服务质量评价规范》文件，市轨道办开展了服务质量评价工作；及时拨付了运营亏损补贴1亿元，保障了我市轨道交通安全有序运营，实现了总体绩效目标；全年进行了4次定期季度考核和1次年度绩效评价，为支付可行性缺口补助提供了依据，且准确计算并发放了缺口补助，保障了管廊公司正常运营，无安全事故。</w:t>
      </w:r>
    </w:p>
    <w:p>
      <w:pPr>
        <w:keepNext w:val="0"/>
        <w:keepLines w:val="0"/>
        <w:pageBreakBefore w:val="0"/>
        <w:widowControl w:val="0"/>
        <w:kinsoku/>
        <w:wordWrap/>
        <w:overflowPunct/>
        <w:topLinePunct w:val="0"/>
        <w:autoSpaceDE/>
        <w:autoSpaceDN/>
        <w:bidi w:val="0"/>
        <w:spacing w:line="580" w:lineRule="exact"/>
        <w:textAlignment w:val="auto"/>
        <w:rPr>
          <w:rFonts w:hint="default" w:ascii="Times New Roman" w:hAnsi="Times New Roman" w:eastAsia="楷体" w:cs="Times New Roman"/>
          <w:bCs/>
          <w:sz w:val="32"/>
          <w:szCs w:val="32"/>
          <w:highlight w:val="none"/>
        </w:rPr>
      </w:pPr>
      <w:r>
        <w:rPr>
          <w:rFonts w:hint="default" w:ascii="Times New Roman" w:hAnsi="Times New Roman" w:eastAsia="仿宋" w:cs="Times New Roman"/>
          <w:b/>
          <w:bCs/>
          <w:sz w:val="32"/>
          <w:szCs w:val="32"/>
          <w:highlight w:val="none"/>
        </w:rPr>
        <w:t xml:space="preserve">    </w:t>
      </w:r>
      <w:r>
        <w:rPr>
          <w:rFonts w:hint="default" w:ascii="Times New Roman" w:hAnsi="Times New Roman" w:eastAsia="楷体" w:cs="Times New Roman"/>
          <w:b/>
          <w:bCs w:val="0"/>
          <w:sz w:val="32"/>
          <w:szCs w:val="32"/>
          <w:highlight w:val="none"/>
        </w:rPr>
        <w:t>（二）分项绩效目标实现情况及指标分析</w:t>
      </w:r>
    </w:p>
    <w:p>
      <w:pPr>
        <w:keepNext w:val="0"/>
        <w:keepLines w:val="0"/>
        <w:pageBreakBefore w:val="0"/>
        <w:widowControl w:val="0"/>
        <w:kinsoku/>
        <w:wordWrap/>
        <w:overflowPunct/>
        <w:topLinePunct w:val="0"/>
        <w:autoSpaceDE/>
        <w:autoSpaceDN/>
        <w:bidi w:val="0"/>
        <w:spacing w:line="580" w:lineRule="exact"/>
        <w:ind w:left="0" w:leftChars="0" w:firstLine="643" w:firstLineChars="200"/>
        <w:jc w:val="both"/>
        <w:textAlignment w:val="auto"/>
        <w:rPr>
          <w:rFonts w:hint="default" w:ascii="Times New Roman" w:hAnsi="Times New Roman" w:eastAsia="仿宋_GB2312" w:cs="Times New Roman"/>
          <w:b/>
          <w:bCs/>
          <w:color w:val="auto"/>
          <w:kern w:val="2"/>
          <w:sz w:val="32"/>
          <w:szCs w:val="32"/>
          <w:highlight w:val="none"/>
          <w:lang w:val="en-US" w:eastAsia="zh-CN" w:bidi="ar-SA"/>
        </w:rPr>
      </w:pPr>
      <w:r>
        <w:rPr>
          <w:rFonts w:hint="default" w:ascii="Times New Roman" w:hAnsi="Times New Roman" w:eastAsia="仿宋_GB2312" w:cs="Times New Roman"/>
          <w:b/>
          <w:bCs/>
          <w:color w:val="auto"/>
          <w:kern w:val="2"/>
          <w:sz w:val="32"/>
          <w:szCs w:val="32"/>
          <w:highlight w:val="none"/>
          <w:lang w:val="en-US" w:eastAsia="zh-CN" w:bidi="ar-SA"/>
        </w:rPr>
        <w:t>1、保障轨道交通建设有序推进</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绩效目标实现情况：保证了工程建设顺利实施，确保了轨道交通建设有序推进。</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绩效指标实现情况：保证了4、5、6号线一期、1号线三期、1号线二期北段工程建设，工程质量合格率为100%，按照年度预算和工程进度拨付了轨道交通项目资本金。</w:t>
      </w:r>
    </w:p>
    <w:p>
      <w:pPr>
        <w:keepNext w:val="0"/>
        <w:keepLines w:val="0"/>
        <w:pageBreakBefore w:val="0"/>
        <w:widowControl w:val="0"/>
        <w:kinsoku/>
        <w:wordWrap/>
        <w:overflowPunct/>
        <w:topLinePunct w:val="0"/>
        <w:autoSpaceDE/>
        <w:autoSpaceDN/>
        <w:bidi w:val="0"/>
        <w:spacing w:line="580" w:lineRule="exact"/>
        <w:ind w:left="0" w:leftChars="0" w:firstLine="643" w:firstLineChars="200"/>
        <w:jc w:val="both"/>
        <w:textAlignment w:val="auto"/>
        <w:rPr>
          <w:rFonts w:hint="default" w:ascii="Times New Roman" w:hAnsi="Times New Roman" w:eastAsia="仿宋_GB2312" w:cs="Times New Roman"/>
          <w:b/>
          <w:bCs/>
          <w:color w:val="auto"/>
          <w:kern w:val="2"/>
          <w:sz w:val="32"/>
          <w:szCs w:val="32"/>
          <w:highlight w:val="none"/>
          <w:lang w:val="en-US" w:eastAsia="zh-CN" w:bidi="ar-SA"/>
        </w:rPr>
      </w:pPr>
      <w:r>
        <w:rPr>
          <w:rFonts w:hint="default" w:ascii="Times New Roman" w:hAnsi="Times New Roman" w:eastAsia="仿宋_GB2312" w:cs="Times New Roman"/>
          <w:b/>
          <w:bCs/>
          <w:color w:val="auto"/>
          <w:kern w:val="2"/>
          <w:sz w:val="32"/>
          <w:szCs w:val="32"/>
          <w:highlight w:val="none"/>
          <w:lang w:val="en-US" w:eastAsia="zh-CN" w:bidi="ar-SA"/>
        </w:rPr>
        <w:t>2、加快推进第二期建设规划调整报批</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绩效目标实现情况：在第二期建设规划调整通过省级初审后，我办全力跑办生态环境部，推动我市城市轨道交通建设规划环境影响跟踪评价报告取得生态环境部审查意见。</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指标实现情况：（1）我办多次跑办国家生态环境部等审批部门，推进第二期建设规划调整环评审查工作，取得生态环境部对城市轨道交通建设规划环境影响跟踪评价报告的审查意见。（2）我办紧盯二期工程进度，同时多次跑办国家发改委、住建部，沟通第二期建设规划调整申报事宜，并按要求优化完善建设规划报批方案。</w:t>
      </w:r>
    </w:p>
    <w:p>
      <w:pPr>
        <w:keepNext w:val="0"/>
        <w:keepLines w:val="0"/>
        <w:pageBreakBefore w:val="0"/>
        <w:widowControl w:val="0"/>
        <w:kinsoku/>
        <w:wordWrap/>
        <w:overflowPunct/>
        <w:topLinePunct w:val="0"/>
        <w:autoSpaceDE/>
        <w:autoSpaceDN/>
        <w:bidi w:val="0"/>
        <w:spacing w:line="580" w:lineRule="exact"/>
        <w:ind w:left="0" w:leftChars="0" w:firstLine="643" w:firstLineChars="200"/>
        <w:jc w:val="both"/>
        <w:textAlignment w:val="auto"/>
        <w:rPr>
          <w:rFonts w:hint="default" w:ascii="Times New Roman" w:hAnsi="Times New Roman" w:eastAsia="仿宋_GB2312" w:cs="Times New Roman"/>
          <w:b/>
          <w:bCs/>
          <w:color w:val="auto"/>
          <w:kern w:val="2"/>
          <w:sz w:val="32"/>
          <w:szCs w:val="32"/>
          <w:highlight w:val="none"/>
          <w:lang w:val="en-US" w:eastAsia="zh-CN" w:bidi="ar-SA"/>
        </w:rPr>
      </w:pPr>
      <w:r>
        <w:rPr>
          <w:rFonts w:hint="default" w:ascii="Times New Roman" w:hAnsi="Times New Roman" w:eastAsia="仿宋_GB2312" w:cs="Times New Roman"/>
          <w:b/>
          <w:bCs/>
          <w:color w:val="auto"/>
          <w:kern w:val="2"/>
          <w:sz w:val="32"/>
          <w:szCs w:val="32"/>
          <w:highlight w:val="none"/>
          <w:lang w:val="en-US" w:eastAsia="zh-CN" w:bidi="ar-SA"/>
        </w:rPr>
        <w:t>3、编制线网用地控制性详细规划</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目标实现情况：我办组织设计单位结合国土空间详细规划的编制，优化了轨道交通线网局部路由、稳定了车站位置，对线网区间和车站用地控制标准进行了研究，编制完成了包括已运营线路、在建线路和规划线路共约490公里线路的用地控制性详细规划等7本报告。</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指标实现情况：（1）我办完成了资料收集整理，将已运营和在建的轨道交通一期和二期线路约140公里的保护区纳入了线网控规。（2）我办对已控的6条线路尚未批复建设部分约90公里的区间、站点、车辆场段等用地控制方案进行了适当调整。（3）我办研究了规划新增的约260公里线路的路由、设站位置和系统制式，提出了线路区间、站点、车辆场段等用地控制方案，编制完成了包括已运营线路、在建线路和规划线路共约490公里线路的用地控制性详细规划等7本报告。</w:t>
      </w:r>
    </w:p>
    <w:p>
      <w:pPr>
        <w:keepNext w:val="0"/>
        <w:keepLines w:val="0"/>
        <w:pageBreakBefore w:val="0"/>
        <w:widowControl w:val="0"/>
        <w:kinsoku/>
        <w:wordWrap/>
        <w:overflowPunct/>
        <w:topLinePunct w:val="0"/>
        <w:autoSpaceDE/>
        <w:autoSpaceDN/>
        <w:bidi w:val="0"/>
        <w:spacing w:line="580" w:lineRule="exact"/>
        <w:ind w:left="0" w:leftChars="0" w:firstLine="643" w:firstLineChars="200"/>
        <w:jc w:val="both"/>
        <w:textAlignment w:val="auto"/>
        <w:rPr>
          <w:rFonts w:hint="default" w:ascii="Times New Roman" w:hAnsi="Times New Roman" w:eastAsia="仿宋_GB2312" w:cs="Times New Roman"/>
          <w:b/>
          <w:bCs/>
          <w:color w:val="auto"/>
          <w:kern w:val="2"/>
          <w:sz w:val="32"/>
          <w:szCs w:val="32"/>
          <w:highlight w:val="none"/>
          <w:lang w:val="en-US" w:eastAsia="zh-CN" w:bidi="ar-SA"/>
        </w:rPr>
      </w:pPr>
      <w:r>
        <w:rPr>
          <w:rFonts w:hint="default" w:ascii="Times New Roman" w:hAnsi="Times New Roman" w:eastAsia="仿宋_GB2312" w:cs="Times New Roman"/>
          <w:b/>
          <w:bCs/>
          <w:color w:val="auto"/>
          <w:kern w:val="2"/>
          <w:sz w:val="32"/>
          <w:szCs w:val="32"/>
          <w:highlight w:val="none"/>
          <w:lang w:val="en-US" w:eastAsia="zh-CN" w:bidi="ar-SA"/>
        </w:rPr>
        <w:t>4、完成城市轨道交通服务质量评价</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绩效目标实现情况：按照城市轨道交通服务质量评价规范，从乘客满意度、服务保障能力、运营服务关键指标评价三方面对我市轨道交通进行了年度服务质量评价，实现了绩效目标。</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指标实现情况：对已开通运营的地铁1、2、3号线的乘客，发放调查问卷1308份；完成质量合格率100%；评价完成时间1月份；项目预算支出8.1万元；评价工作质量和运营服务水平较上年度有了显著提升；轨道交通线网客运量18934.27万人次；服务对象的满意度96.67%；所有绩效指标完成情况均等于或优于预期绩效指标，自评得分99分，自评结论为优秀。</w:t>
      </w:r>
    </w:p>
    <w:p>
      <w:pPr>
        <w:keepNext w:val="0"/>
        <w:keepLines w:val="0"/>
        <w:pageBreakBefore w:val="0"/>
        <w:widowControl w:val="0"/>
        <w:kinsoku/>
        <w:wordWrap/>
        <w:overflowPunct/>
        <w:topLinePunct w:val="0"/>
        <w:autoSpaceDE/>
        <w:autoSpaceDN/>
        <w:bidi w:val="0"/>
        <w:spacing w:line="580" w:lineRule="exact"/>
        <w:ind w:left="0" w:leftChars="0" w:firstLine="643" w:firstLineChars="200"/>
        <w:jc w:val="both"/>
        <w:textAlignment w:val="auto"/>
        <w:rPr>
          <w:rFonts w:hint="default" w:ascii="Times New Roman" w:hAnsi="Times New Roman" w:eastAsia="仿宋_GB2312" w:cs="Times New Roman"/>
          <w:b/>
          <w:bCs/>
          <w:color w:val="auto"/>
          <w:kern w:val="2"/>
          <w:sz w:val="32"/>
          <w:szCs w:val="32"/>
          <w:highlight w:val="none"/>
          <w:lang w:val="en-US" w:eastAsia="zh-CN" w:bidi="ar-SA"/>
        </w:rPr>
      </w:pPr>
      <w:r>
        <w:rPr>
          <w:rFonts w:hint="default" w:ascii="Times New Roman" w:hAnsi="Times New Roman" w:eastAsia="仿宋_GB2312" w:cs="Times New Roman"/>
          <w:b/>
          <w:bCs/>
          <w:color w:val="auto"/>
          <w:kern w:val="2"/>
          <w:sz w:val="32"/>
          <w:szCs w:val="32"/>
          <w:highlight w:val="none"/>
          <w:lang w:val="en-US" w:eastAsia="zh-CN" w:bidi="ar-SA"/>
        </w:rPr>
        <w:t>5、保障轨道交通正常运营</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绩效目标实现情况：2025年5月和7月分别拨付了0.5亿元运营亏损资金，合计共1亿元，保障了市轨道公司工作正常开展，维持轨道交通的有序性，实现了绩效目标。</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指标实现情况：线网行驶车公里831.08万列公里；列车运行图兑现率100%；列车正点率99.99%；线网客运量109476.86万人次公里；项目总预算10000万元；资金完成拨付时间7月份；预算执行率100%。所有绩效指标完成情况均等于或优于预期绩效指标，自评得分100分，自评结论为优秀。</w:t>
      </w:r>
    </w:p>
    <w:p>
      <w:pPr>
        <w:keepNext w:val="0"/>
        <w:keepLines w:val="0"/>
        <w:pageBreakBefore w:val="0"/>
        <w:widowControl w:val="0"/>
        <w:kinsoku/>
        <w:wordWrap/>
        <w:overflowPunct/>
        <w:topLinePunct w:val="0"/>
        <w:autoSpaceDE/>
        <w:autoSpaceDN/>
        <w:bidi w:val="0"/>
        <w:spacing w:line="580" w:lineRule="exact"/>
        <w:ind w:firstLine="643" w:firstLineChars="200"/>
        <w:textAlignment w:val="auto"/>
        <w:rPr>
          <w:rFonts w:hint="default" w:ascii="Times New Roman" w:hAnsi="Times New Roman" w:eastAsia="仿宋_GB2312" w:cs="Times New Roman"/>
          <w:b/>
          <w:bCs/>
          <w:color w:val="auto"/>
          <w:kern w:val="2"/>
          <w:sz w:val="32"/>
          <w:szCs w:val="32"/>
          <w:highlight w:val="none"/>
          <w:lang w:val="en-US" w:eastAsia="zh-CN" w:bidi="ar-SA"/>
        </w:rPr>
      </w:pPr>
      <w:r>
        <w:rPr>
          <w:rFonts w:hint="default" w:ascii="Times New Roman" w:hAnsi="Times New Roman" w:eastAsia="仿宋_GB2312" w:cs="Times New Roman"/>
          <w:b/>
          <w:bCs/>
          <w:color w:val="auto"/>
          <w:kern w:val="2"/>
          <w:sz w:val="32"/>
          <w:szCs w:val="32"/>
          <w:highlight w:val="none"/>
          <w:lang w:val="en-US" w:eastAsia="zh-CN" w:bidi="ar-SA"/>
        </w:rPr>
        <w:t>6、保障塔北路管廊项目正常运营</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绩效目标实现情况：全年准确计算并及时发放了缺口补助，保障管廊公司正常运营，无安全事故。</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指标实现情况：按照合同约定准确计算并向管廊公司全额发放了2025年度缺口补助，保障了塔北路地下管廊项目正常运营，全年安全运营，无事故，全年4次季度考核和1次绩效评价考核得分都在85分以上，每季度开展的对入廊单位服务满意度调查，满意度90%以上。</w:t>
      </w:r>
    </w:p>
    <w:p>
      <w:pPr>
        <w:keepNext w:val="0"/>
        <w:keepLines w:val="0"/>
        <w:pageBreakBefore w:val="0"/>
        <w:widowControl w:val="0"/>
        <w:kinsoku/>
        <w:wordWrap/>
        <w:overflowPunct/>
        <w:topLinePunct w:val="0"/>
        <w:autoSpaceDE/>
        <w:autoSpaceDN/>
        <w:bidi w:val="0"/>
        <w:spacing w:line="580" w:lineRule="exact"/>
        <w:ind w:firstLine="643" w:firstLineChars="200"/>
        <w:textAlignment w:val="auto"/>
        <w:rPr>
          <w:rFonts w:hint="default" w:ascii="Times New Roman" w:hAnsi="Times New Roman" w:eastAsia="仿宋_GB2312" w:cs="Times New Roman"/>
          <w:b/>
          <w:bCs/>
          <w:color w:val="auto"/>
          <w:kern w:val="2"/>
          <w:sz w:val="32"/>
          <w:szCs w:val="32"/>
          <w:highlight w:val="none"/>
          <w:lang w:val="en-US" w:eastAsia="zh-CN" w:bidi="ar-SA"/>
        </w:rPr>
      </w:pPr>
      <w:r>
        <w:rPr>
          <w:rFonts w:hint="default" w:ascii="Times New Roman" w:hAnsi="Times New Roman" w:eastAsia="仿宋_GB2312" w:cs="Times New Roman"/>
          <w:b/>
          <w:bCs/>
          <w:color w:val="auto"/>
          <w:kern w:val="2"/>
          <w:sz w:val="32"/>
          <w:szCs w:val="32"/>
          <w:highlight w:val="none"/>
          <w:lang w:val="en-US" w:eastAsia="zh-CN" w:bidi="ar-SA"/>
        </w:rPr>
        <w:t>7、完成塔北路地下管廊季度考核和年度绩效评价</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绩效目标实现情况：全年进行了4次定期季度考核和1次年度绩效评价，出具报告，为支付可行性缺口补助提供依据，为管廊项目安全高效运营提供科学指导。</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指标实现情况：全年对塔北路段地下综合管廊运营公司开展了进行4次季度定期季度和1次年度绩效评价考核工作，出具报告5份，通过考核为管廊项目安全高效运营提供了科学指导，全年安全平稳运营，对委托服务满意度调查，满意度90%以上。</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黑体" w:cs="Times New Roman"/>
          <w:sz w:val="32"/>
          <w:szCs w:val="32"/>
        </w:rPr>
      </w:pPr>
      <w:r>
        <w:rPr>
          <w:rFonts w:hint="eastAsia" w:ascii="Times New Roman" w:hAnsi="Times New Roman" w:eastAsia="黑体" w:cs="Times New Roman"/>
          <w:sz w:val="32"/>
          <w:szCs w:val="32"/>
        </w:rPr>
        <w:t>四、评价结论和评价等级</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eastAsia" w:ascii="Times New Roman" w:hAnsi="Times New Roman" w:eastAsia="仿宋_GB2312" w:cs="Times New Roman"/>
          <w:strike w:val="0"/>
          <w:dstrike w:val="0"/>
          <w:color w:val="auto"/>
          <w:sz w:val="32"/>
          <w:szCs w:val="32"/>
          <w:highlight w:val="none"/>
          <w:lang w:val="en-US" w:eastAsia="zh-CN"/>
        </w:rPr>
      </w:pPr>
      <w:r>
        <w:rPr>
          <w:rFonts w:hint="eastAsia" w:ascii="Times New Roman" w:hAnsi="Times New Roman" w:eastAsia="仿宋_GB2312" w:cs="Times New Roman"/>
          <w:strike w:val="0"/>
          <w:dstrike w:val="0"/>
          <w:color w:val="auto"/>
          <w:sz w:val="32"/>
          <w:szCs w:val="32"/>
          <w:highlight w:val="none"/>
          <w:lang w:val="en-US" w:eastAsia="zh-CN"/>
        </w:rPr>
        <w:t>根据部门职责定位和各项工作履职情况进行综合评价，给出总得分，满分100分，得出综合绩效评价等级。部门整体支出综合绩效评价分为4个等级：得分</w:t>
      </w:r>
      <w:r>
        <w:rPr>
          <w:rFonts w:hint="default" w:ascii="Times New Roman" w:hAnsi="Times New Roman" w:eastAsia="仿宋_GB2312" w:cs="Times New Roman"/>
          <w:strike w:val="0"/>
          <w:dstrike w:val="0"/>
          <w:color w:val="auto"/>
          <w:sz w:val="32"/>
          <w:szCs w:val="32"/>
          <w:highlight w:val="none"/>
          <w:lang w:val="en-US" w:eastAsia="zh-CN"/>
        </w:rPr>
        <w:t>≥</w:t>
      </w:r>
      <w:r>
        <w:rPr>
          <w:rFonts w:hint="eastAsia" w:ascii="Times New Roman" w:hAnsi="Times New Roman" w:eastAsia="仿宋_GB2312" w:cs="Times New Roman"/>
          <w:strike w:val="0"/>
          <w:dstrike w:val="0"/>
          <w:color w:val="auto"/>
          <w:sz w:val="32"/>
          <w:szCs w:val="32"/>
          <w:highlight w:val="none"/>
          <w:lang w:val="en-US" w:eastAsia="zh-CN"/>
        </w:rPr>
        <w:t>85分为优秀；75</w:t>
      </w:r>
      <w:r>
        <w:rPr>
          <w:rFonts w:hint="default" w:ascii="Times New Roman" w:hAnsi="Times New Roman" w:eastAsia="仿宋_GB2312" w:cs="Times New Roman"/>
          <w:strike w:val="0"/>
          <w:dstrike w:val="0"/>
          <w:color w:val="auto"/>
          <w:sz w:val="32"/>
          <w:szCs w:val="32"/>
          <w:highlight w:val="none"/>
          <w:lang w:val="en-US" w:eastAsia="zh-CN"/>
        </w:rPr>
        <w:t>≤</w:t>
      </w:r>
      <w:r>
        <w:rPr>
          <w:rFonts w:hint="eastAsia" w:ascii="Times New Roman" w:hAnsi="Times New Roman" w:eastAsia="仿宋_GB2312" w:cs="Times New Roman"/>
          <w:strike w:val="0"/>
          <w:dstrike w:val="0"/>
          <w:color w:val="auto"/>
          <w:sz w:val="32"/>
          <w:szCs w:val="32"/>
          <w:highlight w:val="none"/>
          <w:lang w:val="en-US" w:eastAsia="zh-CN"/>
        </w:rPr>
        <w:t>得分＜85分为良好；60</w:t>
      </w:r>
      <w:r>
        <w:rPr>
          <w:rFonts w:hint="default" w:ascii="Times New Roman" w:hAnsi="Times New Roman" w:eastAsia="仿宋_GB2312" w:cs="Times New Roman"/>
          <w:strike w:val="0"/>
          <w:dstrike w:val="0"/>
          <w:color w:val="auto"/>
          <w:sz w:val="32"/>
          <w:szCs w:val="32"/>
          <w:highlight w:val="none"/>
          <w:lang w:val="en-US" w:eastAsia="zh-CN"/>
        </w:rPr>
        <w:t>≤</w:t>
      </w:r>
      <w:r>
        <w:rPr>
          <w:rFonts w:hint="eastAsia" w:ascii="Times New Roman" w:hAnsi="Times New Roman" w:eastAsia="仿宋_GB2312" w:cs="Times New Roman"/>
          <w:strike w:val="0"/>
          <w:dstrike w:val="0"/>
          <w:color w:val="auto"/>
          <w:sz w:val="32"/>
          <w:szCs w:val="32"/>
          <w:highlight w:val="none"/>
          <w:lang w:val="en-US" w:eastAsia="zh-CN"/>
        </w:rPr>
        <w:t>得分＜75分为一般；得分＜60分为较差。</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strike w:val="0"/>
          <w:dstrike w:val="0"/>
          <w:color w:val="auto"/>
          <w:sz w:val="32"/>
          <w:szCs w:val="32"/>
          <w:highlight w:val="none"/>
          <w:lang w:val="en-US" w:eastAsia="zh-CN"/>
        </w:rPr>
      </w:pPr>
      <w:bookmarkStart w:id="0" w:name="OLE_LINK3"/>
      <w:r>
        <w:rPr>
          <w:rFonts w:hint="default" w:ascii="Times New Roman" w:hAnsi="Times New Roman" w:eastAsia="仿宋_GB2312" w:cs="Times New Roman"/>
          <w:strike w:val="0"/>
          <w:dstrike w:val="0"/>
          <w:color w:val="auto"/>
          <w:sz w:val="32"/>
          <w:szCs w:val="32"/>
          <w:highlight w:val="none"/>
          <w:lang w:val="en-US" w:eastAsia="zh-CN"/>
        </w:rPr>
        <w:t>202</w:t>
      </w:r>
      <w:r>
        <w:rPr>
          <w:rFonts w:hint="eastAsia" w:ascii="Times New Roman" w:hAnsi="Times New Roman" w:eastAsia="仿宋_GB2312" w:cs="Times New Roman"/>
          <w:strike w:val="0"/>
          <w:dstrike w:val="0"/>
          <w:color w:val="auto"/>
          <w:sz w:val="32"/>
          <w:szCs w:val="32"/>
          <w:highlight w:val="none"/>
          <w:lang w:val="en-US" w:eastAsia="zh-CN"/>
        </w:rPr>
        <w:t>5</w:t>
      </w:r>
      <w:r>
        <w:rPr>
          <w:rFonts w:hint="default" w:ascii="Times New Roman" w:hAnsi="Times New Roman" w:eastAsia="仿宋_GB2312" w:cs="Times New Roman"/>
          <w:strike w:val="0"/>
          <w:dstrike w:val="0"/>
          <w:color w:val="auto"/>
          <w:sz w:val="32"/>
          <w:szCs w:val="32"/>
          <w:highlight w:val="none"/>
          <w:lang w:val="en-US" w:eastAsia="zh-CN"/>
        </w:rPr>
        <w:t>年我办财政调整预算数</w:t>
      </w:r>
      <w:r>
        <w:rPr>
          <w:rFonts w:hint="eastAsia" w:ascii="Times New Roman" w:hAnsi="Times New Roman" w:eastAsia="仿宋_GB2312" w:cs="Times New Roman"/>
          <w:strike w:val="0"/>
          <w:dstrike w:val="0"/>
          <w:color w:val="auto"/>
          <w:sz w:val="32"/>
          <w:szCs w:val="32"/>
          <w:highlight w:val="none"/>
          <w:lang w:val="en-US" w:eastAsia="zh-CN"/>
        </w:rPr>
        <w:t>为</w:t>
      </w:r>
      <w:r>
        <w:rPr>
          <w:rFonts w:hint="default" w:ascii="Times New Roman" w:hAnsi="Times New Roman" w:eastAsia="仿宋_GB2312" w:cs="Times New Roman"/>
          <w:strike w:val="0"/>
          <w:dstrike w:val="0"/>
          <w:color w:val="auto"/>
          <w:sz w:val="32"/>
          <w:szCs w:val="32"/>
          <w:highlight w:val="none"/>
          <w:lang w:val="en-US" w:eastAsia="zh-CN"/>
        </w:rPr>
        <w:t>439991.3</w:t>
      </w:r>
      <w:r>
        <w:rPr>
          <w:rFonts w:hint="eastAsia" w:ascii="Times New Roman" w:hAnsi="Times New Roman" w:eastAsia="仿宋_GB2312" w:cs="Times New Roman"/>
          <w:strike w:val="0"/>
          <w:dstrike w:val="0"/>
          <w:color w:val="auto"/>
          <w:sz w:val="32"/>
          <w:szCs w:val="32"/>
          <w:highlight w:val="none"/>
          <w:lang w:val="en-US" w:eastAsia="zh-CN"/>
        </w:rPr>
        <w:t>8</w:t>
      </w:r>
      <w:r>
        <w:rPr>
          <w:rFonts w:hint="default" w:ascii="Times New Roman" w:hAnsi="Times New Roman" w:eastAsia="仿宋_GB2312" w:cs="Times New Roman"/>
          <w:strike w:val="0"/>
          <w:dstrike w:val="0"/>
          <w:color w:val="auto"/>
          <w:sz w:val="32"/>
          <w:szCs w:val="32"/>
          <w:highlight w:val="none"/>
          <w:lang w:val="en-US" w:eastAsia="zh-CN"/>
        </w:rPr>
        <w:t>万元，</w:t>
      </w:r>
      <w:r>
        <w:rPr>
          <w:rFonts w:hint="eastAsia" w:ascii="Times New Roman" w:hAnsi="Times New Roman" w:eastAsia="仿宋_GB2312" w:cs="Times New Roman"/>
          <w:strike w:val="0"/>
          <w:dstrike w:val="0"/>
          <w:color w:val="auto"/>
          <w:sz w:val="32"/>
          <w:szCs w:val="32"/>
          <w:highlight w:val="none"/>
          <w:lang w:val="en-US" w:eastAsia="zh-CN"/>
        </w:rPr>
        <w:t>截至同年</w:t>
      </w:r>
      <w:r>
        <w:rPr>
          <w:rFonts w:hint="default" w:ascii="Times New Roman" w:hAnsi="Times New Roman" w:eastAsia="仿宋_GB2312" w:cs="Times New Roman"/>
          <w:strike w:val="0"/>
          <w:dstrike w:val="0"/>
          <w:color w:val="auto"/>
          <w:sz w:val="32"/>
          <w:szCs w:val="32"/>
          <w:highlight w:val="none"/>
          <w:lang w:val="en-US" w:eastAsia="zh-CN"/>
        </w:rPr>
        <w:t>12月31日</w:t>
      </w:r>
      <w:r>
        <w:rPr>
          <w:rFonts w:hint="eastAsia" w:ascii="Times New Roman" w:hAnsi="Times New Roman" w:eastAsia="仿宋_GB2312" w:cs="Times New Roman"/>
          <w:strike w:val="0"/>
          <w:dstrike w:val="0"/>
          <w:color w:val="auto"/>
          <w:sz w:val="32"/>
          <w:szCs w:val="32"/>
          <w:highlight w:val="none"/>
          <w:lang w:val="en-US" w:eastAsia="zh-CN"/>
        </w:rPr>
        <w:t>，</w:t>
      </w:r>
      <w:r>
        <w:rPr>
          <w:rFonts w:hint="default" w:ascii="Times New Roman" w:hAnsi="Times New Roman" w:eastAsia="仿宋_GB2312" w:cs="Times New Roman"/>
          <w:strike w:val="0"/>
          <w:dstrike w:val="0"/>
          <w:color w:val="auto"/>
          <w:sz w:val="32"/>
          <w:szCs w:val="32"/>
          <w:highlight w:val="none"/>
          <w:lang w:val="en-US" w:eastAsia="zh-CN"/>
        </w:rPr>
        <w:t>当年预算本级支出数</w:t>
      </w:r>
      <w:r>
        <w:rPr>
          <w:rFonts w:hint="eastAsia" w:ascii="Times New Roman" w:hAnsi="Times New Roman" w:eastAsia="仿宋_GB2312" w:cs="Times New Roman"/>
          <w:strike w:val="0"/>
          <w:dstrike w:val="0"/>
          <w:color w:val="auto"/>
          <w:sz w:val="32"/>
          <w:szCs w:val="32"/>
          <w:highlight w:val="none"/>
          <w:lang w:val="en-US" w:eastAsia="zh-CN"/>
        </w:rPr>
        <w:t>为</w:t>
      </w:r>
      <w:r>
        <w:rPr>
          <w:rFonts w:hint="default" w:ascii="Times New Roman" w:hAnsi="Times New Roman" w:eastAsia="仿宋_GB2312" w:cs="Times New Roman"/>
          <w:strike w:val="0"/>
          <w:dstrike w:val="0"/>
          <w:color w:val="auto"/>
          <w:sz w:val="32"/>
          <w:szCs w:val="32"/>
          <w:highlight w:val="none"/>
          <w:lang w:val="en-US" w:eastAsia="zh-CN"/>
        </w:rPr>
        <w:t>439628.16万元，</w:t>
      </w:r>
      <w:bookmarkStart w:id="1" w:name="OLE_LINK1"/>
      <w:r>
        <w:rPr>
          <w:rFonts w:hint="default" w:ascii="Times New Roman" w:hAnsi="Times New Roman" w:eastAsia="仿宋_GB2312" w:cs="Times New Roman"/>
          <w:strike w:val="0"/>
          <w:dstrike w:val="0"/>
          <w:color w:val="auto"/>
          <w:sz w:val="32"/>
          <w:szCs w:val="32"/>
          <w:highlight w:val="none"/>
          <w:lang w:val="en-US" w:eastAsia="zh-CN"/>
        </w:rPr>
        <w:t>预算执行率达到99</w:t>
      </w:r>
      <w:r>
        <w:rPr>
          <w:rFonts w:hint="eastAsia" w:ascii="Times New Roman" w:hAnsi="Times New Roman" w:eastAsia="仿宋_GB2312" w:cs="Times New Roman"/>
          <w:strike w:val="0"/>
          <w:dstrike w:val="0"/>
          <w:color w:val="auto"/>
          <w:sz w:val="32"/>
          <w:szCs w:val="32"/>
          <w:highlight w:val="none"/>
          <w:lang w:val="en-US" w:eastAsia="zh-CN"/>
        </w:rPr>
        <w:t>.92</w:t>
      </w:r>
      <w:r>
        <w:rPr>
          <w:rFonts w:hint="default" w:ascii="Times New Roman" w:hAnsi="Times New Roman" w:eastAsia="仿宋_GB2312" w:cs="Times New Roman"/>
          <w:strike w:val="0"/>
          <w:dstrike w:val="0"/>
          <w:color w:val="auto"/>
          <w:sz w:val="32"/>
          <w:szCs w:val="32"/>
          <w:highlight w:val="none"/>
          <w:lang w:val="en-US" w:eastAsia="zh-CN"/>
        </w:rPr>
        <w:t>%。经过整体评价，年度</w:t>
      </w:r>
      <w:r>
        <w:rPr>
          <w:rFonts w:hint="eastAsia" w:ascii="Times New Roman" w:hAnsi="Times New Roman" w:eastAsia="仿宋_GB2312" w:cs="Times New Roman"/>
          <w:strike w:val="0"/>
          <w:dstrike w:val="0"/>
          <w:color w:val="auto"/>
          <w:sz w:val="32"/>
          <w:szCs w:val="32"/>
          <w:highlight w:val="none"/>
          <w:lang w:val="en-US" w:eastAsia="zh-CN"/>
        </w:rPr>
        <w:t>核心</w:t>
      </w:r>
      <w:r>
        <w:rPr>
          <w:rFonts w:hint="default" w:ascii="Times New Roman" w:hAnsi="Times New Roman" w:eastAsia="仿宋_GB2312" w:cs="Times New Roman"/>
          <w:strike w:val="0"/>
          <w:dstrike w:val="0"/>
          <w:color w:val="auto"/>
          <w:sz w:val="32"/>
          <w:szCs w:val="32"/>
          <w:highlight w:val="none"/>
          <w:lang w:val="en-US" w:eastAsia="zh-CN"/>
        </w:rPr>
        <w:t>目标任务</w:t>
      </w:r>
      <w:r>
        <w:rPr>
          <w:rFonts w:hint="eastAsia" w:ascii="Times New Roman" w:hAnsi="Times New Roman" w:eastAsia="仿宋_GB2312" w:cs="Times New Roman"/>
          <w:strike w:val="0"/>
          <w:dstrike w:val="0"/>
          <w:color w:val="auto"/>
          <w:sz w:val="32"/>
          <w:szCs w:val="32"/>
          <w:highlight w:val="none"/>
          <w:lang w:val="en-US" w:eastAsia="zh-CN"/>
        </w:rPr>
        <w:t>均在当年</w:t>
      </w:r>
      <w:r>
        <w:rPr>
          <w:rFonts w:hint="default" w:ascii="Times New Roman" w:hAnsi="Times New Roman" w:eastAsia="仿宋_GB2312" w:cs="Times New Roman"/>
          <w:strike w:val="0"/>
          <w:dstrike w:val="0"/>
          <w:color w:val="auto"/>
          <w:sz w:val="32"/>
          <w:szCs w:val="32"/>
          <w:highlight w:val="none"/>
          <w:lang w:val="en-US" w:eastAsia="zh-CN"/>
        </w:rPr>
        <w:t>得到了有效实现，支出绩效表现</w:t>
      </w:r>
      <w:r>
        <w:rPr>
          <w:rFonts w:hint="eastAsia" w:ascii="Times New Roman" w:hAnsi="Times New Roman" w:eastAsia="仿宋_GB2312" w:cs="Times New Roman"/>
          <w:strike w:val="0"/>
          <w:dstrike w:val="0"/>
          <w:color w:val="auto"/>
          <w:sz w:val="32"/>
          <w:szCs w:val="32"/>
          <w:highlight w:val="none"/>
          <w:lang w:val="en-US" w:eastAsia="zh-CN"/>
        </w:rPr>
        <w:t>优秀</w:t>
      </w:r>
      <w:r>
        <w:rPr>
          <w:rFonts w:hint="default" w:ascii="Times New Roman" w:hAnsi="Times New Roman" w:eastAsia="仿宋_GB2312" w:cs="Times New Roman"/>
          <w:strike w:val="0"/>
          <w:dstrike w:val="0"/>
          <w:color w:val="auto"/>
          <w:sz w:val="32"/>
          <w:szCs w:val="32"/>
          <w:highlight w:val="none"/>
          <w:lang w:val="en-US" w:eastAsia="zh-CN"/>
        </w:rPr>
        <w:t>。</w:t>
      </w:r>
      <w:r>
        <w:rPr>
          <w:rFonts w:hint="eastAsia" w:ascii="Times New Roman" w:hAnsi="Times New Roman" w:eastAsia="仿宋_GB2312" w:cs="Times New Roman"/>
          <w:strike w:val="0"/>
          <w:dstrike w:val="0"/>
          <w:color w:val="auto"/>
          <w:sz w:val="32"/>
          <w:szCs w:val="32"/>
          <w:highlight w:val="none"/>
          <w:lang w:val="en-US" w:eastAsia="zh-CN"/>
        </w:rPr>
        <w:t>预算</w:t>
      </w:r>
      <w:r>
        <w:rPr>
          <w:rFonts w:hint="default" w:ascii="Times New Roman" w:hAnsi="Times New Roman" w:eastAsia="仿宋_GB2312" w:cs="Times New Roman"/>
          <w:strike w:val="0"/>
          <w:dstrike w:val="0"/>
          <w:color w:val="auto"/>
          <w:sz w:val="32"/>
          <w:szCs w:val="32"/>
          <w:highlight w:val="none"/>
          <w:lang w:val="en-US" w:eastAsia="zh-CN"/>
        </w:rPr>
        <w:t>执行进度与</w:t>
      </w:r>
      <w:r>
        <w:rPr>
          <w:rFonts w:hint="eastAsia" w:ascii="Times New Roman" w:hAnsi="Times New Roman" w:eastAsia="仿宋_GB2312" w:cs="Times New Roman"/>
          <w:strike w:val="0"/>
          <w:dstrike w:val="0"/>
          <w:color w:val="auto"/>
          <w:sz w:val="32"/>
          <w:szCs w:val="32"/>
          <w:highlight w:val="none"/>
          <w:lang w:val="en-US" w:eastAsia="zh-CN"/>
        </w:rPr>
        <w:t>规划</w:t>
      </w:r>
      <w:r>
        <w:rPr>
          <w:rFonts w:hint="default" w:ascii="Times New Roman" w:hAnsi="Times New Roman" w:eastAsia="仿宋_GB2312" w:cs="Times New Roman"/>
          <w:strike w:val="0"/>
          <w:dstrike w:val="0"/>
          <w:color w:val="auto"/>
          <w:sz w:val="32"/>
          <w:szCs w:val="32"/>
          <w:highlight w:val="none"/>
          <w:lang w:val="en-US" w:eastAsia="zh-CN"/>
        </w:rPr>
        <w:t>实施</w:t>
      </w:r>
      <w:r>
        <w:rPr>
          <w:rFonts w:hint="eastAsia" w:ascii="Times New Roman" w:hAnsi="Times New Roman" w:eastAsia="仿宋_GB2312" w:cs="Times New Roman"/>
          <w:strike w:val="0"/>
          <w:dstrike w:val="0"/>
          <w:color w:val="auto"/>
          <w:sz w:val="32"/>
          <w:szCs w:val="32"/>
          <w:highlight w:val="none"/>
          <w:lang w:val="en-US" w:eastAsia="zh-CN"/>
        </w:rPr>
        <w:t>基本</w:t>
      </w:r>
      <w:r>
        <w:rPr>
          <w:rFonts w:hint="default" w:ascii="Times New Roman" w:hAnsi="Times New Roman" w:eastAsia="仿宋_GB2312" w:cs="Times New Roman"/>
          <w:strike w:val="0"/>
          <w:dstrike w:val="0"/>
          <w:color w:val="auto"/>
          <w:sz w:val="32"/>
          <w:szCs w:val="32"/>
          <w:highlight w:val="none"/>
          <w:lang w:val="en-US" w:eastAsia="zh-CN"/>
        </w:rPr>
        <w:t>保持</w:t>
      </w:r>
      <w:r>
        <w:rPr>
          <w:rFonts w:hint="eastAsia" w:ascii="Times New Roman" w:hAnsi="Times New Roman" w:eastAsia="仿宋_GB2312" w:cs="Times New Roman"/>
          <w:strike w:val="0"/>
          <w:dstrike w:val="0"/>
          <w:color w:val="auto"/>
          <w:sz w:val="32"/>
          <w:szCs w:val="32"/>
          <w:highlight w:val="none"/>
          <w:lang w:val="en-US" w:eastAsia="zh-CN"/>
        </w:rPr>
        <w:t>一致</w:t>
      </w:r>
      <w:r>
        <w:rPr>
          <w:rFonts w:hint="default" w:ascii="Times New Roman" w:hAnsi="Times New Roman" w:eastAsia="仿宋_GB2312" w:cs="Times New Roman"/>
          <w:strike w:val="0"/>
          <w:dstrike w:val="0"/>
          <w:color w:val="auto"/>
          <w:sz w:val="32"/>
          <w:szCs w:val="32"/>
          <w:highlight w:val="none"/>
          <w:lang w:val="en-US" w:eastAsia="zh-CN"/>
        </w:rPr>
        <w:t>，财政管理机制健全，确保了预算执行的稳定性，实施结果与预设目标</w:t>
      </w:r>
      <w:r>
        <w:rPr>
          <w:rFonts w:hint="eastAsia" w:ascii="Times New Roman" w:hAnsi="Times New Roman" w:eastAsia="仿宋_GB2312" w:cs="Times New Roman"/>
          <w:strike w:val="0"/>
          <w:dstrike w:val="0"/>
          <w:color w:val="auto"/>
          <w:sz w:val="32"/>
          <w:szCs w:val="32"/>
          <w:highlight w:val="none"/>
          <w:lang w:val="en-US" w:eastAsia="zh-CN"/>
        </w:rPr>
        <w:t>基本</w:t>
      </w:r>
      <w:r>
        <w:rPr>
          <w:rFonts w:hint="default" w:ascii="Times New Roman" w:hAnsi="Times New Roman" w:eastAsia="仿宋_GB2312" w:cs="Times New Roman"/>
          <w:strike w:val="0"/>
          <w:dstrike w:val="0"/>
          <w:color w:val="auto"/>
          <w:sz w:val="32"/>
          <w:szCs w:val="32"/>
          <w:highlight w:val="none"/>
          <w:lang w:val="en-US" w:eastAsia="zh-CN"/>
        </w:rPr>
        <w:t>相符。</w:t>
      </w:r>
      <w:bookmarkEnd w:id="1"/>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strike w:val="0"/>
          <w:dstrike w:val="0"/>
          <w:color w:val="auto"/>
          <w:sz w:val="32"/>
          <w:szCs w:val="32"/>
          <w:highlight w:val="none"/>
          <w:lang w:val="en-US" w:eastAsia="zh-CN"/>
        </w:rPr>
      </w:pPr>
      <w:bookmarkStart w:id="2" w:name="OLE_LINK2"/>
      <w:r>
        <w:rPr>
          <w:rFonts w:hint="eastAsia" w:ascii="Times New Roman" w:hAnsi="Times New Roman" w:eastAsia="仿宋_GB2312" w:cs="Times New Roman"/>
          <w:strike w:val="0"/>
          <w:dstrike w:val="0"/>
          <w:color w:val="auto"/>
          <w:sz w:val="32"/>
          <w:szCs w:val="32"/>
          <w:highlight w:val="none"/>
          <w:lang w:val="en-US" w:eastAsia="zh-CN"/>
        </w:rPr>
        <w:t>年内</w:t>
      </w:r>
      <w:r>
        <w:rPr>
          <w:rFonts w:hint="default" w:ascii="Times New Roman" w:hAnsi="Times New Roman" w:eastAsia="仿宋_GB2312" w:cs="Times New Roman"/>
          <w:strike w:val="0"/>
          <w:dstrike w:val="0"/>
          <w:color w:val="auto"/>
          <w:sz w:val="32"/>
          <w:szCs w:val="32"/>
          <w:highlight w:val="none"/>
          <w:lang w:val="en-US" w:eastAsia="zh-CN"/>
        </w:rPr>
        <w:t>，部门负责的1</w:t>
      </w:r>
      <w:r>
        <w:rPr>
          <w:rFonts w:hint="eastAsia" w:ascii="Times New Roman" w:hAnsi="Times New Roman" w:eastAsia="仿宋_GB2312" w:cs="Times New Roman"/>
          <w:strike w:val="0"/>
          <w:dstrike w:val="0"/>
          <w:color w:val="auto"/>
          <w:sz w:val="32"/>
          <w:szCs w:val="32"/>
          <w:highlight w:val="none"/>
          <w:lang w:val="en-US" w:eastAsia="zh-CN"/>
        </w:rPr>
        <w:t>5</w:t>
      </w:r>
      <w:r>
        <w:rPr>
          <w:rFonts w:hint="default" w:ascii="Times New Roman" w:hAnsi="Times New Roman" w:eastAsia="仿宋_GB2312" w:cs="Times New Roman"/>
          <w:strike w:val="0"/>
          <w:dstrike w:val="0"/>
          <w:color w:val="auto"/>
          <w:sz w:val="32"/>
          <w:szCs w:val="32"/>
          <w:highlight w:val="none"/>
          <w:lang w:val="en-US" w:eastAsia="zh-CN"/>
        </w:rPr>
        <w:t>个项目均严格按照省</w:t>
      </w:r>
      <w:r>
        <w:rPr>
          <w:rFonts w:hint="eastAsia" w:ascii="Times New Roman" w:hAnsi="Times New Roman" w:eastAsia="仿宋_GB2312" w:cs="Times New Roman"/>
          <w:strike w:val="0"/>
          <w:dstrike w:val="0"/>
          <w:color w:val="auto"/>
          <w:sz w:val="32"/>
          <w:szCs w:val="32"/>
          <w:highlight w:val="none"/>
          <w:lang w:val="en-US" w:eastAsia="zh-CN"/>
        </w:rPr>
        <w:t>、</w:t>
      </w:r>
      <w:r>
        <w:rPr>
          <w:rFonts w:hint="default" w:ascii="Times New Roman" w:hAnsi="Times New Roman" w:eastAsia="仿宋_GB2312" w:cs="Times New Roman"/>
          <w:strike w:val="0"/>
          <w:dstrike w:val="0"/>
          <w:color w:val="auto"/>
          <w:sz w:val="32"/>
          <w:szCs w:val="32"/>
          <w:highlight w:val="none"/>
          <w:lang w:val="en-US" w:eastAsia="zh-CN"/>
        </w:rPr>
        <w:t>市出台的项目管理和资金管理相关规章制度</w:t>
      </w:r>
      <w:r>
        <w:rPr>
          <w:rFonts w:hint="eastAsia" w:ascii="Times New Roman" w:hAnsi="Times New Roman" w:eastAsia="仿宋_GB2312" w:cs="Times New Roman"/>
          <w:strike w:val="0"/>
          <w:dstrike w:val="0"/>
          <w:color w:val="auto"/>
          <w:sz w:val="32"/>
          <w:szCs w:val="32"/>
          <w:highlight w:val="none"/>
          <w:lang w:val="en-US" w:eastAsia="zh-CN"/>
        </w:rPr>
        <w:t>执行</w:t>
      </w:r>
      <w:r>
        <w:rPr>
          <w:rFonts w:hint="default" w:ascii="Times New Roman" w:hAnsi="Times New Roman" w:eastAsia="仿宋_GB2312" w:cs="Times New Roman"/>
          <w:strike w:val="0"/>
          <w:dstrike w:val="0"/>
          <w:color w:val="auto"/>
          <w:sz w:val="32"/>
          <w:szCs w:val="32"/>
          <w:highlight w:val="none"/>
          <w:lang w:val="en-US" w:eastAsia="zh-CN"/>
        </w:rPr>
        <w:t>。资金运作流程严谨，操作合规，流转顺畅，满足财政预算要求。</w:t>
      </w:r>
      <w:r>
        <w:rPr>
          <w:rFonts w:hint="eastAsia" w:ascii="Times New Roman" w:hAnsi="Times New Roman" w:eastAsia="仿宋_GB2312" w:cs="Times New Roman"/>
          <w:strike w:val="0"/>
          <w:dstrike w:val="0"/>
          <w:color w:val="auto"/>
          <w:sz w:val="32"/>
          <w:szCs w:val="32"/>
          <w:highlight w:val="none"/>
          <w:lang w:val="en-US" w:eastAsia="zh-CN"/>
        </w:rPr>
        <w:t>各项目绩效目标均已完成，绩效指标基本符合预期指标值</w:t>
      </w:r>
      <w:r>
        <w:rPr>
          <w:rFonts w:hint="default" w:ascii="Times New Roman" w:hAnsi="Times New Roman" w:eastAsia="仿宋_GB2312" w:cs="Times New Roman"/>
          <w:strike w:val="0"/>
          <w:dstrike w:val="0"/>
          <w:color w:val="auto"/>
          <w:sz w:val="32"/>
          <w:szCs w:val="32"/>
          <w:highlight w:val="none"/>
          <w:lang w:val="en-US" w:eastAsia="zh-CN"/>
        </w:rPr>
        <w:t>。</w:t>
      </w:r>
    </w:p>
    <w:bookmarkEnd w:id="2"/>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lang w:val="en-US" w:eastAsia="zh-CN"/>
        </w:rPr>
      </w:pPr>
      <w:r>
        <w:rPr>
          <w:rFonts w:hint="default" w:ascii="Times New Roman" w:hAnsi="Times New Roman" w:eastAsia="仿宋_GB2312" w:cs="Times New Roman"/>
          <w:strike w:val="0"/>
          <w:dstrike w:val="0"/>
          <w:color w:val="auto"/>
          <w:sz w:val="32"/>
          <w:szCs w:val="32"/>
          <w:highlight w:val="none"/>
          <w:lang w:val="en-US" w:eastAsia="zh-CN"/>
        </w:rPr>
        <w:t>依据量化评估标准，202</w:t>
      </w:r>
      <w:r>
        <w:rPr>
          <w:rFonts w:hint="eastAsia" w:ascii="Times New Roman" w:hAnsi="Times New Roman" w:eastAsia="仿宋_GB2312" w:cs="Times New Roman"/>
          <w:strike w:val="0"/>
          <w:dstrike w:val="0"/>
          <w:color w:val="auto"/>
          <w:sz w:val="32"/>
          <w:szCs w:val="32"/>
          <w:highlight w:val="none"/>
          <w:lang w:val="en-US" w:eastAsia="zh-CN"/>
        </w:rPr>
        <w:t>5</w:t>
      </w:r>
      <w:r>
        <w:rPr>
          <w:rFonts w:hint="default" w:ascii="Times New Roman" w:hAnsi="Times New Roman" w:eastAsia="仿宋_GB2312" w:cs="Times New Roman"/>
          <w:strike w:val="0"/>
          <w:dstrike w:val="0"/>
          <w:color w:val="auto"/>
          <w:sz w:val="32"/>
          <w:szCs w:val="32"/>
          <w:highlight w:val="none"/>
          <w:lang w:val="en-US" w:eastAsia="zh-CN"/>
        </w:rPr>
        <w:t>年度部门绩效评价自评得分9</w:t>
      </w:r>
      <w:r>
        <w:rPr>
          <w:rFonts w:hint="eastAsia" w:ascii="Times New Roman" w:hAnsi="Times New Roman" w:eastAsia="仿宋_GB2312" w:cs="Times New Roman"/>
          <w:strike w:val="0"/>
          <w:dstrike w:val="0"/>
          <w:color w:val="auto"/>
          <w:sz w:val="32"/>
          <w:szCs w:val="32"/>
          <w:highlight w:val="none"/>
          <w:lang w:val="en-US" w:eastAsia="zh-CN"/>
        </w:rPr>
        <w:t>9.11</w:t>
      </w:r>
      <w:r>
        <w:rPr>
          <w:rFonts w:hint="default" w:ascii="Times New Roman" w:hAnsi="Times New Roman" w:eastAsia="仿宋_GB2312" w:cs="Times New Roman"/>
          <w:strike w:val="0"/>
          <w:dstrike w:val="0"/>
          <w:color w:val="auto"/>
          <w:sz w:val="32"/>
          <w:szCs w:val="32"/>
          <w:highlight w:val="none"/>
          <w:lang w:val="en-US" w:eastAsia="zh-CN"/>
        </w:rPr>
        <w:t>分，自评</w:t>
      </w:r>
      <w:r>
        <w:rPr>
          <w:rFonts w:hint="eastAsia" w:ascii="Times New Roman" w:hAnsi="Times New Roman" w:eastAsia="仿宋_GB2312" w:cs="Times New Roman"/>
          <w:strike w:val="0"/>
          <w:dstrike w:val="0"/>
          <w:color w:val="auto"/>
          <w:sz w:val="32"/>
          <w:szCs w:val="32"/>
          <w:highlight w:val="none"/>
          <w:lang w:val="en-US" w:eastAsia="zh-CN"/>
        </w:rPr>
        <w:t>评价等级</w:t>
      </w:r>
      <w:r>
        <w:rPr>
          <w:rFonts w:hint="default" w:ascii="Times New Roman" w:hAnsi="Times New Roman" w:eastAsia="仿宋_GB2312" w:cs="Times New Roman"/>
          <w:strike w:val="0"/>
          <w:dstrike w:val="0"/>
          <w:color w:val="auto"/>
          <w:sz w:val="32"/>
          <w:szCs w:val="32"/>
          <w:highlight w:val="none"/>
          <w:lang w:val="en-US" w:eastAsia="zh-CN"/>
        </w:rPr>
        <w:t>为优秀。</w:t>
      </w:r>
      <w:bookmarkEnd w:id="0"/>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五、存在的问题及改进措施</w:t>
      </w:r>
    </w:p>
    <w:p>
      <w:pPr>
        <w:keepNext w:val="0"/>
        <w:keepLines w:val="0"/>
        <w:pageBreakBefore w:val="0"/>
        <w:widowControl w:val="0"/>
        <w:kinsoku/>
        <w:wordWrap/>
        <w:overflowPunct/>
        <w:topLinePunct w:val="0"/>
        <w:autoSpaceDE/>
        <w:autoSpaceDN/>
        <w:bidi w:val="0"/>
        <w:spacing w:line="580" w:lineRule="exact"/>
        <w:ind w:left="0" w:leftChars="0" w:right="0" w:firstLine="643" w:firstLineChars="200"/>
        <w:jc w:val="both"/>
        <w:textAlignment w:val="auto"/>
        <w:outlineLvl w:val="9"/>
        <w:rPr>
          <w:rFonts w:hint="default" w:ascii="Times New Roman" w:hAnsi="Times New Roman" w:eastAsia="楷体" w:cs="Times New Roman"/>
          <w:b/>
          <w:bCs/>
          <w:color w:val="auto"/>
          <w:sz w:val="32"/>
          <w:szCs w:val="32"/>
          <w:highlight w:val="none"/>
        </w:rPr>
      </w:pPr>
      <w:r>
        <w:rPr>
          <w:rFonts w:hint="default" w:ascii="Times New Roman" w:hAnsi="Times New Roman" w:eastAsia="楷体" w:cs="Times New Roman"/>
          <w:b/>
          <w:bCs/>
          <w:color w:val="auto"/>
          <w:sz w:val="32"/>
          <w:szCs w:val="32"/>
          <w:highlight w:val="none"/>
        </w:rPr>
        <w:t>（一）存在的主要问题</w:t>
      </w:r>
    </w:p>
    <w:p>
      <w:pPr>
        <w:keepNext w:val="0"/>
        <w:keepLines w:val="0"/>
        <w:pageBreakBefore w:val="0"/>
        <w:widowControl w:val="0"/>
        <w:kinsoku/>
        <w:wordWrap/>
        <w:overflowPunct/>
        <w:topLinePunct w:val="0"/>
        <w:autoSpaceDE/>
        <w:autoSpaceDN/>
        <w:bidi w:val="0"/>
        <w:spacing w:line="580" w:lineRule="exact"/>
        <w:ind w:left="0" w:leftChars="0" w:right="0" w:firstLine="640" w:firstLineChars="200"/>
        <w:jc w:val="both"/>
        <w:textAlignment w:val="auto"/>
        <w:outlineLvl w:val="9"/>
        <w:rPr>
          <w:rFonts w:hint="eastAsia" w:ascii="Times New Roman" w:hAnsi="Times New Roman" w:eastAsia="仿宋_GB2312" w:cs="Times New Roman"/>
          <w:b w:val="0"/>
          <w:bCs w:val="0"/>
          <w:strike w:val="0"/>
          <w:dstrike w:val="0"/>
          <w:color w:val="auto"/>
          <w:sz w:val="32"/>
          <w:szCs w:val="32"/>
          <w:highlight w:val="none"/>
          <w:lang w:val="en-US" w:eastAsia="zh-CN"/>
        </w:rPr>
      </w:pPr>
      <w:r>
        <w:rPr>
          <w:rFonts w:hint="eastAsia" w:ascii="Times New Roman" w:hAnsi="Times New Roman" w:eastAsia="仿宋_GB2312" w:cs="Times New Roman"/>
          <w:b w:val="0"/>
          <w:bCs w:val="0"/>
          <w:strike w:val="0"/>
          <w:dstrike w:val="0"/>
          <w:color w:val="auto"/>
          <w:sz w:val="32"/>
          <w:szCs w:val="32"/>
          <w:highlight w:val="none"/>
          <w:lang w:val="en-US" w:eastAsia="zh-CN"/>
        </w:rPr>
        <w:t>无</w:t>
      </w:r>
    </w:p>
    <w:p>
      <w:pPr>
        <w:keepNext w:val="0"/>
        <w:keepLines w:val="0"/>
        <w:pageBreakBefore w:val="0"/>
        <w:widowControl w:val="0"/>
        <w:kinsoku/>
        <w:wordWrap/>
        <w:overflowPunct/>
        <w:topLinePunct w:val="0"/>
        <w:autoSpaceDE/>
        <w:autoSpaceDN/>
        <w:bidi w:val="0"/>
        <w:spacing w:line="580" w:lineRule="exact"/>
        <w:ind w:left="0" w:leftChars="0" w:right="0" w:firstLine="643" w:firstLineChars="200"/>
        <w:jc w:val="both"/>
        <w:textAlignment w:val="auto"/>
        <w:outlineLvl w:val="9"/>
        <w:rPr>
          <w:rFonts w:hint="default" w:ascii="Times New Roman" w:hAnsi="Times New Roman" w:eastAsia="楷体" w:cs="Times New Roman"/>
          <w:b/>
          <w:bCs/>
          <w:color w:val="auto"/>
          <w:sz w:val="32"/>
          <w:szCs w:val="32"/>
          <w:highlight w:val="none"/>
          <w:lang w:val="en-US" w:eastAsia="zh-CN"/>
        </w:rPr>
      </w:pPr>
      <w:r>
        <w:rPr>
          <w:rFonts w:hint="default" w:ascii="Times New Roman" w:hAnsi="Times New Roman" w:eastAsia="楷体" w:cs="Times New Roman"/>
          <w:b/>
          <w:bCs/>
          <w:color w:val="auto"/>
          <w:sz w:val="32"/>
          <w:szCs w:val="32"/>
          <w:highlight w:val="none"/>
          <w:lang w:val="en-US" w:eastAsia="zh-CN"/>
        </w:rPr>
        <w:t>（二）针对问题提出具体的改进措施或建议</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Times New Roman" w:hAnsi="Times New Roman" w:eastAsia="仿宋_GB2312" w:cs="Times New Roman"/>
          <w:b w:val="0"/>
          <w:bCs w:val="0"/>
          <w:strike w:val="0"/>
          <w:dstrike w:val="0"/>
          <w:color w:val="auto"/>
          <w:sz w:val="32"/>
          <w:szCs w:val="32"/>
          <w:highlight w:val="none"/>
          <w:lang w:val="en-US" w:eastAsia="zh-CN"/>
        </w:rPr>
      </w:pPr>
      <w:r>
        <w:rPr>
          <w:rFonts w:hint="eastAsia" w:ascii="Times New Roman" w:hAnsi="Times New Roman" w:eastAsia="仿宋_GB2312" w:cs="Times New Roman"/>
          <w:b w:val="0"/>
          <w:bCs w:val="0"/>
          <w:strike w:val="0"/>
          <w:dstrike w:val="0"/>
          <w:color w:val="auto"/>
          <w:sz w:val="32"/>
          <w:szCs w:val="32"/>
          <w:highlight w:val="none"/>
          <w:lang w:val="en-US" w:eastAsia="zh-CN"/>
        </w:rPr>
        <w:t>无</w:t>
      </w:r>
    </w:p>
    <w:p>
      <w:pPr>
        <w:pStyle w:val="2"/>
        <w:rPr>
          <w:rFonts w:hint="default"/>
        </w:rPr>
      </w:pPr>
    </w:p>
    <w:p>
      <w:pPr>
        <w:pStyle w:val="2"/>
        <w:keepNext w:val="0"/>
        <w:keepLines w:val="0"/>
        <w:pageBreakBefore w:val="0"/>
        <w:kinsoku/>
        <w:wordWrap/>
        <w:overflowPunct/>
        <w:topLinePunct w:val="0"/>
        <w:autoSpaceDE/>
        <w:autoSpaceDN/>
        <w:bidi w:val="0"/>
        <w:adjustRightInd/>
        <w:snapToGrid/>
        <w:spacing w:line="580" w:lineRule="exact"/>
        <w:ind w:left="0" w:leftChars="0" w:firstLine="3840" w:firstLineChars="1200"/>
        <w:jc w:val="both"/>
        <w:textAlignment w:val="auto"/>
        <w:rPr>
          <w:rFonts w:hint="default" w:ascii="Times New Roman" w:hAnsi="Times New Roman" w:cs="Times New Roman"/>
          <w:b w:val="0"/>
          <w:bCs w:val="0"/>
          <w:strike w:val="0"/>
          <w:dstrike w:val="0"/>
          <w:color w:val="auto"/>
          <w:kern w:val="0"/>
          <w:sz w:val="32"/>
          <w:szCs w:val="32"/>
          <w:lang w:val="en-US" w:eastAsia="zh-CN"/>
        </w:rPr>
      </w:pPr>
    </w:p>
    <w:p>
      <w:pPr>
        <w:pStyle w:val="2"/>
        <w:keepNext w:val="0"/>
        <w:keepLines w:val="0"/>
        <w:pageBreakBefore w:val="0"/>
        <w:kinsoku/>
        <w:wordWrap/>
        <w:overflowPunct/>
        <w:topLinePunct w:val="0"/>
        <w:autoSpaceDE/>
        <w:autoSpaceDN/>
        <w:bidi w:val="0"/>
        <w:adjustRightInd/>
        <w:snapToGrid/>
        <w:spacing w:line="580" w:lineRule="exact"/>
        <w:ind w:left="0" w:leftChars="0" w:firstLine="3840" w:firstLineChars="1200"/>
        <w:jc w:val="both"/>
        <w:textAlignment w:val="auto"/>
        <w:rPr>
          <w:rFonts w:hint="default" w:ascii="Times New Roman" w:hAnsi="Times New Roman" w:cs="Times New Roman"/>
          <w:b w:val="0"/>
          <w:bCs w:val="0"/>
          <w:strike w:val="0"/>
          <w:dstrike w:val="0"/>
          <w:color w:val="auto"/>
          <w:kern w:val="0"/>
          <w:sz w:val="32"/>
          <w:szCs w:val="32"/>
          <w:lang w:val="en-US" w:eastAsia="zh-CN"/>
        </w:rPr>
      </w:pPr>
      <w:r>
        <w:rPr>
          <w:rFonts w:hint="default" w:ascii="Times New Roman" w:hAnsi="Times New Roman" w:cs="Times New Roman"/>
          <w:b w:val="0"/>
          <w:bCs w:val="0"/>
          <w:strike w:val="0"/>
          <w:dstrike w:val="0"/>
          <w:color w:val="auto"/>
          <w:kern w:val="0"/>
          <w:sz w:val="32"/>
          <w:szCs w:val="32"/>
          <w:lang w:val="en-US" w:eastAsia="zh-CN"/>
        </w:rPr>
        <w:t>石家庄市轨道交通建设办公室</w:t>
      </w:r>
    </w:p>
    <w:p>
      <w:pPr>
        <w:pStyle w:val="2"/>
        <w:keepNext w:val="0"/>
        <w:keepLines w:val="0"/>
        <w:pageBreakBefore w:val="0"/>
        <w:kinsoku/>
        <w:wordWrap/>
        <w:overflowPunct/>
        <w:topLinePunct w:val="0"/>
        <w:autoSpaceDE/>
        <w:autoSpaceDN/>
        <w:bidi w:val="0"/>
        <w:adjustRightInd/>
        <w:snapToGrid/>
        <w:spacing w:line="580" w:lineRule="exact"/>
        <w:ind w:left="0" w:leftChars="0" w:firstLine="3840" w:firstLineChars="1200"/>
        <w:jc w:val="both"/>
        <w:textAlignment w:val="auto"/>
        <w:rPr>
          <w:rFonts w:hint="default" w:ascii="Times New Roman" w:hAnsi="Times New Roman" w:cs="Times New Roman"/>
          <w:b w:val="0"/>
          <w:bCs w:val="0"/>
          <w:strike w:val="0"/>
          <w:dstrike w:val="0"/>
          <w:color w:val="auto"/>
          <w:kern w:val="0"/>
          <w:sz w:val="32"/>
          <w:szCs w:val="32"/>
          <w:lang w:val="en-US" w:eastAsia="zh-CN"/>
        </w:rPr>
      </w:pPr>
      <w:r>
        <w:rPr>
          <w:rFonts w:hint="default" w:ascii="Times New Roman" w:hAnsi="Times New Roman" w:cs="Times New Roman"/>
          <w:b w:val="0"/>
          <w:bCs w:val="0"/>
          <w:strike w:val="0"/>
          <w:dstrike w:val="0"/>
          <w:color w:val="auto"/>
          <w:kern w:val="0"/>
          <w:sz w:val="32"/>
          <w:szCs w:val="32"/>
          <w:lang w:val="en-US" w:eastAsia="zh-CN"/>
        </w:rPr>
        <w:t xml:space="preserve">     202</w:t>
      </w:r>
      <w:r>
        <w:rPr>
          <w:rFonts w:hint="eastAsia" w:cs="Times New Roman"/>
          <w:b w:val="0"/>
          <w:bCs w:val="0"/>
          <w:strike w:val="0"/>
          <w:dstrike w:val="0"/>
          <w:color w:val="auto"/>
          <w:kern w:val="0"/>
          <w:sz w:val="32"/>
          <w:szCs w:val="32"/>
          <w:lang w:val="en-US" w:eastAsia="zh-CN"/>
        </w:rPr>
        <w:t>6</w:t>
      </w:r>
      <w:r>
        <w:rPr>
          <w:rFonts w:hint="default" w:ascii="Times New Roman" w:hAnsi="Times New Roman" w:cs="Times New Roman"/>
          <w:b w:val="0"/>
          <w:bCs w:val="0"/>
          <w:strike w:val="0"/>
          <w:dstrike w:val="0"/>
          <w:color w:val="auto"/>
          <w:kern w:val="0"/>
          <w:sz w:val="32"/>
          <w:szCs w:val="32"/>
          <w:lang w:val="en-US" w:eastAsia="zh-CN"/>
        </w:rPr>
        <w:t>年</w:t>
      </w:r>
      <w:r>
        <w:rPr>
          <w:rFonts w:hint="eastAsia" w:cs="Times New Roman"/>
          <w:b w:val="0"/>
          <w:bCs w:val="0"/>
          <w:strike w:val="0"/>
          <w:dstrike w:val="0"/>
          <w:color w:val="auto"/>
          <w:kern w:val="0"/>
          <w:sz w:val="32"/>
          <w:szCs w:val="32"/>
          <w:lang w:val="en-US" w:eastAsia="zh-CN"/>
        </w:rPr>
        <w:t>4</w:t>
      </w:r>
      <w:r>
        <w:rPr>
          <w:rFonts w:hint="default" w:ascii="Times New Roman" w:hAnsi="Times New Roman" w:cs="Times New Roman"/>
          <w:b w:val="0"/>
          <w:bCs w:val="0"/>
          <w:strike w:val="0"/>
          <w:dstrike w:val="0"/>
          <w:color w:val="auto"/>
          <w:kern w:val="0"/>
          <w:sz w:val="32"/>
          <w:szCs w:val="32"/>
          <w:lang w:val="en-US" w:eastAsia="zh-CN"/>
        </w:rPr>
        <w:t>月</w:t>
      </w:r>
      <w:r>
        <w:rPr>
          <w:rFonts w:hint="eastAsia" w:cs="Times New Roman"/>
          <w:b w:val="0"/>
          <w:bCs w:val="0"/>
          <w:strike w:val="0"/>
          <w:dstrike w:val="0"/>
          <w:color w:val="auto"/>
          <w:kern w:val="0"/>
          <w:sz w:val="32"/>
          <w:szCs w:val="32"/>
          <w:lang w:val="en-US" w:eastAsia="zh-CN"/>
        </w:rPr>
        <w:t>21</w:t>
      </w:r>
      <w:bookmarkStart w:id="3" w:name="_GoBack"/>
      <w:bookmarkEnd w:id="3"/>
      <w:r>
        <w:rPr>
          <w:rFonts w:hint="default" w:ascii="Times New Roman" w:hAnsi="Times New Roman" w:cs="Times New Roman"/>
          <w:b w:val="0"/>
          <w:bCs w:val="0"/>
          <w:strike w:val="0"/>
          <w:dstrike w:val="0"/>
          <w:color w:val="auto"/>
          <w:kern w:val="0"/>
          <w:sz w:val="32"/>
          <w:szCs w:val="32"/>
          <w:lang w:val="en-US" w:eastAsia="zh-CN"/>
        </w:rPr>
        <w:t>日</w:t>
      </w:r>
    </w:p>
    <w:p>
      <w:pPr>
        <w:keepNext w:val="0"/>
        <w:keepLines w:val="0"/>
        <w:pageBreakBefore w:val="0"/>
        <w:widowControl w:val="0"/>
        <w:kinsoku/>
        <w:wordWrap/>
        <w:overflowPunct/>
        <w:topLinePunct w:val="0"/>
        <w:autoSpaceDE/>
        <w:autoSpaceDN/>
        <w:bidi w:val="0"/>
        <w:spacing w:line="580" w:lineRule="exact"/>
        <w:textAlignment w:val="auto"/>
        <w:rPr>
          <w:rFonts w:hint="default" w:ascii="Times New Roman" w:hAnsi="Times New Roman" w:eastAsia="仿宋" w:cs="Times New Roman"/>
          <w:highlight w:val="yellow"/>
        </w:rPr>
      </w:pPr>
    </w:p>
    <w:p>
      <w:pPr>
        <w:adjustRightInd w:val="0"/>
        <w:snapToGrid w:val="0"/>
        <w:spacing w:line="560" w:lineRule="exact"/>
        <w:ind w:firstLine="640" w:firstLineChars="200"/>
        <w:rPr>
          <w:rFonts w:ascii="黑体" w:hAnsi="黑体" w:eastAsia="黑体"/>
          <w:sz w:val="32"/>
          <w:szCs w:val="32"/>
        </w:rPr>
      </w:pP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04CFA08"/>
    <w:multiLevelType w:val="singleLevel"/>
    <w:tmpl w:val="504CFA08"/>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6"/>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D5229C9"/>
    <w:rsid w:val="0E3131AC"/>
    <w:rsid w:val="0EB97A43"/>
    <w:rsid w:val="0EBD2122"/>
    <w:rsid w:val="0EBD7299"/>
    <w:rsid w:val="0F214EAE"/>
    <w:rsid w:val="10953E41"/>
    <w:rsid w:val="11B71E6A"/>
    <w:rsid w:val="14EF4CCC"/>
    <w:rsid w:val="1AAF0063"/>
    <w:rsid w:val="1B740D26"/>
    <w:rsid w:val="1BE140DE"/>
    <w:rsid w:val="1E542E40"/>
    <w:rsid w:val="248C197D"/>
    <w:rsid w:val="252959AF"/>
    <w:rsid w:val="277A6671"/>
    <w:rsid w:val="292D35B7"/>
    <w:rsid w:val="313F2C43"/>
    <w:rsid w:val="33EB6CFF"/>
    <w:rsid w:val="35A12947"/>
    <w:rsid w:val="37387040"/>
    <w:rsid w:val="3B114F19"/>
    <w:rsid w:val="3B5060D4"/>
    <w:rsid w:val="3B625C0A"/>
    <w:rsid w:val="3C46681C"/>
    <w:rsid w:val="3CEE1963"/>
    <w:rsid w:val="436B78D3"/>
    <w:rsid w:val="443037EF"/>
    <w:rsid w:val="47E25BD7"/>
    <w:rsid w:val="48C3272A"/>
    <w:rsid w:val="48E869F4"/>
    <w:rsid w:val="4C511AC9"/>
    <w:rsid w:val="4C9C27FE"/>
    <w:rsid w:val="502A44B1"/>
    <w:rsid w:val="512260B4"/>
    <w:rsid w:val="52BD6ACB"/>
    <w:rsid w:val="55537534"/>
    <w:rsid w:val="561A74F1"/>
    <w:rsid w:val="57B30327"/>
    <w:rsid w:val="58B17416"/>
    <w:rsid w:val="58C60D3C"/>
    <w:rsid w:val="597244E8"/>
    <w:rsid w:val="5EB71C30"/>
    <w:rsid w:val="62D6662D"/>
    <w:rsid w:val="66AF0CE5"/>
    <w:rsid w:val="66E14ECE"/>
    <w:rsid w:val="68AC2130"/>
    <w:rsid w:val="6AC537CF"/>
    <w:rsid w:val="6CF46EA9"/>
    <w:rsid w:val="6E5B14A6"/>
    <w:rsid w:val="711B255E"/>
    <w:rsid w:val="781B0D01"/>
    <w:rsid w:val="7A9575E4"/>
    <w:rsid w:val="7BB51E06"/>
    <w:rsid w:val="7C387F7C"/>
    <w:rsid w:val="7E6B6A37"/>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0"/>
    <w:pPr>
      <w:spacing w:line="600" w:lineRule="exact"/>
      <w:ind w:firstLine="834" w:firstLineChars="200"/>
      <w:jc w:val="left"/>
    </w:pPr>
    <w:rPr>
      <w:rFonts w:ascii="Times New Roman" w:hAnsi="Times New Roman" w:eastAsia="仿宋_GB2312"/>
      <w:sz w:val="32"/>
    </w:rPr>
  </w:style>
  <w:style w:type="paragraph" w:styleId="3">
    <w:name w:val="Body Text Indent"/>
    <w:basedOn w:val="1"/>
    <w:next w:val="4"/>
    <w:qFormat/>
    <w:uiPriority w:val="0"/>
    <w:pPr>
      <w:ind w:left="420" w:leftChars="200"/>
    </w:pPr>
  </w:style>
  <w:style w:type="paragraph" w:styleId="4">
    <w:name w:val="Subtitle"/>
    <w:basedOn w:val="1"/>
    <w:next w:val="1"/>
    <w:qFormat/>
    <w:uiPriority w:val="0"/>
    <w:pPr>
      <w:wordWrap w:val="0"/>
      <w:spacing w:after="60"/>
      <w:jc w:val="center"/>
    </w:pPr>
    <w:rPr>
      <w:rFonts w:ascii="Calibri" w:hAnsi="Calibri" w:eastAsia="宋体" w:cs="Times New Roman"/>
      <w:sz w:val="24"/>
      <w:szCs w:val="22"/>
      <w:lang w:val="en-US" w:eastAsia="zh-CN" w:bidi="ar-SA"/>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573</Words>
  <Characters>590</Characters>
  <Lines>4</Lines>
  <Paragraphs>1</Paragraphs>
  <TotalTime>56</TotalTime>
  <ScaleCrop>false</ScaleCrop>
  <LinksUpToDate>false</LinksUpToDate>
  <CharactersWithSpaces>612</CharactersWithSpaces>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T</cp:lastModifiedBy>
  <cp:lastPrinted>2026-04-21T07:13:46Z</cp:lastPrinted>
  <dcterms:modified xsi:type="dcterms:W3CDTF">2026-04-21T07:14:12Z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y fmtid="{D5CDD505-2E9C-101B-9397-08002B2CF9AE}" pid="3" name="ICV">
    <vt:lpwstr>96934721B1514D3FBAA28020338CE855_12</vt:lpwstr>
  </property>
  <property fmtid="{D5CDD505-2E9C-101B-9397-08002B2CF9AE}" pid="4" name="KSOTemplateDocerSaveRecord">
    <vt:lpwstr>eyJoZGlkIjoiMDRiNGJkYjBiMjRiNTM2Zjk5YWM2NmU3YTc2OThjMTYiLCJ1c2VySWQiOiIxMDI2NzA5MTgxIn0=</vt:lpwstr>
  </property>
</Properties>
</file>