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29F2D6">
      <w:pPr>
        <w:pageBreakBefore w:val="0"/>
        <w:widowControl w:val="0"/>
        <w:kinsoku/>
        <w:wordWrap/>
        <w:overflowPunct/>
        <w:topLinePunct w:val="0"/>
        <w:autoSpaceDE/>
        <w:autoSpaceDN/>
        <w:bidi w:val="0"/>
        <w:spacing w:line="560" w:lineRule="exact"/>
        <w:ind w:left="0" w:leftChars="0" w:right="0"/>
        <w:jc w:val="left"/>
        <w:textAlignment w:val="auto"/>
        <w:outlineLvl w:val="0"/>
        <w:rPr>
          <w:rFonts w:hint="default" w:ascii="宋体" w:hAnsi="宋体" w:eastAsia="宋体" w:cs="宋体"/>
          <w:b/>
          <w:bCs/>
          <w:sz w:val="24"/>
          <w:szCs w:val="24"/>
          <w:shd w:val="clear" w:color="auto" w:fill="auto"/>
          <w:lang w:val="en-US" w:eastAsia="zh-CN"/>
        </w:rPr>
      </w:pPr>
      <w:bookmarkStart w:id="0" w:name="_Toc9030"/>
      <w:r>
        <w:rPr>
          <w:rFonts w:hint="eastAsia" w:ascii="宋体" w:hAnsi="宋体" w:cs="宋体"/>
          <w:b/>
          <w:bCs/>
          <w:sz w:val="24"/>
          <w:szCs w:val="24"/>
          <w:shd w:val="clear" w:color="auto" w:fill="auto"/>
          <w:lang w:val="en-US" w:eastAsia="zh-CN"/>
        </w:rPr>
        <w:t>附件4</w:t>
      </w:r>
    </w:p>
    <w:p w14:paraId="0E5F8D62">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shd w:val="clear" w:color="auto" w:fill="auto"/>
          <w:lang w:val="en-US" w:eastAsia="zh-CN"/>
        </w:rPr>
      </w:pPr>
    </w:p>
    <w:p w14:paraId="5AB8EB3D">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shd w:val="clear" w:color="auto" w:fill="auto"/>
          <w:lang w:val="en-US" w:eastAsia="zh-CN"/>
        </w:rPr>
      </w:pPr>
      <w:r>
        <w:rPr>
          <w:rFonts w:hint="eastAsia" w:ascii="宋体" w:hAnsi="宋体" w:eastAsia="宋体" w:cs="宋体"/>
          <w:b/>
          <w:bCs/>
          <w:sz w:val="44"/>
          <w:szCs w:val="44"/>
          <w:shd w:val="clear" w:color="auto" w:fill="auto"/>
          <w:lang w:val="en-US" w:eastAsia="zh-CN"/>
        </w:rPr>
        <w:t>石家庄市人民政府办公室</w:t>
      </w:r>
      <w:bookmarkEnd w:id="0"/>
    </w:p>
    <w:p w14:paraId="22674147">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shd w:val="clear" w:color="auto" w:fill="auto"/>
        </w:rPr>
      </w:pPr>
      <w:bookmarkStart w:id="1" w:name="_Toc17346"/>
      <w:r>
        <w:rPr>
          <w:rFonts w:hint="eastAsia" w:ascii="宋体" w:hAnsi="宋体" w:cs="宋体"/>
          <w:b/>
          <w:bCs/>
          <w:sz w:val="44"/>
          <w:szCs w:val="44"/>
          <w:shd w:val="clear" w:color="auto" w:fill="auto"/>
          <w:lang w:val="en-US" w:eastAsia="zh-CN"/>
        </w:rPr>
        <w:t>2025年</w:t>
      </w:r>
      <w:r>
        <w:rPr>
          <w:rFonts w:hint="eastAsia" w:ascii="宋体" w:hAnsi="宋体" w:eastAsia="宋体" w:cs="宋体"/>
          <w:b/>
          <w:bCs/>
          <w:sz w:val="44"/>
          <w:szCs w:val="44"/>
          <w:shd w:val="clear" w:color="auto" w:fill="auto"/>
          <w:lang w:val="en-US" w:eastAsia="zh-CN"/>
        </w:rPr>
        <w:t>度</w:t>
      </w:r>
      <w:r>
        <w:rPr>
          <w:rFonts w:hint="eastAsia" w:ascii="宋体" w:hAnsi="宋体" w:eastAsia="宋体" w:cs="宋体"/>
          <w:b/>
          <w:bCs/>
          <w:sz w:val="44"/>
          <w:szCs w:val="44"/>
          <w:shd w:val="clear" w:color="auto" w:fill="auto"/>
          <w:lang w:eastAsia="zh-CN"/>
        </w:rPr>
        <w:t>部门</w:t>
      </w:r>
      <w:r>
        <w:rPr>
          <w:rFonts w:hint="eastAsia" w:ascii="宋体" w:hAnsi="宋体" w:eastAsia="宋体" w:cs="宋体"/>
          <w:b/>
          <w:bCs/>
          <w:sz w:val="44"/>
          <w:szCs w:val="44"/>
          <w:shd w:val="clear" w:color="auto" w:fill="auto"/>
          <w:lang w:val="en-US" w:eastAsia="zh-CN"/>
        </w:rPr>
        <w:t>整体支出绩效</w:t>
      </w:r>
      <w:r>
        <w:rPr>
          <w:rFonts w:hint="eastAsia" w:ascii="宋体" w:hAnsi="宋体" w:eastAsia="宋体" w:cs="宋体"/>
          <w:b/>
          <w:bCs/>
          <w:sz w:val="44"/>
          <w:szCs w:val="44"/>
          <w:shd w:val="clear" w:color="auto" w:fill="auto"/>
        </w:rPr>
        <w:t>自评报告</w:t>
      </w:r>
      <w:bookmarkEnd w:id="1"/>
    </w:p>
    <w:p w14:paraId="2BB6C374">
      <w:pPr>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仿宋" w:hAnsi="仿宋" w:eastAsia="仿宋" w:cs="仿宋"/>
          <w:sz w:val="32"/>
          <w:szCs w:val="32"/>
          <w:shd w:val="clear" w:color="auto" w:fill="auto"/>
        </w:rPr>
      </w:pPr>
    </w:p>
    <w:p w14:paraId="0A28B87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lang w:val="en-US" w:eastAsia="zh-CN"/>
        </w:rPr>
        <w:t>为</w:t>
      </w:r>
      <w:r>
        <w:rPr>
          <w:rFonts w:hint="eastAsia" w:ascii="仿宋" w:hAnsi="仿宋" w:eastAsia="仿宋" w:cs="仿宋"/>
          <w:sz w:val="32"/>
          <w:szCs w:val="32"/>
          <w:shd w:val="clear" w:color="auto" w:fill="auto"/>
        </w:rPr>
        <w:t>贯彻落实</w:t>
      </w:r>
      <w:r>
        <w:rPr>
          <w:rFonts w:hint="eastAsia" w:ascii="仿宋" w:hAnsi="仿宋" w:eastAsia="仿宋" w:cs="仿宋"/>
          <w:sz w:val="32"/>
          <w:szCs w:val="32"/>
          <w:shd w:val="clear" w:color="auto" w:fill="auto"/>
          <w:lang w:eastAsia="zh-CN"/>
        </w:rPr>
        <w:t>市委、市政府《关于全面落实预算绩效管理的实施意见》（石发﹝</w:t>
      </w:r>
      <w:r>
        <w:rPr>
          <w:rFonts w:hint="eastAsia" w:ascii="仿宋" w:hAnsi="仿宋" w:eastAsia="仿宋" w:cs="仿宋"/>
          <w:sz w:val="32"/>
          <w:szCs w:val="32"/>
          <w:shd w:val="clear" w:color="auto" w:fill="auto"/>
          <w:lang w:val="en-US" w:eastAsia="zh-CN"/>
        </w:rPr>
        <w:t>2019</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lang w:val="en-US" w:eastAsia="zh-CN"/>
        </w:rPr>
        <w:t>8号</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文件精神，遵循“科学性、规范性、客观性和公正性”的原则，</w:t>
      </w:r>
      <w:r>
        <w:rPr>
          <w:rFonts w:hint="eastAsia" w:ascii="仿宋" w:hAnsi="仿宋" w:eastAsia="仿宋" w:cs="仿宋"/>
          <w:sz w:val="32"/>
          <w:szCs w:val="32"/>
          <w:shd w:val="clear" w:color="auto" w:fill="auto"/>
          <w:lang w:val="en-US" w:eastAsia="zh-CN"/>
        </w:rPr>
        <w:t>石家庄市人民政府办公室（以下简称“我办”）对2025年</w:t>
      </w:r>
      <w:r>
        <w:rPr>
          <w:rFonts w:hint="eastAsia" w:ascii="仿宋" w:hAnsi="仿宋" w:eastAsia="仿宋" w:cs="仿宋"/>
          <w:sz w:val="32"/>
          <w:szCs w:val="32"/>
          <w:shd w:val="clear" w:color="auto" w:fill="auto"/>
          <w:lang w:eastAsia="zh-CN"/>
        </w:rPr>
        <w:t>部门整体支出情况</w:t>
      </w:r>
      <w:r>
        <w:rPr>
          <w:rFonts w:hint="eastAsia" w:ascii="仿宋" w:hAnsi="仿宋" w:eastAsia="仿宋" w:cs="仿宋"/>
          <w:sz w:val="32"/>
          <w:szCs w:val="32"/>
          <w:shd w:val="clear" w:color="auto" w:fill="auto"/>
        </w:rPr>
        <w:t>实施了财政支出绩效自评价，形成本评价报告。</w:t>
      </w:r>
    </w:p>
    <w:p w14:paraId="67CF2EA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b/>
          <w:bCs/>
          <w:sz w:val="32"/>
          <w:szCs w:val="32"/>
          <w:shd w:val="clear" w:color="auto" w:fill="auto"/>
        </w:rPr>
      </w:pPr>
      <w:bookmarkStart w:id="2" w:name="_Toc21512"/>
      <w:r>
        <w:rPr>
          <w:rFonts w:hint="eastAsia" w:ascii="黑体" w:hAnsi="黑体" w:eastAsia="黑体" w:cs="黑体"/>
          <w:sz w:val="32"/>
          <w:szCs w:val="32"/>
          <w:shd w:val="clear" w:color="auto" w:fill="auto"/>
        </w:rPr>
        <w:t>一、</w:t>
      </w:r>
      <w:r>
        <w:rPr>
          <w:rFonts w:hint="eastAsia" w:ascii="黑体" w:hAnsi="黑体" w:eastAsia="黑体" w:cs="黑体"/>
          <w:sz w:val="32"/>
          <w:szCs w:val="32"/>
          <w:shd w:val="clear" w:color="auto" w:fill="auto"/>
          <w:lang w:eastAsia="zh-CN"/>
        </w:rPr>
        <w:t>部门</w:t>
      </w:r>
      <w:r>
        <w:rPr>
          <w:rFonts w:hint="eastAsia" w:ascii="黑体" w:hAnsi="黑体" w:eastAsia="黑体" w:cs="黑体"/>
          <w:sz w:val="32"/>
          <w:szCs w:val="32"/>
          <w:shd w:val="clear" w:color="auto" w:fill="auto"/>
        </w:rPr>
        <w:t>基本情况</w:t>
      </w:r>
      <w:bookmarkEnd w:id="2"/>
    </w:p>
    <w:p w14:paraId="1443725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bCs/>
          <w:sz w:val="32"/>
          <w:szCs w:val="32"/>
          <w:shd w:val="clear" w:color="auto" w:fill="auto"/>
        </w:rPr>
      </w:pPr>
      <w:bookmarkStart w:id="3" w:name="_Toc5172"/>
      <w:r>
        <w:rPr>
          <w:rFonts w:hint="eastAsia" w:ascii="楷体" w:hAnsi="楷体" w:eastAsia="楷体" w:cs="楷体"/>
          <w:b w:val="0"/>
          <w:bCs w:val="0"/>
          <w:sz w:val="32"/>
          <w:szCs w:val="32"/>
          <w:shd w:val="clear" w:color="auto" w:fill="auto"/>
        </w:rPr>
        <w:t>（一）</w:t>
      </w:r>
      <w:r>
        <w:rPr>
          <w:rFonts w:hint="eastAsia" w:ascii="楷体" w:hAnsi="楷体" w:eastAsia="楷体" w:cs="楷体"/>
          <w:b w:val="0"/>
          <w:bCs w:val="0"/>
          <w:sz w:val="32"/>
          <w:szCs w:val="32"/>
          <w:shd w:val="clear" w:color="auto" w:fill="auto"/>
          <w:lang w:eastAsia="zh-CN"/>
        </w:rPr>
        <w:t>部门</w:t>
      </w:r>
      <w:r>
        <w:rPr>
          <w:rFonts w:hint="eastAsia" w:ascii="楷体" w:hAnsi="楷体" w:eastAsia="楷体" w:cs="楷体"/>
          <w:b w:val="0"/>
          <w:bCs w:val="0"/>
          <w:sz w:val="32"/>
          <w:szCs w:val="32"/>
          <w:shd w:val="clear" w:color="auto" w:fill="auto"/>
        </w:rPr>
        <w:t>概况</w:t>
      </w:r>
      <w:bookmarkEnd w:id="3"/>
    </w:p>
    <w:p w14:paraId="5F4635C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lang w:val="en-US" w:eastAsia="zh-CN"/>
        </w:rPr>
        <w:t>1.部门职责</w:t>
      </w:r>
    </w:p>
    <w:p w14:paraId="1CB4912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shd w:val="clear" w:color="auto" w:fill="auto"/>
          <w:lang w:val="en-US" w:eastAsia="zh-CN"/>
        </w:rPr>
      </w:pPr>
      <w:r>
        <w:rPr>
          <w:rFonts w:hint="eastAsia" w:ascii="仿宋" w:hAnsi="仿宋" w:eastAsia="仿宋" w:cs="仿宋"/>
          <w:sz w:val="32"/>
          <w:szCs w:val="32"/>
          <w:shd w:val="clear" w:color="auto" w:fill="auto"/>
          <w:lang w:val="en-US" w:eastAsia="zh-CN"/>
        </w:rPr>
        <w:t>我办主要职责是：协助市政府领导组织起草或审核上报省政府、省政府办公厅和致函省政府各部门的公文，以及以市政府、市政府办公室名义发布的公文；负责市政府、市政府办公室日常公文办理；负责市政府领导活动的组织和协调工作；负责市政府会议的准备和服务工作，协助市政府领导组织落实会议决定事项；研究市政府各部门和各县（市、区）政府请示市政府的事项，提出审核意见，报市政府领导审批；根据市政府领导的批示，对市政府各部门间出现的争议问题提出处理意见，报市政府领导决定；组织起草市政府领导重要讲话及其他重要文稿；组织承办人大代表建议和政协委员提案工作；负责承办市政府提请市人大常委会任免议案和提请市政府任命工作人员的行政任免有关手续；负责承办市政府任命工作人员的宪法宣誓工作；负责市政府值班工作，及时报告重要情况，传达和督促落实市政府领导工作要求；根据市政府工作部署和市政府领导要求，组织专题调研，及时反映情况，提出建议；负责推进、指导、协调、监督、考核评估全市政务公开和政府信息公开工作；负责政务信息服务工作；负责协调联络有关市政府新闻宣传和舆情回应等工作；完成市政府交办的其他任务。</w:t>
      </w:r>
    </w:p>
    <w:p w14:paraId="681BDE9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shd w:val="clear" w:color="auto" w:fill="auto"/>
          <w:lang w:val="en-US" w:eastAsia="zh-CN"/>
        </w:rPr>
      </w:pPr>
      <w:r>
        <w:rPr>
          <w:rFonts w:hint="eastAsia" w:ascii="仿宋" w:hAnsi="仿宋" w:eastAsia="仿宋" w:cs="仿宋"/>
          <w:b w:val="0"/>
          <w:bCs w:val="0"/>
          <w:sz w:val="32"/>
          <w:szCs w:val="32"/>
          <w:shd w:val="clear" w:color="auto" w:fill="auto"/>
          <w:lang w:val="en-US" w:eastAsia="zh-CN"/>
        </w:rPr>
        <w:t>2.</w:t>
      </w:r>
      <w:r>
        <w:rPr>
          <w:rFonts w:hint="eastAsia" w:ascii="仿宋" w:hAnsi="仿宋" w:eastAsia="仿宋" w:cs="仿宋"/>
          <w:b w:val="0"/>
          <w:bCs w:val="0"/>
          <w:sz w:val="32"/>
          <w:szCs w:val="32"/>
          <w:shd w:val="clear" w:color="auto" w:fill="auto"/>
          <w:lang w:eastAsia="zh-CN"/>
        </w:rPr>
        <w:t>机构设置</w:t>
      </w:r>
    </w:p>
    <w:p w14:paraId="3CBA1F7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shd w:val="clear" w:color="auto" w:fill="auto"/>
          <w:lang w:val="en-US" w:eastAsia="zh-CN"/>
        </w:rPr>
        <w:t>我办系财政全额拨款单位，单位性质为行政单位，我办机构设置有：</w:t>
      </w:r>
      <w:r>
        <w:rPr>
          <w:rFonts w:hint="eastAsia" w:ascii="仿宋" w:hAnsi="仿宋" w:eastAsia="仿宋" w:cs="仿宋"/>
          <w:sz w:val="32"/>
          <w:szCs w:val="32"/>
          <w:highlight w:val="none"/>
          <w:shd w:val="clear" w:color="auto" w:fill="auto"/>
          <w:lang w:val="en-US" w:eastAsia="zh-CN"/>
        </w:rPr>
        <w:t>综合科、秘书科、市政务公开办公室、政策法规科、市政府会议办公室等29个科室；我办有3个下属单位，分别为石家庄仲裁委员会、民兵训练基地和石家庄市人民政府驻北京联络处。</w:t>
      </w:r>
    </w:p>
    <w:p w14:paraId="0F21EA7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截至2025年底，我办（含驻京办）现有人员292人，其中在编（在职）人员170人，离退休人员122人（离休人员1人、退休人员121人）。</w:t>
      </w:r>
    </w:p>
    <w:p w14:paraId="0CA6ED3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shd w:val="clear" w:color="auto" w:fill="auto"/>
          <w:lang w:val="en-US" w:eastAsia="zh-CN"/>
        </w:rPr>
      </w:pPr>
      <w:r>
        <w:rPr>
          <w:rFonts w:hint="eastAsia" w:ascii="仿宋" w:hAnsi="仿宋" w:eastAsia="仿宋" w:cs="仿宋"/>
          <w:b w:val="0"/>
          <w:bCs w:val="0"/>
          <w:sz w:val="32"/>
          <w:szCs w:val="32"/>
          <w:shd w:val="clear" w:color="auto" w:fill="auto"/>
          <w:lang w:val="en-US" w:eastAsia="zh-CN"/>
        </w:rPr>
        <w:t>3.资产情况</w:t>
      </w:r>
    </w:p>
    <w:p w14:paraId="229FE5B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shd w:val="clear" w:color="auto" w:fill="auto"/>
          <w:lang w:eastAsia="zh-CN"/>
        </w:rPr>
      </w:pPr>
      <w:r>
        <w:rPr>
          <w:rFonts w:hint="eastAsia" w:ascii="仿宋" w:hAnsi="仿宋" w:eastAsia="仿宋" w:cs="仿宋"/>
          <w:sz w:val="32"/>
          <w:szCs w:val="32"/>
          <w:highlight w:val="none"/>
          <w:shd w:val="clear" w:color="auto" w:fill="auto"/>
          <w:lang w:val="en-US" w:eastAsia="zh-CN"/>
        </w:rPr>
        <w:t>截至2025年底，我办共有资产206.48万元，其中：货币资金23.87万元，固定资产累计折旧549.24万元，固定资产净值182.37万元，无对外出租出借资产。资产管理</w:t>
      </w:r>
      <w:r>
        <w:rPr>
          <w:rFonts w:hint="eastAsia" w:ascii="仿宋" w:hAnsi="仿宋" w:eastAsia="仿宋" w:cs="仿宋"/>
          <w:sz w:val="32"/>
          <w:szCs w:val="32"/>
          <w:highlight w:val="none"/>
          <w:shd w:val="clear" w:color="auto" w:fill="auto"/>
          <w:lang w:eastAsia="zh-CN"/>
        </w:rPr>
        <w:t>依照政府采购目录进行政府采购，加强固定资产登记、使用和报废处置管理，做到支出合理，物尽其用。</w:t>
      </w:r>
    </w:p>
    <w:p w14:paraId="2399564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shd w:val="clear" w:color="auto" w:fill="auto"/>
          <w:lang w:eastAsia="zh-CN"/>
        </w:rPr>
      </w:pPr>
      <w:bookmarkStart w:id="4" w:name="_Toc28202"/>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lang w:val="en-US" w:eastAsia="zh-CN"/>
        </w:rPr>
        <w:t>二</w:t>
      </w:r>
      <w:r>
        <w:rPr>
          <w:rFonts w:hint="eastAsia" w:ascii="楷体" w:hAnsi="楷体" w:eastAsia="楷体" w:cs="楷体"/>
          <w:b w:val="0"/>
          <w:bCs w:val="0"/>
          <w:sz w:val="32"/>
          <w:szCs w:val="32"/>
          <w:shd w:val="clear" w:color="auto" w:fill="auto"/>
          <w:lang w:eastAsia="zh-CN"/>
        </w:rPr>
        <w:t>）部门收支预决算情况</w:t>
      </w:r>
      <w:bookmarkEnd w:id="4"/>
    </w:p>
    <w:p w14:paraId="2F715386">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none"/>
          <w:shd w:val="clear" w:color="auto" w:fill="auto"/>
        </w:rPr>
      </w:pPr>
      <w:r>
        <w:rPr>
          <w:rFonts w:hint="eastAsia" w:ascii="仿宋" w:hAnsi="仿宋" w:eastAsia="仿宋" w:cs="仿宋"/>
          <w:sz w:val="32"/>
          <w:szCs w:val="32"/>
          <w:highlight w:val="none"/>
          <w:shd w:val="clear" w:color="auto" w:fill="auto"/>
          <w:lang w:val="en-US" w:eastAsia="zh-CN"/>
        </w:rPr>
        <w:t>我办2025年</w:t>
      </w:r>
      <w:r>
        <w:rPr>
          <w:rFonts w:hint="eastAsia" w:ascii="仿宋" w:hAnsi="仿宋" w:eastAsia="仿宋" w:cs="仿宋"/>
          <w:kern w:val="2"/>
          <w:sz w:val="32"/>
          <w:szCs w:val="32"/>
          <w:highlight w:val="none"/>
          <w:shd w:val="clear" w:color="auto" w:fill="auto"/>
        </w:rPr>
        <w:t>一般公共预算</w:t>
      </w:r>
      <w:r>
        <w:rPr>
          <w:rFonts w:hint="eastAsia" w:ascii="仿宋" w:hAnsi="仿宋" w:eastAsia="仿宋" w:cs="仿宋"/>
          <w:kern w:val="2"/>
          <w:sz w:val="32"/>
          <w:szCs w:val="32"/>
          <w:highlight w:val="none"/>
          <w:shd w:val="clear" w:color="auto" w:fill="auto"/>
          <w:lang w:val="en-US" w:eastAsia="zh-CN"/>
        </w:rPr>
        <w:t>9323.68</w:t>
      </w:r>
      <w:r>
        <w:rPr>
          <w:rFonts w:hint="eastAsia" w:ascii="仿宋" w:hAnsi="仿宋" w:eastAsia="仿宋" w:cs="仿宋"/>
          <w:kern w:val="2"/>
          <w:sz w:val="32"/>
          <w:szCs w:val="32"/>
          <w:highlight w:val="none"/>
          <w:shd w:val="clear" w:color="auto" w:fill="auto"/>
        </w:rPr>
        <w:t>万元</w:t>
      </w:r>
      <w:r>
        <w:rPr>
          <w:rFonts w:hint="eastAsia" w:ascii="仿宋" w:hAnsi="仿宋" w:eastAsia="仿宋" w:cs="仿宋"/>
          <w:kern w:val="2"/>
          <w:sz w:val="32"/>
          <w:szCs w:val="32"/>
          <w:highlight w:val="none"/>
          <w:shd w:val="clear" w:color="auto" w:fill="auto"/>
          <w:lang w:eastAsia="zh-CN"/>
        </w:rPr>
        <w:t>，</w:t>
      </w:r>
      <w:r>
        <w:rPr>
          <w:rFonts w:hint="eastAsia" w:ascii="仿宋" w:hAnsi="仿宋" w:eastAsia="仿宋" w:cs="仿宋"/>
          <w:kern w:val="2"/>
          <w:sz w:val="32"/>
          <w:szCs w:val="32"/>
          <w:highlight w:val="none"/>
          <w:shd w:val="clear" w:color="auto" w:fill="auto"/>
        </w:rPr>
        <w:t>基本支出</w:t>
      </w:r>
      <w:r>
        <w:rPr>
          <w:rFonts w:hint="eastAsia" w:ascii="仿宋" w:hAnsi="仿宋" w:eastAsia="仿宋" w:cs="仿宋"/>
          <w:kern w:val="2"/>
          <w:sz w:val="32"/>
          <w:szCs w:val="32"/>
          <w:highlight w:val="none"/>
          <w:shd w:val="clear" w:color="auto" w:fill="auto"/>
          <w:lang w:val="en-US" w:eastAsia="zh-CN"/>
        </w:rPr>
        <w:t>4626.51</w:t>
      </w:r>
      <w:r>
        <w:rPr>
          <w:rFonts w:hint="eastAsia" w:ascii="仿宋" w:hAnsi="仿宋" w:eastAsia="仿宋" w:cs="仿宋"/>
          <w:kern w:val="2"/>
          <w:sz w:val="32"/>
          <w:szCs w:val="32"/>
          <w:highlight w:val="none"/>
          <w:shd w:val="clear" w:color="auto" w:fill="auto"/>
        </w:rPr>
        <w:t>万元，项目支出</w:t>
      </w:r>
      <w:r>
        <w:rPr>
          <w:rFonts w:hint="eastAsia" w:ascii="仿宋" w:hAnsi="仿宋" w:eastAsia="仿宋" w:cs="仿宋"/>
          <w:kern w:val="2"/>
          <w:sz w:val="32"/>
          <w:szCs w:val="32"/>
          <w:highlight w:val="none"/>
          <w:shd w:val="clear" w:color="auto" w:fill="auto"/>
          <w:lang w:val="en-US" w:eastAsia="zh-CN"/>
        </w:rPr>
        <w:t>4697.17</w:t>
      </w:r>
      <w:r>
        <w:rPr>
          <w:rFonts w:hint="eastAsia" w:ascii="仿宋" w:hAnsi="仿宋" w:eastAsia="仿宋" w:cs="仿宋"/>
          <w:kern w:val="2"/>
          <w:sz w:val="32"/>
          <w:szCs w:val="32"/>
          <w:highlight w:val="none"/>
          <w:shd w:val="clear" w:color="auto" w:fill="auto"/>
        </w:rPr>
        <w:t>万元。</w:t>
      </w:r>
    </w:p>
    <w:p w14:paraId="1758884B">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none"/>
          <w:shd w:val="clear" w:color="auto" w:fill="auto"/>
        </w:rPr>
      </w:pPr>
      <w:r>
        <w:rPr>
          <w:rFonts w:hint="eastAsia" w:ascii="仿宋" w:hAnsi="仿宋" w:eastAsia="仿宋" w:cs="仿宋"/>
          <w:kern w:val="2"/>
          <w:sz w:val="32"/>
          <w:szCs w:val="32"/>
          <w:highlight w:val="none"/>
          <w:shd w:val="clear" w:color="auto" w:fill="auto"/>
          <w:lang w:val="en-US" w:eastAsia="zh-CN"/>
        </w:rPr>
        <w:t>2025年预算调整具体为：</w:t>
      </w:r>
      <w:r>
        <w:rPr>
          <w:rFonts w:hint="eastAsia" w:ascii="仿宋" w:hAnsi="仿宋" w:eastAsia="仿宋" w:cs="仿宋"/>
          <w:kern w:val="2"/>
          <w:sz w:val="32"/>
          <w:szCs w:val="32"/>
          <w:highlight w:val="none"/>
          <w:shd w:val="clear" w:color="auto" w:fill="auto"/>
        </w:rPr>
        <w:t>一般公共预算</w:t>
      </w:r>
      <w:r>
        <w:rPr>
          <w:rFonts w:hint="eastAsia" w:ascii="仿宋" w:hAnsi="仿宋" w:eastAsia="仿宋" w:cs="仿宋"/>
          <w:kern w:val="2"/>
          <w:sz w:val="32"/>
          <w:szCs w:val="32"/>
          <w:highlight w:val="none"/>
          <w:shd w:val="clear" w:color="auto" w:fill="auto"/>
          <w:lang w:val="en-US" w:eastAsia="zh-CN"/>
        </w:rPr>
        <w:t>9228.73</w:t>
      </w:r>
      <w:r>
        <w:rPr>
          <w:rFonts w:hint="eastAsia" w:ascii="仿宋" w:hAnsi="仿宋" w:eastAsia="仿宋" w:cs="仿宋"/>
          <w:kern w:val="2"/>
          <w:sz w:val="32"/>
          <w:szCs w:val="32"/>
          <w:highlight w:val="none"/>
          <w:shd w:val="clear" w:color="auto" w:fill="auto"/>
        </w:rPr>
        <w:t>万元</w:t>
      </w:r>
      <w:r>
        <w:rPr>
          <w:rFonts w:hint="eastAsia" w:ascii="仿宋" w:hAnsi="仿宋" w:eastAsia="仿宋" w:cs="仿宋"/>
          <w:kern w:val="2"/>
          <w:sz w:val="32"/>
          <w:szCs w:val="32"/>
          <w:highlight w:val="none"/>
          <w:shd w:val="clear" w:color="auto" w:fill="auto"/>
          <w:lang w:val="en-US" w:eastAsia="zh-CN"/>
        </w:rPr>
        <w:t>。</w:t>
      </w:r>
      <w:r>
        <w:rPr>
          <w:rFonts w:hint="eastAsia" w:ascii="仿宋" w:hAnsi="仿宋" w:eastAsia="仿宋" w:cs="仿宋"/>
          <w:kern w:val="2"/>
          <w:sz w:val="32"/>
          <w:szCs w:val="32"/>
          <w:highlight w:val="none"/>
          <w:shd w:val="clear" w:color="auto" w:fill="auto"/>
        </w:rPr>
        <w:t>基本支出</w:t>
      </w:r>
      <w:r>
        <w:rPr>
          <w:rFonts w:hint="eastAsia" w:ascii="仿宋" w:hAnsi="仿宋" w:eastAsia="仿宋" w:cs="仿宋"/>
          <w:kern w:val="2"/>
          <w:sz w:val="32"/>
          <w:szCs w:val="32"/>
          <w:highlight w:val="none"/>
          <w:shd w:val="clear" w:color="auto" w:fill="auto"/>
          <w:lang w:val="en-US" w:eastAsia="zh-CN"/>
        </w:rPr>
        <w:t>4520.63</w:t>
      </w:r>
      <w:r>
        <w:rPr>
          <w:rFonts w:hint="eastAsia" w:ascii="仿宋" w:hAnsi="仿宋" w:eastAsia="仿宋" w:cs="仿宋"/>
          <w:kern w:val="2"/>
          <w:sz w:val="32"/>
          <w:szCs w:val="32"/>
          <w:highlight w:val="none"/>
          <w:shd w:val="clear" w:color="auto" w:fill="auto"/>
        </w:rPr>
        <w:t>万元，项目支出</w:t>
      </w:r>
      <w:r>
        <w:rPr>
          <w:rFonts w:hint="eastAsia" w:ascii="仿宋" w:hAnsi="仿宋" w:eastAsia="仿宋" w:cs="仿宋"/>
          <w:kern w:val="2"/>
          <w:sz w:val="32"/>
          <w:szCs w:val="32"/>
          <w:highlight w:val="none"/>
          <w:shd w:val="clear" w:color="auto" w:fill="auto"/>
          <w:lang w:val="en-US" w:eastAsia="zh-CN"/>
        </w:rPr>
        <w:t>4708.1</w:t>
      </w:r>
      <w:r>
        <w:rPr>
          <w:rFonts w:hint="eastAsia" w:ascii="仿宋" w:hAnsi="仿宋" w:eastAsia="仿宋" w:cs="仿宋"/>
          <w:kern w:val="2"/>
          <w:sz w:val="32"/>
          <w:szCs w:val="32"/>
          <w:highlight w:val="none"/>
          <w:shd w:val="clear" w:color="auto" w:fill="auto"/>
        </w:rPr>
        <w:t>万元。</w:t>
      </w:r>
    </w:p>
    <w:p w14:paraId="1FB2A874">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sz w:val="32"/>
          <w:szCs w:val="32"/>
          <w:highlight w:val="none"/>
          <w:shd w:val="clear" w:color="auto" w:fill="auto"/>
          <w:lang w:eastAsia="zh-CN"/>
        </w:rPr>
      </w:pPr>
      <w:r>
        <w:rPr>
          <w:rFonts w:hint="eastAsia" w:ascii="仿宋" w:hAnsi="仿宋" w:eastAsia="仿宋" w:cs="仿宋"/>
          <w:kern w:val="2"/>
          <w:sz w:val="32"/>
          <w:szCs w:val="32"/>
          <w:highlight w:val="none"/>
          <w:shd w:val="clear" w:color="auto" w:fill="auto"/>
          <w:lang w:eastAsia="zh-CN"/>
        </w:rPr>
        <w:t>202</w:t>
      </w:r>
      <w:r>
        <w:rPr>
          <w:rFonts w:hint="eastAsia" w:ascii="仿宋" w:hAnsi="仿宋" w:eastAsia="仿宋" w:cs="仿宋"/>
          <w:kern w:val="2"/>
          <w:sz w:val="32"/>
          <w:szCs w:val="32"/>
          <w:highlight w:val="none"/>
          <w:shd w:val="clear" w:color="auto" w:fill="auto"/>
          <w:lang w:val="en-US" w:eastAsia="zh-CN"/>
        </w:rPr>
        <w:t>5</w:t>
      </w:r>
      <w:r>
        <w:rPr>
          <w:rFonts w:hint="eastAsia" w:ascii="仿宋" w:hAnsi="仿宋" w:eastAsia="仿宋" w:cs="仿宋"/>
          <w:kern w:val="2"/>
          <w:sz w:val="32"/>
          <w:szCs w:val="32"/>
          <w:highlight w:val="none"/>
          <w:shd w:val="clear" w:color="auto" w:fill="auto"/>
          <w:lang w:eastAsia="zh-CN"/>
        </w:rPr>
        <w:t>年</w:t>
      </w:r>
      <w:r>
        <w:rPr>
          <w:rFonts w:hint="eastAsia" w:ascii="仿宋" w:hAnsi="仿宋" w:eastAsia="仿宋" w:cs="仿宋"/>
          <w:kern w:val="2"/>
          <w:sz w:val="32"/>
          <w:szCs w:val="32"/>
          <w:highlight w:val="none"/>
          <w:shd w:val="clear" w:color="auto" w:fill="auto"/>
        </w:rPr>
        <w:t>决算收入</w:t>
      </w:r>
      <w:r>
        <w:rPr>
          <w:rFonts w:hint="eastAsia" w:ascii="仿宋" w:hAnsi="仿宋" w:eastAsia="仿宋" w:cs="仿宋"/>
          <w:kern w:val="2"/>
          <w:sz w:val="32"/>
          <w:szCs w:val="32"/>
          <w:highlight w:val="none"/>
          <w:shd w:val="clear" w:color="auto" w:fill="auto"/>
          <w:lang w:val="en-US" w:eastAsia="zh-CN"/>
        </w:rPr>
        <w:t>9027.33</w:t>
      </w:r>
      <w:r>
        <w:rPr>
          <w:rFonts w:hint="eastAsia" w:ascii="仿宋" w:hAnsi="仿宋" w:eastAsia="仿宋" w:cs="仿宋"/>
          <w:kern w:val="2"/>
          <w:sz w:val="32"/>
          <w:szCs w:val="32"/>
          <w:highlight w:val="none"/>
          <w:shd w:val="clear" w:color="auto" w:fill="auto"/>
        </w:rPr>
        <w:t>万元</w:t>
      </w:r>
      <w:r>
        <w:rPr>
          <w:rFonts w:hint="eastAsia" w:ascii="仿宋" w:hAnsi="仿宋" w:eastAsia="仿宋" w:cs="仿宋"/>
          <w:kern w:val="2"/>
          <w:sz w:val="32"/>
          <w:szCs w:val="32"/>
          <w:highlight w:val="none"/>
          <w:shd w:val="clear" w:color="auto" w:fill="auto"/>
          <w:lang w:val="en-US" w:eastAsia="zh-CN"/>
        </w:rPr>
        <w:t>。</w:t>
      </w:r>
      <w:r>
        <w:rPr>
          <w:rFonts w:hint="eastAsia" w:ascii="仿宋" w:hAnsi="仿宋" w:eastAsia="仿宋" w:cs="仿宋"/>
          <w:kern w:val="2"/>
          <w:sz w:val="32"/>
          <w:szCs w:val="32"/>
          <w:highlight w:val="none"/>
          <w:shd w:val="clear" w:color="auto" w:fill="auto"/>
        </w:rPr>
        <w:t>基本支出</w:t>
      </w:r>
      <w:r>
        <w:rPr>
          <w:rFonts w:hint="eastAsia" w:ascii="仿宋" w:hAnsi="仿宋" w:eastAsia="仿宋" w:cs="仿宋"/>
          <w:kern w:val="2"/>
          <w:sz w:val="32"/>
          <w:szCs w:val="32"/>
          <w:highlight w:val="none"/>
          <w:shd w:val="clear" w:color="auto" w:fill="auto"/>
          <w:lang w:val="en-US" w:eastAsia="zh-CN"/>
        </w:rPr>
        <w:t>4493.13</w:t>
      </w:r>
      <w:r>
        <w:rPr>
          <w:rFonts w:hint="eastAsia" w:ascii="仿宋" w:hAnsi="仿宋" w:eastAsia="仿宋" w:cs="仿宋"/>
          <w:kern w:val="2"/>
          <w:sz w:val="32"/>
          <w:szCs w:val="32"/>
          <w:highlight w:val="none"/>
          <w:shd w:val="clear" w:color="auto" w:fill="auto"/>
        </w:rPr>
        <w:t>万元，项目支出</w:t>
      </w:r>
      <w:r>
        <w:rPr>
          <w:rFonts w:hint="eastAsia" w:ascii="仿宋" w:hAnsi="仿宋" w:eastAsia="仿宋" w:cs="仿宋"/>
          <w:kern w:val="2"/>
          <w:sz w:val="32"/>
          <w:szCs w:val="32"/>
          <w:highlight w:val="none"/>
          <w:shd w:val="clear" w:color="auto" w:fill="auto"/>
          <w:lang w:val="en-US" w:eastAsia="zh-CN"/>
        </w:rPr>
        <w:t>4534.19</w:t>
      </w:r>
      <w:r>
        <w:rPr>
          <w:rFonts w:hint="eastAsia" w:ascii="仿宋" w:hAnsi="仿宋" w:eastAsia="仿宋" w:cs="仿宋"/>
          <w:kern w:val="2"/>
          <w:sz w:val="32"/>
          <w:szCs w:val="32"/>
          <w:highlight w:val="none"/>
          <w:shd w:val="clear" w:color="auto" w:fill="auto"/>
        </w:rPr>
        <w:t>万元。</w:t>
      </w:r>
    </w:p>
    <w:p w14:paraId="76669223">
      <w:pPr>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shd w:val="clear" w:color="auto" w:fill="auto"/>
          <w:lang w:eastAsia="zh-CN"/>
        </w:rPr>
      </w:pPr>
      <w:bookmarkStart w:id="5" w:name="_Toc2186"/>
      <w:r>
        <w:rPr>
          <w:rFonts w:hint="eastAsia" w:ascii="楷体" w:hAnsi="楷体" w:eastAsia="楷体" w:cs="楷体"/>
          <w:b w:val="0"/>
          <w:bCs w:val="0"/>
          <w:sz w:val="32"/>
          <w:szCs w:val="32"/>
          <w:shd w:val="clear" w:color="auto" w:fill="auto"/>
          <w:lang w:eastAsia="zh-CN"/>
        </w:rPr>
        <w:t>（三）部门整体支出绩效目标、指标</w:t>
      </w:r>
      <w:bookmarkEnd w:id="5"/>
    </w:p>
    <w:p w14:paraId="51438286">
      <w:pPr>
        <w:pageBreakBefore w:val="0"/>
        <w:widowControl w:val="0"/>
        <w:kinsoku/>
        <w:wordWrap/>
        <w:overflowPunct/>
        <w:topLinePunct w:val="0"/>
        <w:autoSpaceDE/>
        <w:autoSpaceDN/>
        <w:bidi w:val="0"/>
        <w:spacing w:line="560" w:lineRule="exact"/>
        <w:ind w:left="0" w:firstLine="640" w:firstLineChars="200"/>
        <w:textAlignment w:val="auto"/>
        <w:outlineLvl w:val="1"/>
        <w:rPr>
          <w:rFonts w:hint="eastAsia" w:ascii="仿宋" w:hAnsi="仿宋" w:eastAsia="仿宋" w:cs="仿宋"/>
          <w:kern w:val="2"/>
          <w:sz w:val="32"/>
          <w:szCs w:val="32"/>
          <w:shd w:val="clear" w:color="auto" w:fill="auto"/>
          <w:lang w:val="en-US" w:eastAsia="zh-CN" w:bidi="ar-SA"/>
        </w:rPr>
      </w:pPr>
      <w:bookmarkStart w:id="6" w:name="_Toc6549"/>
      <w:bookmarkStart w:id="7" w:name="_Toc_2_2_0000000001"/>
      <w:r>
        <w:rPr>
          <w:rFonts w:hint="eastAsia" w:ascii="仿宋" w:hAnsi="仿宋" w:eastAsia="仿宋" w:cs="仿宋"/>
          <w:kern w:val="2"/>
          <w:sz w:val="32"/>
          <w:szCs w:val="32"/>
          <w:shd w:val="clear" w:color="auto" w:fill="auto"/>
          <w:lang w:val="en-US" w:eastAsia="zh-CN" w:bidi="ar-SA"/>
        </w:rPr>
        <w:t>1.总体绩效目标</w:t>
      </w:r>
      <w:bookmarkEnd w:id="6"/>
      <w:bookmarkEnd w:id="7"/>
    </w:p>
    <w:p w14:paraId="0812344B">
      <w:pPr>
        <w:pStyle w:val="12"/>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sz w:val="32"/>
          <w:szCs w:val="32"/>
          <w:shd w:val="clear" w:color="auto" w:fill="auto"/>
          <w:lang w:val="en-US" w:eastAsia="zh-CN"/>
        </w:rPr>
      </w:pPr>
      <w:r>
        <w:rPr>
          <w:rFonts w:hint="eastAsia" w:ascii="仿宋" w:hAnsi="仿宋" w:eastAsia="仿宋" w:cs="仿宋"/>
          <w:sz w:val="32"/>
          <w:szCs w:val="32"/>
          <w:shd w:val="clear" w:color="auto" w:fill="auto"/>
          <w:lang w:val="en-US" w:eastAsia="zh-CN"/>
        </w:rPr>
        <w:t>2025年，市政府办公室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14:paraId="195C1C22">
      <w:pPr>
        <w:pageBreakBefore w:val="0"/>
        <w:widowControl w:val="0"/>
        <w:kinsoku/>
        <w:wordWrap/>
        <w:overflowPunct/>
        <w:topLinePunct w:val="0"/>
        <w:autoSpaceDE/>
        <w:autoSpaceDN/>
        <w:bidi w:val="0"/>
        <w:spacing w:line="560" w:lineRule="exact"/>
        <w:ind w:left="0" w:firstLine="640" w:firstLineChars="200"/>
        <w:textAlignment w:val="auto"/>
        <w:outlineLvl w:val="1"/>
        <w:rPr>
          <w:rFonts w:hint="eastAsia" w:ascii="仿宋" w:hAnsi="仿宋" w:eastAsia="仿宋" w:cs="仿宋"/>
          <w:kern w:val="2"/>
          <w:sz w:val="32"/>
          <w:szCs w:val="32"/>
          <w:shd w:val="clear" w:color="auto" w:fill="auto"/>
          <w:lang w:val="en-US" w:eastAsia="zh-CN" w:bidi="ar-SA"/>
        </w:rPr>
      </w:pPr>
      <w:bookmarkStart w:id="8" w:name="_Toc_2_2_0000000002"/>
      <w:bookmarkStart w:id="9" w:name="_Toc31521"/>
      <w:r>
        <w:rPr>
          <w:rFonts w:hint="eastAsia" w:ascii="仿宋" w:hAnsi="仿宋" w:eastAsia="仿宋" w:cs="仿宋"/>
          <w:kern w:val="2"/>
          <w:sz w:val="32"/>
          <w:szCs w:val="32"/>
          <w:shd w:val="clear" w:color="auto" w:fill="auto"/>
          <w:lang w:val="en-US" w:eastAsia="zh-CN" w:bidi="ar-SA"/>
        </w:rPr>
        <w:t>2.分项绩效目标</w:t>
      </w:r>
      <w:bookmarkEnd w:id="8"/>
      <w:bookmarkEnd w:id="9"/>
    </w:p>
    <w:p w14:paraId="0A9BA02B">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lang w:eastAsia="zh-CN"/>
        </w:rPr>
        <w:t>（</w:t>
      </w:r>
      <w:r>
        <w:rPr>
          <w:rFonts w:hint="eastAsia" w:ascii="仿宋" w:hAnsi="仿宋" w:eastAsia="仿宋" w:cs="仿宋"/>
          <w:b w:val="0"/>
          <w:bCs w:val="0"/>
          <w:sz w:val="32"/>
          <w:szCs w:val="32"/>
          <w:shd w:val="clear" w:color="auto" w:fill="auto"/>
          <w:lang w:val="en-US" w:eastAsia="zh-CN"/>
        </w:rPr>
        <w:t>1）</w:t>
      </w:r>
      <w:r>
        <w:rPr>
          <w:rFonts w:hint="eastAsia" w:ascii="仿宋" w:hAnsi="仿宋" w:eastAsia="仿宋" w:cs="仿宋"/>
          <w:b w:val="0"/>
          <w:bCs w:val="0"/>
          <w:sz w:val="32"/>
          <w:szCs w:val="32"/>
          <w:shd w:val="clear" w:color="auto" w:fill="auto"/>
        </w:rPr>
        <w:t>全面提升办文办会质量</w:t>
      </w:r>
    </w:p>
    <w:p w14:paraId="2941E6C3">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绩效目标：市政府办公室积极主动对标对表，借鉴省政府办公厅和市委办公室办文办会的好经验</w:t>
      </w:r>
      <w:r>
        <w:rPr>
          <w:rFonts w:hint="eastAsia" w:ascii="仿宋" w:hAnsi="仿宋" w:eastAsia="仿宋" w:cs="仿宋"/>
          <w:b w:val="0"/>
          <w:bCs w:val="0"/>
          <w:sz w:val="32"/>
          <w:szCs w:val="32"/>
          <w:shd w:val="clear" w:color="auto" w:fill="auto"/>
          <w:lang w:eastAsia="zh-CN"/>
        </w:rPr>
        <w:t>、</w:t>
      </w:r>
      <w:r>
        <w:rPr>
          <w:rFonts w:hint="eastAsia" w:ascii="仿宋" w:hAnsi="仿宋" w:eastAsia="仿宋" w:cs="仿宋"/>
          <w:b w:val="0"/>
          <w:bCs w:val="0"/>
          <w:sz w:val="32"/>
          <w:szCs w:val="32"/>
          <w:shd w:val="clear" w:color="auto" w:fill="auto"/>
        </w:rPr>
        <w:t>好做法，完善制度、规范流程、明确标准，不断提高办文办会质量和效率。</w:t>
      </w:r>
    </w:p>
    <w:p w14:paraId="3876F2D0">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指标：进一步完善办文办会制度，严格程序、严密环节、严肃纪律，压实责任，对组织起草的上报省政府以及以市政府、市政府办公室名义发布的公文加大审核力度，改进办会模式，年内办文办会质量显著提升。</w:t>
      </w:r>
    </w:p>
    <w:p w14:paraId="04AEEB2A">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lang w:eastAsia="zh-CN"/>
        </w:rPr>
        <w:t>（</w:t>
      </w:r>
      <w:r>
        <w:rPr>
          <w:rFonts w:hint="eastAsia" w:ascii="仿宋" w:hAnsi="仿宋" w:eastAsia="仿宋" w:cs="仿宋"/>
          <w:b w:val="0"/>
          <w:bCs w:val="0"/>
          <w:sz w:val="32"/>
          <w:szCs w:val="32"/>
          <w:shd w:val="clear" w:color="auto" w:fill="auto"/>
          <w:lang w:val="en-US" w:eastAsia="zh-CN"/>
        </w:rPr>
        <w:t>2）</w:t>
      </w:r>
      <w:r>
        <w:rPr>
          <w:rFonts w:hint="eastAsia" w:ascii="仿宋" w:hAnsi="仿宋" w:eastAsia="仿宋" w:cs="仿宋"/>
          <w:b w:val="0"/>
          <w:bCs w:val="0"/>
          <w:sz w:val="32"/>
          <w:szCs w:val="32"/>
          <w:shd w:val="clear" w:color="auto" w:fill="auto"/>
        </w:rPr>
        <w:t>全面提升政务服务质量和效率</w:t>
      </w:r>
    </w:p>
    <w:p w14:paraId="4B9BC1A9">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14:paraId="327A9C1D">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14:paraId="684E2C0F">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lang w:eastAsia="zh-CN"/>
        </w:rPr>
        <w:t>（</w:t>
      </w:r>
      <w:r>
        <w:rPr>
          <w:rFonts w:hint="eastAsia" w:ascii="仿宋" w:hAnsi="仿宋" w:eastAsia="仿宋" w:cs="仿宋"/>
          <w:b w:val="0"/>
          <w:bCs w:val="0"/>
          <w:sz w:val="32"/>
          <w:szCs w:val="32"/>
          <w:shd w:val="clear" w:color="auto" w:fill="auto"/>
          <w:lang w:val="en-US" w:eastAsia="zh-CN"/>
        </w:rPr>
        <w:t>3）</w:t>
      </w:r>
      <w:r>
        <w:rPr>
          <w:rFonts w:hint="eastAsia" w:ascii="仿宋" w:hAnsi="仿宋" w:eastAsia="仿宋" w:cs="仿宋"/>
          <w:b w:val="0"/>
          <w:bCs w:val="0"/>
          <w:sz w:val="32"/>
          <w:szCs w:val="32"/>
          <w:shd w:val="clear" w:color="auto" w:fill="auto"/>
        </w:rPr>
        <w:t>全面做好重大专项工作</w:t>
      </w:r>
    </w:p>
    <w:p w14:paraId="51B328F1">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绩效目标：做好重大应急突发事件处置等工作，落实会议组织、文件起草、印发等事项，协调推进各项工作任务开展；组织实施考核、信息汇总上报和宣传等工作；积极落实市领导交办的</w:t>
      </w:r>
      <w:r>
        <w:rPr>
          <w:rFonts w:hint="eastAsia" w:ascii="仿宋" w:hAnsi="仿宋" w:eastAsia="仿宋" w:cs="仿宋"/>
          <w:b w:val="0"/>
          <w:bCs w:val="0"/>
          <w:sz w:val="32"/>
          <w:szCs w:val="32"/>
          <w:shd w:val="clear" w:color="auto" w:fill="auto"/>
          <w:lang w:eastAsia="zh-CN"/>
        </w:rPr>
        <w:t>其他事项</w:t>
      </w:r>
      <w:r>
        <w:rPr>
          <w:rFonts w:hint="eastAsia" w:ascii="仿宋" w:hAnsi="仿宋" w:eastAsia="仿宋" w:cs="仿宋"/>
          <w:b w:val="0"/>
          <w:bCs w:val="0"/>
          <w:sz w:val="32"/>
          <w:szCs w:val="32"/>
          <w:shd w:val="clear" w:color="auto" w:fill="auto"/>
        </w:rPr>
        <w:t>。</w:t>
      </w:r>
    </w:p>
    <w:p w14:paraId="14767BCA">
      <w:pPr>
        <w:pStyle w:val="13"/>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shd w:val="clear" w:color="auto" w:fill="auto"/>
        </w:rPr>
      </w:pPr>
      <w:r>
        <w:rPr>
          <w:rFonts w:hint="eastAsia" w:ascii="仿宋" w:hAnsi="仿宋" w:eastAsia="仿宋" w:cs="仿宋"/>
          <w:b w:val="0"/>
          <w:bCs w:val="0"/>
          <w:sz w:val="32"/>
          <w:szCs w:val="32"/>
          <w:shd w:val="clear" w:color="auto" w:fill="auto"/>
        </w:rPr>
        <w:t>绩效指标：指导有关部门完善应急预案，文件指导性进一步增强，工作有效推进，信息汇总准确，宣传报道及时，市领导交办事项完成圆满。</w:t>
      </w:r>
    </w:p>
    <w:p w14:paraId="1CA1D7EB">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shd w:val="clear" w:color="auto" w:fill="auto"/>
        </w:rPr>
      </w:pPr>
      <w:bookmarkStart w:id="10" w:name="_Toc14565"/>
      <w:r>
        <w:rPr>
          <w:rFonts w:hint="eastAsia" w:ascii="黑体" w:hAnsi="黑体" w:eastAsia="黑体" w:cs="黑体"/>
          <w:sz w:val="32"/>
          <w:szCs w:val="32"/>
          <w:shd w:val="clear" w:color="auto" w:fill="auto"/>
        </w:rPr>
        <w:t>自评工作</w:t>
      </w:r>
      <w:r>
        <w:rPr>
          <w:rFonts w:hint="eastAsia" w:ascii="黑体" w:hAnsi="黑体" w:eastAsia="黑体" w:cs="黑体"/>
          <w:sz w:val="32"/>
          <w:szCs w:val="32"/>
          <w:shd w:val="clear" w:color="auto" w:fill="auto"/>
          <w:lang w:eastAsia="zh-CN"/>
        </w:rPr>
        <w:t>开展</w:t>
      </w:r>
      <w:r>
        <w:rPr>
          <w:rFonts w:hint="eastAsia" w:ascii="黑体" w:hAnsi="黑体" w:eastAsia="黑体" w:cs="黑体"/>
          <w:sz w:val="32"/>
          <w:szCs w:val="32"/>
          <w:shd w:val="clear" w:color="auto" w:fill="auto"/>
        </w:rPr>
        <w:t>情况</w:t>
      </w:r>
      <w:bookmarkEnd w:id="10"/>
    </w:p>
    <w:p w14:paraId="2E7E460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1"/>
        <w:rPr>
          <w:rFonts w:hint="eastAsia" w:ascii="楷体" w:hAnsi="楷体" w:eastAsia="楷体" w:cs="楷体"/>
          <w:b w:val="0"/>
          <w:bCs w:val="0"/>
          <w:sz w:val="32"/>
          <w:szCs w:val="32"/>
          <w:shd w:val="clear" w:color="auto" w:fill="auto"/>
        </w:rPr>
      </w:pPr>
      <w:bookmarkStart w:id="11" w:name="_Toc14096"/>
      <w:r>
        <w:rPr>
          <w:rFonts w:hint="eastAsia" w:ascii="楷体" w:hAnsi="楷体" w:eastAsia="楷体" w:cs="楷体"/>
          <w:b w:val="0"/>
          <w:bCs w:val="0"/>
          <w:sz w:val="32"/>
          <w:szCs w:val="32"/>
          <w:shd w:val="clear" w:color="auto" w:fill="auto"/>
        </w:rPr>
        <w:t>（一）自评的组织工作</w:t>
      </w:r>
      <w:bookmarkEnd w:id="11"/>
    </w:p>
    <w:p w14:paraId="750EF24C">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default" w:ascii="仿宋" w:hAnsi="仿宋" w:eastAsia="仿宋" w:cs="仿宋"/>
          <w:color w:val="auto"/>
          <w:kern w:val="0"/>
          <w:sz w:val="32"/>
          <w:szCs w:val="32"/>
          <w:shd w:val="clear" w:color="auto" w:fill="auto"/>
          <w:lang w:val="en-US" w:eastAsia="zh-CN"/>
        </w:rPr>
      </w:pPr>
      <w:r>
        <w:rPr>
          <w:rFonts w:hint="eastAsia" w:ascii="仿宋" w:hAnsi="仿宋" w:eastAsia="仿宋" w:cs="仿宋"/>
          <w:color w:val="auto"/>
          <w:kern w:val="0"/>
          <w:sz w:val="32"/>
          <w:szCs w:val="32"/>
          <w:shd w:val="clear" w:color="auto" w:fill="auto"/>
          <w:lang w:val="en-US" w:eastAsia="zh-CN"/>
        </w:rPr>
        <w:t>我办</w:t>
      </w:r>
      <w:r>
        <w:rPr>
          <w:rFonts w:hint="eastAsia" w:ascii="仿宋" w:hAnsi="仿宋" w:eastAsia="仿宋" w:cs="仿宋"/>
          <w:color w:val="auto"/>
          <w:kern w:val="0"/>
          <w:sz w:val="32"/>
          <w:szCs w:val="32"/>
          <w:shd w:val="clear" w:color="auto" w:fill="auto"/>
        </w:rPr>
        <w:t>为推进本年度预算绩效评价工作，</w:t>
      </w:r>
      <w:r>
        <w:rPr>
          <w:rFonts w:hint="eastAsia" w:ascii="仿宋" w:hAnsi="仿宋" w:eastAsia="仿宋" w:cs="仿宋"/>
          <w:color w:val="auto"/>
          <w:kern w:val="0"/>
          <w:sz w:val="32"/>
          <w:szCs w:val="32"/>
          <w:shd w:val="clear" w:color="auto" w:fill="auto"/>
          <w:lang w:val="en-US" w:eastAsia="zh-CN"/>
        </w:rPr>
        <w:t>成立绩效工作组，其中市政府秘书长盖明力担任组长；市政府副秘书长王立永担任副组长；组员为杨献存、王琳、聂豆豆、李艺鸣。</w:t>
      </w:r>
    </w:p>
    <w:p w14:paraId="5E7B6471">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按照通知要求，评</w:t>
      </w:r>
      <w:bookmarkStart w:id="12" w:name="_Hlk43651802"/>
      <w:r>
        <w:rPr>
          <w:rFonts w:hint="eastAsia" w:ascii="仿宋" w:hAnsi="仿宋" w:eastAsia="仿宋" w:cs="仿宋"/>
          <w:sz w:val="32"/>
          <w:szCs w:val="32"/>
          <w:shd w:val="clear" w:color="auto" w:fill="auto"/>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2"/>
      <w:r>
        <w:rPr>
          <w:rFonts w:hint="eastAsia" w:ascii="仿宋" w:hAnsi="仿宋" w:eastAsia="仿宋" w:cs="仿宋"/>
          <w:sz w:val="32"/>
          <w:szCs w:val="32"/>
          <w:shd w:val="clear" w:color="auto" w:fill="auto"/>
        </w:rPr>
        <w:t>。</w:t>
      </w:r>
    </w:p>
    <w:p w14:paraId="5B72896C">
      <w:pPr>
        <w:pStyle w:val="2"/>
        <w:pageBreakBefore w:val="0"/>
        <w:widowControl w:val="0"/>
        <w:kinsoku/>
        <w:wordWrap/>
        <w:overflowPunct/>
        <w:topLinePunct w:val="0"/>
        <w:autoSpaceDE/>
        <w:autoSpaceDN/>
        <w:bidi w:val="0"/>
        <w:spacing w:line="560" w:lineRule="exact"/>
        <w:ind w:leftChars="0" w:firstLine="640" w:firstLineChars="200"/>
        <w:textAlignment w:val="auto"/>
        <w:rPr>
          <w:rFonts w:hint="eastAsia" w:ascii="楷体" w:hAnsi="楷体" w:eastAsia="楷体" w:cs="楷体"/>
          <w:b w:val="0"/>
          <w:bCs w:val="0"/>
          <w:kern w:val="2"/>
          <w:sz w:val="32"/>
          <w:szCs w:val="32"/>
          <w:shd w:val="clear" w:color="auto" w:fill="auto"/>
          <w:lang w:val="en-US" w:eastAsia="zh-CN" w:bidi="ar-SA"/>
        </w:rPr>
      </w:pPr>
      <w:bookmarkStart w:id="13" w:name="_Toc7154"/>
      <w:bookmarkStart w:id="14" w:name="_Toc14872"/>
      <w:bookmarkStart w:id="15" w:name="_Toc9252"/>
      <w:bookmarkStart w:id="16" w:name="_Toc10325"/>
      <w:r>
        <w:rPr>
          <w:rFonts w:hint="eastAsia" w:ascii="楷体" w:hAnsi="楷体" w:eastAsia="楷体" w:cs="楷体"/>
          <w:b w:val="0"/>
          <w:bCs w:val="0"/>
          <w:kern w:val="2"/>
          <w:sz w:val="32"/>
          <w:szCs w:val="32"/>
          <w:shd w:val="clear" w:color="auto" w:fill="auto"/>
          <w:lang w:val="en-US" w:eastAsia="zh-CN" w:bidi="ar-SA"/>
        </w:rPr>
        <w:fldChar w:fldCharType="begin"/>
      </w:r>
      <w:r>
        <w:rPr>
          <w:rFonts w:hint="eastAsia" w:ascii="楷体" w:hAnsi="楷体" w:eastAsia="楷体" w:cs="楷体"/>
          <w:b w:val="0"/>
          <w:bCs w:val="0"/>
          <w:kern w:val="2"/>
          <w:sz w:val="32"/>
          <w:szCs w:val="32"/>
          <w:shd w:val="clear" w:color="auto" w:fill="auto"/>
          <w:lang w:val="en-US" w:eastAsia="zh-CN" w:bidi="ar-SA"/>
        </w:rPr>
        <w:instrText xml:space="preserve"> HYPERLINK \l "_Toc29256" </w:instrText>
      </w:r>
      <w:r>
        <w:rPr>
          <w:rFonts w:hint="eastAsia" w:ascii="楷体" w:hAnsi="楷体" w:eastAsia="楷体" w:cs="楷体"/>
          <w:b w:val="0"/>
          <w:bCs w:val="0"/>
          <w:kern w:val="2"/>
          <w:sz w:val="32"/>
          <w:szCs w:val="32"/>
          <w:shd w:val="clear" w:color="auto" w:fill="auto"/>
          <w:lang w:val="en-US" w:eastAsia="zh-CN" w:bidi="ar-SA"/>
        </w:rPr>
        <w:fldChar w:fldCharType="separate"/>
      </w:r>
      <w:r>
        <w:rPr>
          <w:rFonts w:hint="eastAsia" w:ascii="楷体" w:hAnsi="楷体" w:eastAsia="楷体" w:cs="楷体"/>
          <w:b w:val="0"/>
          <w:bCs w:val="0"/>
          <w:kern w:val="2"/>
          <w:sz w:val="32"/>
          <w:szCs w:val="32"/>
          <w:shd w:val="clear" w:color="auto" w:fill="auto"/>
          <w:lang w:val="en-US" w:eastAsia="zh-CN" w:bidi="ar-SA"/>
        </w:rPr>
        <w:t>（二）确定评价内容</w:t>
      </w:r>
      <w:r>
        <w:rPr>
          <w:rFonts w:hint="eastAsia" w:ascii="楷体" w:hAnsi="楷体" w:eastAsia="楷体" w:cs="楷体"/>
          <w:b w:val="0"/>
          <w:bCs w:val="0"/>
          <w:kern w:val="2"/>
          <w:sz w:val="32"/>
          <w:szCs w:val="32"/>
          <w:shd w:val="clear" w:color="auto" w:fill="auto"/>
          <w:lang w:val="en-US" w:eastAsia="zh-CN" w:bidi="ar-SA"/>
        </w:rPr>
        <w:fldChar w:fldCharType="end"/>
      </w:r>
      <w:bookmarkEnd w:id="13"/>
      <w:bookmarkEnd w:id="14"/>
      <w:bookmarkEnd w:id="15"/>
      <w:bookmarkEnd w:id="16"/>
    </w:p>
    <w:p w14:paraId="3C05B7FB">
      <w:pPr>
        <w:pageBreakBefore w:val="0"/>
        <w:widowControl w:val="0"/>
        <w:kinsoku/>
        <w:wordWrap/>
        <w:overflowPunct/>
        <w:topLinePunct w:val="0"/>
        <w:autoSpaceDE/>
        <w:autoSpaceDN/>
        <w:bidi w:val="0"/>
        <w:spacing w:line="560" w:lineRule="exact"/>
        <w:ind w:leftChars="0" w:firstLine="640" w:firstLineChars="200"/>
        <w:textAlignment w:val="auto"/>
        <w:rPr>
          <w:rFonts w:hint="eastAsia" w:ascii="仿宋" w:hAnsi="仿宋" w:eastAsia="仿宋" w:cs="仿宋"/>
          <w:b w:val="0"/>
          <w:kern w:val="2"/>
          <w:sz w:val="32"/>
          <w:szCs w:val="32"/>
          <w:shd w:val="clear" w:color="auto" w:fill="auto"/>
          <w:lang w:val="en-US" w:eastAsia="zh-CN" w:bidi="ar-SA"/>
        </w:rPr>
      </w:pPr>
      <w:r>
        <w:rPr>
          <w:rFonts w:hint="eastAsia" w:ascii="仿宋" w:hAnsi="仿宋" w:eastAsia="仿宋" w:cs="仿宋"/>
          <w:b w:val="0"/>
          <w:kern w:val="2"/>
          <w:sz w:val="32"/>
          <w:szCs w:val="32"/>
          <w:shd w:val="clear" w:color="auto" w:fill="auto"/>
          <w:lang w:val="en-US" w:eastAsia="zh-CN" w:bidi="ar-SA"/>
        </w:rPr>
        <w:t>按照财政部门要求的内容全覆盖，对资金执行情况进行重点评价的工作思路，准确掌握部门整体支付使用相关政策落实情况、项目招投标、采购及合同管理情况、资金使用管理情况等，在此基础上，开展</w:t>
      </w:r>
      <w:r>
        <w:rPr>
          <w:rFonts w:hint="eastAsia" w:ascii="仿宋" w:hAnsi="仿宋" w:eastAsia="仿宋" w:cs="仿宋"/>
          <w:b w:val="0"/>
          <w:kern w:val="2"/>
          <w:sz w:val="32"/>
          <w:szCs w:val="32"/>
          <w:highlight w:val="none"/>
          <w:shd w:val="clear" w:color="auto" w:fill="auto"/>
          <w:lang w:val="en-US" w:eastAsia="zh-CN" w:bidi="ar-SA"/>
        </w:rPr>
        <w:t>12345市政府公开电话及12342环境举报专线专项经费</w:t>
      </w:r>
      <w:r>
        <w:rPr>
          <w:rFonts w:hint="eastAsia" w:ascii="仿宋" w:hAnsi="仿宋" w:eastAsia="仿宋" w:cs="仿宋"/>
          <w:b w:val="0"/>
          <w:kern w:val="2"/>
          <w:sz w:val="32"/>
          <w:szCs w:val="32"/>
          <w:shd w:val="clear" w:color="auto" w:fill="auto"/>
          <w:lang w:val="en-US" w:eastAsia="zh-CN" w:bidi="ar-SA"/>
        </w:rPr>
        <w:t>重点评价，</w:t>
      </w:r>
      <w:r>
        <w:rPr>
          <w:rFonts w:hint="eastAsia" w:ascii="仿宋" w:hAnsi="仿宋" w:eastAsia="仿宋" w:cs="仿宋"/>
          <w:b w:val="0"/>
          <w:kern w:val="2"/>
          <w:sz w:val="32"/>
          <w:szCs w:val="32"/>
          <w:highlight w:val="none"/>
          <w:shd w:val="clear" w:color="auto" w:fill="auto"/>
          <w:lang w:val="en-US" w:eastAsia="zh-CN" w:bidi="ar-SA"/>
        </w:rPr>
        <w:t>评价其资金使用、产生的效益及受益群众满意度情况等方面。</w:t>
      </w:r>
      <w:r>
        <w:rPr>
          <w:rFonts w:hint="eastAsia" w:ascii="仿宋" w:hAnsi="仿宋" w:eastAsia="仿宋" w:cs="仿宋"/>
          <w:b w:val="0"/>
          <w:kern w:val="2"/>
          <w:sz w:val="32"/>
          <w:szCs w:val="32"/>
          <w:shd w:val="clear" w:color="auto" w:fill="auto"/>
          <w:lang w:val="en-US" w:eastAsia="zh-CN" w:bidi="ar-SA"/>
        </w:rPr>
        <w:t>同时，结合该项目的实施及项目完成的实际情况，总结经验、发现不足、分析存在的问题，并针对存在的主要问题提出可行的改进措施，针对自评结果依法报送并公开。</w:t>
      </w:r>
    </w:p>
    <w:p w14:paraId="0634596A">
      <w:pPr>
        <w:pStyle w:val="2"/>
        <w:pageBreakBefore w:val="0"/>
        <w:widowControl w:val="0"/>
        <w:kinsoku/>
        <w:wordWrap/>
        <w:overflowPunct/>
        <w:topLinePunct w:val="0"/>
        <w:autoSpaceDE/>
        <w:autoSpaceDN/>
        <w:bidi w:val="0"/>
        <w:spacing w:line="560" w:lineRule="exact"/>
        <w:ind w:leftChars="0" w:firstLine="640" w:firstLineChars="200"/>
        <w:textAlignment w:val="auto"/>
        <w:rPr>
          <w:rFonts w:hint="eastAsia" w:ascii="楷体" w:hAnsi="楷体" w:eastAsia="楷体" w:cs="楷体"/>
          <w:b w:val="0"/>
          <w:bCs w:val="0"/>
          <w:kern w:val="2"/>
          <w:sz w:val="32"/>
          <w:szCs w:val="32"/>
          <w:shd w:val="clear" w:color="auto" w:fill="auto"/>
          <w:lang w:val="en-US" w:eastAsia="zh-CN" w:bidi="ar-SA"/>
        </w:rPr>
      </w:pPr>
      <w:bookmarkStart w:id="17" w:name="_Toc21402"/>
      <w:bookmarkStart w:id="18" w:name="_Toc3225"/>
      <w:bookmarkStart w:id="19" w:name="_Toc13545"/>
      <w:bookmarkStart w:id="20" w:name="_Toc15626"/>
      <w:r>
        <w:rPr>
          <w:rFonts w:hint="eastAsia" w:ascii="楷体" w:hAnsi="楷体" w:eastAsia="楷体" w:cs="楷体"/>
          <w:b w:val="0"/>
          <w:bCs w:val="0"/>
          <w:kern w:val="2"/>
          <w:sz w:val="32"/>
          <w:szCs w:val="32"/>
          <w:shd w:val="clear" w:color="auto" w:fill="auto"/>
          <w:lang w:val="en-US" w:eastAsia="zh-CN" w:bidi="ar-SA"/>
        </w:rPr>
        <w:fldChar w:fldCharType="begin"/>
      </w:r>
      <w:r>
        <w:rPr>
          <w:rFonts w:hint="eastAsia" w:ascii="楷体" w:hAnsi="楷体" w:eastAsia="楷体" w:cs="楷体"/>
          <w:b w:val="0"/>
          <w:bCs w:val="0"/>
          <w:kern w:val="2"/>
          <w:sz w:val="32"/>
          <w:szCs w:val="32"/>
          <w:shd w:val="clear" w:color="auto" w:fill="auto"/>
          <w:lang w:val="en-US" w:eastAsia="zh-CN" w:bidi="ar-SA"/>
        </w:rPr>
        <w:instrText xml:space="preserve"> HYPERLINK \l _Toc22735 </w:instrText>
      </w:r>
      <w:r>
        <w:rPr>
          <w:rFonts w:hint="eastAsia" w:ascii="楷体" w:hAnsi="楷体" w:eastAsia="楷体" w:cs="楷体"/>
          <w:b w:val="0"/>
          <w:bCs w:val="0"/>
          <w:kern w:val="2"/>
          <w:sz w:val="32"/>
          <w:szCs w:val="32"/>
          <w:shd w:val="clear" w:color="auto" w:fill="auto"/>
          <w:lang w:val="en-US" w:eastAsia="zh-CN" w:bidi="ar-SA"/>
        </w:rPr>
        <w:fldChar w:fldCharType="separate"/>
      </w:r>
      <w:r>
        <w:rPr>
          <w:rFonts w:hint="eastAsia" w:ascii="楷体" w:hAnsi="楷体" w:eastAsia="楷体" w:cs="楷体"/>
          <w:b w:val="0"/>
          <w:bCs w:val="0"/>
          <w:kern w:val="2"/>
          <w:sz w:val="32"/>
          <w:szCs w:val="32"/>
          <w:shd w:val="clear" w:color="auto" w:fill="auto"/>
          <w:lang w:val="en-US" w:eastAsia="zh-CN" w:bidi="ar-SA"/>
        </w:rPr>
        <w:t>（三）绩效评价依</w:t>
      </w:r>
      <w:r>
        <w:rPr>
          <w:rFonts w:hint="eastAsia" w:ascii="楷体" w:hAnsi="楷体" w:eastAsia="楷体" w:cs="楷体"/>
          <w:b w:val="0"/>
          <w:bCs w:val="0"/>
          <w:kern w:val="2"/>
          <w:sz w:val="32"/>
          <w:szCs w:val="32"/>
          <w:shd w:val="clear" w:color="auto" w:fill="auto"/>
          <w:lang w:val="en-US" w:eastAsia="zh-CN" w:bidi="ar-SA"/>
        </w:rPr>
        <w:fldChar w:fldCharType="end"/>
      </w:r>
      <w:bookmarkEnd w:id="17"/>
      <w:r>
        <w:rPr>
          <w:rFonts w:hint="eastAsia" w:ascii="楷体" w:hAnsi="楷体" w:eastAsia="楷体" w:cs="楷体"/>
          <w:b w:val="0"/>
          <w:bCs w:val="0"/>
          <w:kern w:val="2"/>
          <w:sz w:val="32"/>
          <w:szCs w:val="32"/>
          <w:shd w:val="clear" w:color="auto" w:fill="auto"/>
          <w:lang w:val="en-US" w:eastAsia="zh-CN" w:bidi="ar-SA"/>
        </w:rPr>
        <w:t>据</w:t>
      </w:r>
      <w:bookmarkEnd w:id="18"/>
      <w:bookmarkEnd w:id="19"/>
      <w:bookmarkEnd w:id="20"/>
    </w:p>
    <w:p w14:paraId="606934B2">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shd w:val="clear" w:color="auto" w:fill="auto"/>
          <w:lang w:val="en-US" w:eastAsia="zh-CN" w:bidi="ar-SA"/>
        </w:rPr>
      </w:pPr>
      <w:r>
        <w:rPr>
          <w:rFonts w:hint="eastAsia" w:ascii="仿宋" w:hAnsi="仿宋" w:eastAsia="仿宋" w:cs="仿宋"/>
          <w:b w:val="0"/>
          <w:kern w:val="2"/>
          <w:sz w:val="32"/>
          <w:szCs w:val="32"/>
          <w:shd w:val="clear" w:color="auto" w:fill="auto"/>
          <w:lang w:val="en-US" w:eastAsia="zh-CN" w:bidi="ar-SA"/>
        </w:rPr>
        <w:t>1.《中华人民共和国预算法》；</w:t>
      </w:r>
    </w:p>
    <w:p w14:paraId="5EF7DC96">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shd w:val="clear" w:color="auto" w:fill="auto"/>
          <w:lang w:val="en-US" w:eastAsia="zh-CN" w:bidi="ar-SA"/>
        </w:rPr>
      </w:pPr>
      <w:r>
        <w:rPr>
          <w:rFonts w:hint="eastAsia" w:ascii="仿宋" w:hAnsi="仿宋" w:eastAsia="仿宋" w:cs="仿宋"/>
          <w:b w:val="0"/>
          <w:kern w:val="2"/>
          <w:sz w:val="32"/>
          <w:szCs w:val="32"/>
          <w:shd w:val="clear" w:color="auto" w:fill="auto"/>
          <w:lang w:val="en-US" w:eastAsia="zh-CN" w:bidi="ar-SA"/>
        </w:rPr>
        <w:t>2.《中共中央 国务院关于全面实施预算绩效管理的意见》（中发〔2018〕34号）；</w:t>
      </w:r>
    </w:p>
    <w:p w14:paraId="69C06FAD">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shd w:val="clear" w:color="auto" w:fill="auto"/>
          <w:lang w:val="en-US" w:eastAsia="zh-CN" w:bidi="ar-SA"/>
        </w:rPr>
      </w:pPr>
      <w:r>
        <w:rPr>
          <w:rFonts w:hint="eastAsia" w:ascii="仿宋" w:hAnsi="仿宋" w:eastAsia="仿宋" w:cs="仿宋"/>
          <w:b w:val="0"/>
          <w:kern w:val="2"/>
          <w:sz w:val="32"/>
          <w:szCs w:val="32"/>
          <w:shd w:val="clear" w:color="auto" w:fill="auto"/>
          <w:lang w:val="en-US" w:eastAsia="zh-CN" w:bidi="ar-SA"/>
        </w:rPr>
        <w:t>3.财政部《关于印发〈项目支出绩效评价管理办法〉的通知》（财预〔2020〕10号）；</w:t>
      </w:r>
    </w:p>
    <w:p w14:paraId="1DA95105">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highlight w:val="none"/>
          <w:shd w:val="clear" w:color="auto" w:fill="auto"/>
          <w:lang w:val="en-US" w:eastAsia="zh-CN" w:bidi="ar-SA"/>
        </w:rPr>
      </w:pPr>
      <w:r>
        <w:rPr>
          <w:rFonts w:hint="eastAsia" w:ascii="仿宋" w:hAnsi="仿宋" w:eastAsia="仿宋" w:cs="仿宋"/>
          <w:b w:val="0"/>
          <w:kern w:val="2"/>
          <w:sz w:val="32"/>
          <w:szCs w:val="32"/>
          <w:highlight w:val="none"/>
          <w:shd w:val="clear" w:color="auto" w:fill="auto"/>
          <w:lang w:val="en-US" w:eastAsia="zh-CN" w:bidi="ar-SA"/>
        </w:rPr>
        <w:t>4.《石家庄市财政局关于开展2026年绩效自评工作的通知》（石财绩〔2026〕6号）；</w:t>
      </w:r>
    </w:p>
    <w:p w14:paraId="0D7A8B9D">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shd w:val="clear" w:color="auto" w:fill="auto"/>
          <w:lang w:eastAsia="zh-CN"/>
        </w:rPr>
      </w:pPr>
      <w:r>
        <w:rPr>
          <w:rFonts w:hint="eastAsia" w:ascii="仿宋" w:hAnsi="仿宋" w:eastAsia="仿宋" w:cs="仿宋"/>
          <w:b w:val="0"/>
          <w:kern w:val="2"/>
          <w:sz w:val="32"/>
          <w:szCs w:val="32"/>
          <w:shd w:val="clear" w:color="auto" w:fill="auto"/>
          <w:lang w:val="en-US" w:eastAsia="zh-CN" w:bidi="ar-SA"/>
        </w:rPr>
        <w:t>5.</w:t>
      </w:r>
      <w:r>
        <w:rPr>
          <w:rFonts w:hint="eastAsia" w:ascii="仿宋" w:hAnsi="仿宋" w:eastAsia="仿宋" w:cs="仿宋"/>
          <w:sz w:val="32"/>
          <w:szCs w:val="32"/>
          <w:shd w:val="clear" w:color="auto" w:fill="auto"/>
          <w:lang w:eastAsia="zh-CN"/>
        </w:rPr>
        <w:t>《石家庄市</w:t>
      </w:r>
      <w:r>
        <w:rPr>
          <w:rFonts w:hint="eastAsia" w:ascii="仿宋" w:hAnsi="仿宋" w:eastAsia="仿宋" w:cs="仿宋"/>
          <w:sz w:val="32"/>
          <w:szCs w:val="32"/>
          <w:shd w:val="clear" w:color="auto" w:fill="auto"/>
          <w:lang w:val="en-US" w:eastAsia="zh-CN"/>
        </w:rPr>
        <w:t>人民政府办公室</w:t>
      </w:r>
      <w:r>
        <w:rPr>
          <w:rFonts w:hint="eastAsia" w:ascii="仿宋" w:hAnsi="仿宋" w:eastAsia="仿宋" w:cs="仿宋"/>
          <w:sz w:val="32"/>
          <w:szCs w:val="32"/>
          <w:shd w:val="clear" w:color="auto" w:fill="auto"/>
          <w:lang w:eastAsia="zh-CN"/>
        </w:rPr>
        <w:t>职能配置、内设机构和人员编制规定》；</w:t>
      </w:r>
    </w:p>
    <w:p w14:paraId="0CBE76E7">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shd w:val="clear" w:color="auto" w:fill="auto"/>
          <w:lang w:val="en-US" w:eastAsia="zh-CN" w:bidi="ar-SA"/>
        </w:rPr>
      </w:pPr>
      <w:r>
        <w:rPr>
          <w:rFonts w:hint="eastAsia" w:ascii="仿宋" w:hAnsi="仿宋" w:eastAsia="仿宋" w:cs="仿宋"/>
          <w:sz w:val="32"/>
          <w:szCs w:val="32"/>
          <w:shd w:val="clear" w:color="auto" w:fill="auto"/>
          <w:lang w:val="en-US" w:eastAsia="zh-CN"/>
        </w:rPr>
        <w:t>6.《石家庄市市级部门项目绩效自评管理办法》</w:t>
      </w:r>
      <w:r>
        <w:rPr>
          <w:rFonts w:hint="eastAsia" w:ascii="仿宋" w:hAnsi="仿宋" w:eastAsia="仿宋" w:cs="仿宋"/>
          <w:b w:val="0"/>
          <w:kern w:val="2"/>
          <w:sz w:val="32"/>
          <w:szCs w:val="32"/>
          <w:shd w:val="clear" w:color="auto" w:fill="auto"/>
          <w:lang w:val="en-US" w:eastAsia="zh-CN" w:bidi="ar-SA"/>
        </w:rPr>
        <w:t>（石财绩〔2020〕5号）；</w:t>
      </w:r>
    </w:p>
    <w:p w14:paraId="2A35CDAF">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shd w:val="clear" w:color="auto" w:fill="auto"/>
          <w:lang w:val="en-US" w:eastAsia="zh-CN"/>
        </w:rPr>
      </w:pPr>
      <w:r>
        <w:rPr>
          <w:rFonts w:hint="eastAsia" w:ascii="仿宋" w:hAnsi="仿宋" w:eastAsia="仿宋" w:cs="仿宋"/>
          <w:b w:val="0"/>
          <w:kern w:val="2"/>
          <w:sz w:val="32"/>
          <w:szCs w:val="32"/>
          <w:shd w:val="clear" w:color="auto" w:fill="auto"/>
          <w:lang w:val="en-US" w:eastAsia="zh-CN" w:bidi="ar-SA"/>
        </w:rPr>
        <w:t>7.其他相关制度。</w:t>
      </w:r>
    </w:p>
    <w:p w14:paraId="373F3A4E">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shd w:val="clear" w:color="auto" w:fill="auto"/>
        </w:rPr>
      </w:pPr>
      <w:bookmarkStart w:id="21" w:name="_Toc11327"/>
      <w:bookmarkStart w:id="22" w:name="_Toc17849"/>
      <w:bookmarkStart w:id="23" w:name="_Toc1205"/>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lang w:val="en-US" w:eastAsia="zh-CN"/>
        </w:rPr>
        <w:t>四</w:t>
      </w:r>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rPr>
        <w:t>绩效自评目的</w:t>
      </w:r>
      <w:bookmarkEnd w:id="21"/>
      <w:bookmarkEnd w:id="22"/>
      <w:bookmarkEnd w:id="23"/>
    </w:p>
    <w:p w14:paraId="1D8478AD">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shd w:val="clear" w:color="auto" w:fill="auto"/>
        </w:rPr>
      </w:pPr>
      <w:bookmarkStart w:id="24" w:name="_Toc7758"/>
      <w:bookmarkStart w:id="25" w:name="_Toc22462"/>
      <w:bookmarkStart w:id="26" w:name="_Toc19442"/>
      <w:r>
        <w:rPr>
          <w:rFonts w:hint="eastAsia" w:ascii="仿宋" w:hAnsi="仿宋" w:eastAsia="仿宋" w:cs="仿宋"/>
          <w:sz w:val="32"/>
          <w:szCs w:val="32"/>
          <w:shd w:val="clear" w:color="auto" w:fill="auto"/>
        </w:rPr>
        <w:t>本次绩效自评将结合</w:t>
      </w:r>
      <w:r>
        <w:rPr>
          <w:rFonts w:hint="eastAsia" w:ascii="仿宋" w:hAnsi="仿宋" w:eastAsia="仿宋" w:cs="仿宋"/>
          <w:sz w:val="32"/>
          <w:szCs w:val="32"/>
          <w:shd w:val="clear" w:color="auto" w:fill="auto"/>
          <w:lang w:eastAsia="zh-CN"/>
        </w:rPr>
        <w:t>我</w:t>
      </w:r>
      <w:r>
        <w:rPr>
          <w:rFonts w:hint="eastAsia" w:ascii="仿宋" w:hAnsi="仿宋" w:eastAsia="仿宋" w:cs="仿宋"/>
          <w:sz w:val="32"/>
          <w:szCs w:val="32"/>
          <w:shd w:val="clear" w:color="auto" w:fill="auto"/>
          <w:lang w:val="en-US" w:eastAsia="zh-CN"/>
        </w:rPr>
        <w:t>办</w:t>
      </w:r>
      <w:r>
        <w:rPr>
          <w:rFonts w:hint="eastAsia" w:ascii="仿宋" w:hAnsi="仿宋" w:eastAsia="仿宋" w:cs="仿宋"/>
          <w:sz w:val="32"/>
          <w:szCs w:val="32"/>
          <w:shd w:val="clear" w:color="auto" w:fill="auto"/>
          <w:lang w:eastAsia="zh-CN"/>
        </w:rPr>
        <w:t>202</w:t>
      </w:r>
      <w:r>
        <w:rPr>
          <w:rFonts w:hint="eastAsia" w:ascii="仿宋" w:hAnsi="仿宋" w:eastAsia="仿宋" w:cs="仿宋"/>
          <w:sz w:val="32"/>
          <w:szCs w:val="32"/>
          <w:shd w:val="clear" w:color="auto" w:fill="auto"/>
          <w:lang w:val="en-US" w:eastAsia="zh-CN"/>
        </w:rPr>
        <w:t>5</w:t>
      </w:r>
      <w:r>
        <w:rPr>
          <w:rFonts w:hint="eastAsia" w:ascii="仿宋" w:hAnsi="仿宋" w:eastAsia="仿宋" w:cs="仿宋"/>
          <w:sz w:val="32"/>
          <w:szCs w:val="32"/>
          <w:shd w:val="clear" w:color="auto" w:fill="auto"/>
          <w:lang w:eastAsia="zh-CN"/>
        </w:rPr>
        <w:t>年</w:t>
      </w:r>
      <w:r>
        <w:rPr>
          <w:rFonts w:hint="eastAsia" w:ascii="仿宋" w:hAnsi="仿宋" w:eastAsia="仿宋" w:cs="仿宋"/>
          <w:sz w:val="32"/>
          <w:szCs w:val="32"/>
          <w:shd w:val="clear" w:color="auto" w:fill="auto"/>
        </w:rPr>
        <w:t>度部门整体支出实际情况，运用科学、规范、合理的评价方法，全面、真实、客观地对</w:t>
      </w:r>
      <w:r>
        <w:rPr>
          <w:rFonts w:hint="eastAsia" w:ascii="仿宋" w:hAnsi="仿宋" w:eastAsia="仿宋" w:cs="仿宋"/>
          <w:sz w:val="32"/>
          <w:szCs w:val="32"/>
          <w:shd w:val="clear" w:color="auto" w:fill="auto"/>
          <w:lang w:eastAsia="zh-CN"/>
        </w:rPr>
        <w:t>我</w:t>
      </w:r>
      <w:r>
        <w:rPr>
          <w:rFonts w:hint="eastAsia" w:ascii="仿宋" w:hAnsi="仿宋" w:eastAsia="仿宋" w:cs="仿宋"/>
          <w:sz w:val="32"/>
          <w:szCs w:val="32"/>
          <w:shd w:val="clear" w:color="auto" w:fill="auto"/>
          <w:lang w:val="en-US" w:eastAsia="zh-CN"/>
        </w:rPr>
        <w:t>办</w:t>
      </w:r>
      <w:r>
        <w:rPr>
          <w:rFonts w:hint="eastAsia" w:ascii="仿宋" w:hAnsi="仿宋" w:eastAsia="仿宋" w:cs="仿宋"/>
          <w:sz w:val="32"/>
          <w:szCs w:val="32"/>
          <w:shd w:val="clear" w:color="auto" w:fill="auto"/>
        </w:rPr>
        <w:t>年度一般公共预算财政拨款资金支出情况、相关制度健全性、项目完成情况及部门履职效果等内容进行综合评价</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全面反映财政资金使用成效和部门职能的实现程度，针对评价过程中发现的问题进一步提出相关意见建议，提升预算管理水平，</w:t>
      </w:r>
      <w:r>
        <w:rPr>
          <w:rFonts w:hint="eastAsia" w:ascii="仿宋" w:hAnsi="仿宋" w:eastAsia="仿宋" w:cs="仿宋"/>
          <w:sz w:val="32"/>
          <w:szCs w:val="32"/>
          <w:shd w:val="clear" w:color="auto" w:fill="auto"/>
          <w:lang w:val="en-US" w:eastAsia="zh-CN"/>
        </w:rPr>
        <w:t>促进</w:t>
      </w:r>
      <w:r>
        <w:rPr>
          <w:rFonts w:hint="eastAsia" w:ascii="仿宋" w:hAnsi="仿宋" w:eastAsia="仿宋" w:cs="仿宋"/>
          <w:sz w:val="32"/>
          <w:szCs w:val="32"/>
          <w:shd w:val="clear" w:color="auto" w:fill="auto"/>
        </w:rPr>
        <w:t>科学合理安排资金</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保障我办以后年度</w:t>
      </w:r>
      <w:r>
        <w:rPr>
          <w:rFonts w:hint="eastAsia" w:ascii="仿宋" w:hAnsi="仿宋" w:eastAsia="仿宋" w:cs="仿宋"/>
          <w:sz w:val="32"/>
          <w:szCs w:val="32"/>
          <w:shd w:val="clear" w:color="auto" w:fill="auto"/>
          <w:lang w:val="en-US" w:eastAsia="zh-CN"/>
        </w:rPr>
        <w:t>高效</w:t>
      </w:r>
      <w:r>
        <w:rPr>
          <w:rFonts w:hint="eastAsia" w:ascii="仿宋" w:hAnsi="仿宋" w:eastAsia="仿宋" w:cs="仿宋"/>
          <w:sz w:val="32"/>
          <w:szCs w:val="32"/>
          <w:shd w:val="clear" w:color="auto" w:fill="auto"/>
        </w:rPr>
        <w:t>履行部门职责。</w:t>
      </w:r>
      <w:bookmarkEnd w:id="24"/>
      <w:bookmarkEnd w:id="25"/>
      <w:bookmarkEnd w:id="26"/>
    </w:p>
    <w:p w14:paraId="0CB0D473">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shd w:val="clear" w:color="auto" w:fill="auto"/>
        </w:rPr>
      </w:pPr>
      <w:bookmarkStart w:id="27" w:name="_Toc32291"/>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lang w:val="en-US" w:eastAsia="zh-CN"/>
        </w:rPr>
        <w:t>五</w:t>
      </w:r>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rPr>
        <w:t>自评的方法</w:t>
      </w:r>
      <w:bookmarkEnd w:id="27"/>
      <w:bookmarkStart w:id="28" w:name="_Toc25386"/>
    </w:p>
    <w:p w14:paraId="44222EC7">
      <w:pPr>
        <w:keepNext w:val="0"/>
        <w:keepLines w:val="0"/>
        <w:pageBreakBefore w:val="0"/>
        <w:widowControl w:val="0"/>
        <w:numPr>
          <w:ilvl w:val="0"/>
          <w:numId w:val="0"/>
        </w:numPr>
        <w:kinsoku/>
        <w:wordWrap/>
        <w:overflowPunct/>
        <w:topLinePunct w:val="0"/>
        <w:autoSpaceDE/>
        <w:autoSpaceDN/>
        <w:bidi w:val="0"/>
        <w:adjustRightInd/>
        <w:spacing w:line="560" w:lineRule="exact"/>
        <w:ind w:left="0" w:right="0" w:rightChars="0" w:firstLine="640" w:firstLineChars="200"/>
        <w:textAlignment w:val="auto"/>
        <w:outlineLvl w:val="9"/>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1</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科学公正原则</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此次绩效自评运用科学合理的方法，按照规范的程序，对我</w:t>
      </w:r>
      <w:r>
        <w:rPr>
          <w:rFonts w:hint="eastAsia" w:ascii="仿宋" w:hAnsi="仿宋" w:eastAsia="仿宋" w:cs="仿宋"/>
          <w:sz w:val="32"/>
          <w:szCs w:val="32"/>
          <w:shd w:val="clear" w:color="auto" w:fill="auto"/>
          <w:lang w:val="en-US" w:eastAsia="zh-CN"/>
        </w:rPr>
        <w:t>办</w:t>
      </w:r>
      <w:r>
        <w:rPr>
          <w:rFonts w:hint="eastAsia" w:ascii="仿宋" w:hAnsi="仿宋" w:eastAsia="仿宋" w:cs="仿宋"/>
          <w:sz w:val="32"/>
          <w:szCs w:val="32"/>
          <w:shd w:val="clear" w:color="auto" w:fill="auto"/>
        </w:rPr>
        <w:t>部门整体预算资金使用绩效进行客观、公正</w:t>
      </w:r>
      <w:r>
        <w:rPr>
          <w:rFonts w:hint="eastAsia" w:ascii="仿宋" w:hAnsi="仿宋" w:eastAsia="仿宋" w:cs="仿宋"/>
          <w:sz w:val="32"/>
          <w:szCs w:val="32"/>
          <w:shd w:val="clear" w:color="auto" w:fill="auto"/>
          <w:lang w:eastAsia="zh-CN"/>
        </w:rPr>
        <w:t>的</w:t>
      </w:r>
      <w:r>
        <w:rPr>
          <w:rFonts w:hint="eastAsia" w:ascii="仿宋" w:hAnsi="仿宋" w:eastAsia="仿宋" w:cs="仿宋"/>
          <w:sz w:val="32"/>
          <w:szCs w:val="32"/>
          <w:shd w:val="clear" w:color="auto" w:fill="auto"/>
        </w:rPr>
        <w:t>反映。</w:t>
      </w:r>
    </w:p>
    <w:p w14:paraId="4CA7F5DD">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2</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统筹兼顾原则</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单位自评、部门自评和财政自评应职责明确，各有侧重，相互衔接，绩效自评结果将上报财政部门作为财政自评参考依据。</w:t>
      </w:r>
    </w:p>
    <w:p w14:paraId="6BA86E12">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3</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激励约束原则</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此次绩效自评结果与预算安排、政策调整、改进管理实质性挂钩，体现奖优罚劣和激励相容导向，有效安排、低效压减、无效问责。</w:t>
      </w:r>
    </w:p>
    <w:p w14:paraId="171E273B">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4</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公开透明原则</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rPr>
        <w:t>此次绩效自评结果应依法依规在政府门户网站进行公开，并自觉接受社会监督。</w:t>
      </w:r>
    </w:p>
    <w:bookmarkEnd w:id="28"/>
    <w:p w14:paraId="161F8402">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shd w:val="clear" w:color="auto" w:fill="auto"/>
          <w:lang w:val="en-US" w:eastAsia="zh-CN"/>
        </w:rPr>
      </w:pPr>
      <w:bookmarkStart w:id="29" w:name="_Toc8765"/>
      <w:bookmarkStart w:id="30" w:name="_Toc14749"/>
      <w:bookmarkStart w:id="31" w:name="_Toc2163"/>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lang w:val="en-US" w:eastAsia="zh-CN"/>
        </w:rPr>
        <w:t>六</w:t>
      </w:r>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rPr>
        <w:t>绩效自评</w:t>
      </w:r>
      <w:bookmarkEnd w:id="29"/>
      <w:bookmarkEnd w:id="30"/>
      <w:r>
        <w:rPr>
          <w:rFonts w:hint="eastAsia" w:ascii="楷体" w:hAnsi="楷体" w:eastAsia="楷体" w:cs="楷体"/>
          <w:b w:val="0"/>
          <w:bCs w:val="0"/>
          <w:sz w:val="32"/>
          <w:szCs w:val="32"/>
          <w:shd w:val="clear" w:color="auto" w:fill="auto"/>
          <w:lang w:val="en-US" w:eastAsia="zh-CN"/>
        </w:rPr>
        <w:t>过程</w:t>
      </w:r>
      <w:bookmarkEnd w:id="31"/>
    </w:p>
    <w:p w14:paraId="014D1CC1">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本次绩效自评将资金使用产出及效</w:t>
      </w:r>
      <w:r>
        <w:rPr>
          <w:rFonts w:hint="eastAsia" w:ascii="仿宋" w:hAnsi="仿宋" w:eastAsia="仿宋" w:cs="仿宋"/>
          <w:sz w:val="32"/>
          <w:szCs w:val="32"/>
          <w:shd w:val="clear" w:color="auto" w:fill="auto"/>
          <w:lang w:val="en-US" w:eastAsia="zh-CN"/>
        </w:rPr>
        <w:t>益</w:t>
      </w:r>
      <w:r>
        <w:rPr>
          <w:rFonts w:hint="eastAsia" w:ascii="仿宋" w:hAnsi="仿宋" w:eastAsia="仿宋" w:cs="仿宋"/>
          <w:sz w:val="32"/>
          <w:szCs w:val="32"/>
          <w:shd w:val="clear" w:color="auto" w:fill="auto"/>
        </w:rPr>
        <w:t>与年初指标值相比较，</w:t>
      </w:r>
      <w:r>
        <w:rPr>
          <w:rFonts w:hint="eastAsia" w:ascii="仿宋" w:hAnsi="仿宋" w:eastAsia="仿宋" w:cs="仿宋"/>
          <w:sz w:val="32"/>
          <w:szCs w:val="32"/>
          <w:highlight w:val="none"/>
          <w:shd w:val="clear" w:color="auto" w:fill="auto"/>
        </w:rPr>
        <w:t>完成相应指标值的</w:t>
      </w:r>
      <w:r>
        <w:rPr>
          <w:rFonts w:hint="eastAsia" w:ascii="仿宋" w:hAnsi="仿宋" w:eastAsia="仿宋" w:cs="仿宋"/>
          <w:sz w:val="32"/>
          <w:szCs w:val="32"/>
          <w:highlight w:val="none"/>
          <w:shd w:val="clear" w:color="auto" w:fill="auto"/>
          <w:lang w:val="en-US" w:eastAsia="zh-CN"/>
        </w:rPr>
        <w:t>填报</w:t>
      </w:r>
      <w:r>
        <w:rPr>
          <w:rFonts w:hint="eastAsia" w:ascii="仿宋" w:hAnsi="仿宋" w:eastAsia="仿宋" w:cs="仿宋"/>
          <w:sz w:val="32"/>
          <w:szCs w:val="32"/>
          <w:highlight w:val="none"/>
          <w:shd w:val="clear" w:color="auto" w:fill="auto"/>
        </w:rPr>
        <w:t>；对完成值高于指标值较多的，分析其形成原因，针对评价过程中发现的问题进一步提出相关意见建议，</w:t>
      </w:r>
      <w:r>
        <w:rPr>
          <w:rFonts w:hint="eastAsia" w:ascii="仿宋" w:hAnsi="仿宋" w:eastAsia="仿宋" w:cs="仿宋"/>
          <w:sz w:val="32"/>
          <w:szCs w:val="32"/>
          <w:shd w:val="clear" w:color="auto" w:fill="auto"/>
        </w:rPr>
        <w:t>为以后年度</w:t>
      </w:r>
      <w:r>
        <w:rPr>
          <w:rFonts w:hint="eastAsia" w:ascii="仿宋" w:hAnsi="仿宋" w:eastAsia="仿宋" w:cs="仿宋"/>
          <w:sz w:val="32"/>
          <w:szCs w:val="32"/>
          <w:shd w:val="clear" w:color="auto" w:fill="auto"/>
          <w:lang w:eastAsia="zh-CN"/>
        </w:rPr>
        <w:t>我</w:t>
      </w:r>
      <w:r>
        <w:rPr>
          <w:rFonts w:hint="eastAsia" w:ascii="仿宋" w:hAnsi="仿宋" w:eastAsia="仿宋" w:cs="仿宋"/>
          <w:sz w:val="32"/>
          <w:szCs w:val="32"/>
          <w:shd w:val="clear" w:color="auto" w:fill="auto"/>
          <w:lang w:val="en-US" w:eastAsia="zh-CN"/>
        </w:rPr>
        <w:t>办</w:t>
      </w:r>
      <w:r>
        <w:rPr>
          <w:rFonts w:hint="eastAsia" w:ascii="仿宋" w:hAnsi="仿宋" w:eastAsia="仿宋" w:cs="仿宋"/>
          <w:sz w:val="32"/>
          <w:szCs w:val="32"/>
          <w:shd w:val="clear" w:color="auto" w:fill="auto"/>
        </w:rPr>
        <w:t>履行部门职责作出更好的预算管理和资金安排。</w:t>
      </w:r>
    </w:p>
    <w:p w14:paraId="68606F93">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0"/>
        <w:rPr>
          <w:rFonts w:hint="eastAsia" w:ascii="黑体" w:hAnsi="黑体" w:eastAsia="黑体" w:cs="黑体"/>
          <w:b/>
          <w:bCs/>
          <w:sz w:val="32"/>
          <w:szCs w:val="32"/>
          <w:highlight w:val="none"/>
          <w:shd w:val="clear" w:color="auto" w:fill="auto"/>
          <w:lang w:eastAsia="zh-CN"/>
        </w:rPr>
      </w:pPr>
      <w:bookmarkStart w:id="32" w:name="_Toc29192"/>
      <w:r>
        <w:rPr>
          <w:rFonts w:hint="eastAsia" w:ascii="黑体" w:hAnsi="黑体" w:eastAsia="黑体" w:cs="黑体"/>
          <w:sz w:val="32"/>
          <w:szCs w:val="32"/>
          <w:highlight w:val="none"/>
          <w:shd w:val="clear" w:color="auto" w:fill="auto"/>
        </w:rPr>
        <w:t>三、</w:t>
      </w:r>
      <w:r>
        <w:rPr>
          <w:rFonts w:hint="eastAsia" w:ascii="黑体" w:hAnsi="黑体" w:eastAsia="黑体" w:cs="黑体"/>
          <w:sz w:val="32"/>
          <w:szCs w:val="32"/>
          <w:highlight w:val="none"/>
          <w:shd w:val="clear" w:color="auto" w:fill="auto"/>
          <w:lang w:eastAsia="zh-CN"/>
        </w:rPr>
        <w:t>部门整体支出</w:t>
      </w:r>
      <w:r>
        <w:rPr>
          <w:rFonts w:hint="eastAsia" w:ascii="黑体" w:hAnsi="黑体" w:eastAsia="黑体" w:cs="黑体"/>
          <w:sz w:val="32"/>
          <w:szCs w:val="32"/>
          <w:highlight w:val="none"/>
          <w:shd w:val="clear" w:color="auto" w:fill="auto"/>
        </w:rPr>
        <w:t>绩效</w:t>
      </w:r>
      <w:r>
        <w:rPr>
          <w:rFonts w:hint="eastAsia" w:ascii="黑体" w:hAnsi="黑体" w:eastAsia="黑体" w:cs="黑体"/>
          <w:sz w:val="32"/>
          <w:szCs w:val="32"/>
          <w:highlight w:val="none"/>
          <w:shd w:val="clear" w:color="auto" w:fill="auto"/>
          <w:lang w:eastAsia="zh-CN"/>
        </w:rPr>
        <w:t>目标实现情况及指标分析</w:t>
      </w:r>
      <w:bookmarkEnd w:id="32"/>
    </w:p>
    <w:p w14:paraId="2CA8353D">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rPr>
      </w:pPr>
      <w:bookmarkStart w:id="33" w:name="_Toc29231"/>
      <w:r>
        <w:rPr>
          <w:rFonts w:hint="eastAsia" w:ascii="楷体" w:hAnsi="楷体" w:eastAsia="楷体" w:cs="楷体"/>
          <w:b w:val="0"/>
          <w:bCs w:val="0"/>
          <w:sz w:val="32"/>
          <w:szCs w:val="32"/>
          <w:highlight w:val="none"/>
          <w:shd w:val="clear" w:color="auto" w:fill="auto"/>
          <w:lang w:eastAsia="zh-CN"/>
        </w:rPr>
        <w:t>总体绩效目标实现情况</w:t>
      </w:r>
      <w:bookmarkEnd w:id="33"/>
    </w:p>
    <w:p w14:paraId="15A879D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2025年</w:t>
      </w:r>
      <w:r>
        <w:rPr>
          <w:rFonts w:hint="eastAsia" w:ascii="仿宋" w:hAnsi="仿宋" w:eastAsia="仿宋" w:cs="仿宋"/>
          <w:color w:val="auto"/>
          <w:sz w:val="32"/>
          <w:szCs w:val="32"/>
          <w:highlight w:val="none"/>
          <w:shd w:val="clear" w:color="auto" w:fill="auto"/>
        </w:rPr>
        <w:t>市财政局批复</w:t>
      </w:r>
      <w:r>
        <w:rPr>
          <w:rFonts w:hint="eastAsia" w:ascii="仿宋" w:hAnsi="仿宋" w:eastAsia="仿宋" w:cs="仿宋"/>
          <w:color w:val="auto"/>
          <w:sz w:val="32"/>
          <w:szCs w:val="32"/>
          <w:highlight w:val="none"/>
          <w:shd w:val="clear" w:color="auto" w:fill="auto"/>
          <w:lang w:eastAsia="zh-CN"/>
        </w:rPr>
        <w:t>我办</w:t>
      </w:r>
      <w:r>
        <w:rPr>
          <w:rFonts w:hint="eastAsia" w:ascii="仿宋" w:hAnsi="仿宋" w:eastAsia="仿宋" w:cs="仿宋"/>
          <w:color w:val="auto"/>
          <w:sz w:val="32"/>
          <w:szCs w:val="32"/>
          <w:highlight w:val="none"/>
          <w:shd w:val="clear" w:color="auto" w:fill="auto"/>
          <w:lang w:val="en-US" w:eastAsia="zh-CN"/>
        </w:rPr>
        <w:t>19</w:t>
      </w:r>
      <w:r>
        <w:rPr>
          <w:rFonts w:hint="eastAsia" w:ascii="仿宋" w:hAnsi="仿宋" w:eastAsia="仿宋" w:cs="仿宋"/>
          <w:color w:val="auto"/>
          <w:sz w:val="32"/>
          <w:szCs w:val="32"/>
          <w:highlight w:val="none"/>
          <w:shd w:val="clear" w:color="auto" w:fill="auto"/>
        </w:rPr>
        <w:t>个项目，涉及预算资金4708</w:t>
      </w:r>
      <w:r>
        <w:rPr>
          <w:rFonts w:hint="eastAsia" w:ascii="仿宋" w:hAnsi="仿宋" w:eastAsia="仿宋" w:cs="仿宋"/>
          <w:color w:val="auto"/>
          <w:sz w:val="32"/>
          <w:szCs w:val="32"/>
          <w:highlight w:val="none"/>
          <w:shd w:val="clear" w:color="auto" w:fill="auto"/>
          <w:lang w:val="en-US" w:eastAsia="zh-CN"/>
        </w:rPr>
        <w:t>.1</w:t>
      </w:r>
      <w:r>
        <w:rPr>
          <w:rFonts w:hint="eastAsia" w:ascii="仿宋" w:hAnsi="仿宋" w:eastAsia="仿宋" w:cs="仿宋"/>
          <w:color w:val="auto"/>
          <w:sz w:val="32"/>
          <w:szCs w:val="32"/>
          <w:highlight w:val="none"/>
          <w:shd w:val="clear" w:color="auto" w:fill="auto"/>
        </w:rPr>
        <w:t>万元，预算资金支出</w:t>
      </w:r>
      <w:r>
        <w:rPr>
          <w:rFonts w:hint="eastAsia" w:ascii="仿宋" w:hAnsi="仿宋" w:eastAsia="仿宋" w:cs="仿宋"/>
          <w:color w:val="auto"/>
          <w:sz w:val="32"/>
          <w:szCs w:val="32"/>
          <w:highlight w:val="none"/>
          <w:shd w:val="clear" w:color="auto" w:fill="auto"/>
          <w:lang w:val="en-US" w:eastAsia="zh-CN"/>
        </w:rPr>
        <w:t>4534.19</w:t>
      </w:r>
      <w:r>
        <w:rPr>
          <w:rFonts w:hint="eastAsia" w:ascii="仿宋" w:hAnsi="仿宋" w:eastAsia="仿宋" w:cs="仿宋"/>
          <w:color w:val="auto"/>
          <w:sz w:val="32"/>
          <w:szCs w:val="32"/>
          <w:highlight w:val="none"/>
          <w:shd w:val="clear" w:color="auto" w:fill="auto"/>
        </w:rPr>
        <w:t>万元，</w:t>
      </w:r>
      <w:r>
        <w:rPr>
          <w:rFonts w:hint="eastAsia" w:ascii="仿宋" w:hAnsi="仿宋" w:eastAsia="仿宋" w:cs="仿宋"/>
          <w:color w:val="auto"/>
          <w:sz w:val="32"/>
          <w:szCs w:val="32"/>
          <w:highlight w:val="none"/>
          <w:shd w:val="clear" w:color="auto" w:fill="auto"/>
          <w:lang w:val="en-US" w:eastAsia="zh-CN"/>
        </w:rPr>
        <w:t>预算执行率96.31%</w:t>
      </w:r>
      <w:r>
        <w:rPr>
          <w:rFonts w:hint="eastAsia" w:ascii="仿宋" w:hAnsi="仿宋" w:eastAsia="仿宋" w:cs="仿宋"/>
          <w:color w:val="000000"/>
          <w:sz w:val="32"/>
          <w:szCs w:val="32"/>
          <w:highlight w:val="none"/>
          <w:shd w:val="clear" w:color="auto" w:fill="auto"/>
          <w:lang w:val="en-US" w:eastAsia="zh-CN"/>
        </w:rPr>
        <w:t>。</w:t>
      </w:r>
    </w:p>
    <w:p w14:paraId="1B956C5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shd w:val="clear" w:color="auto" w:fill="auto"/>
          <w:lang w:val="en-US" w:eastAsia="zh-CN"/>
        </w:rPr>
      </w:pPr>
      <w:r>
        <w:rPr>
          <w:rFonts w:hint="eastAsia" w:ascii="仿宋" w:hAnsi="仿宋" w:eastAsia="仿宋" w:cs="仿宋"/>
          <w:sz w:val="32"/>
          <w:szCs w:val="32"/>
          <w:shd w:val="clear" w:color="auto" w:fill="auto"/>
          <w:lang w:val="en-US" w:eastAsia="zh-CN"/>
        </w:rPr>
        <w:t>2025年，我办坚持以习近平新时代中国特色社会主义思想为指导，深入学习贯彻党的二十大和二十届历次全会精神，紧紧围绕市委、市政府中心工作和全市发展大局，不断解放思想、开拓创新、强化责任、完善机制、转变作风、提升效能，扎实推进各项工作任务落实，全年总体绩效目标全面完成，工作科学化、制度化、规范化水平显著提升，坚持把解决群众急难愁盼问题作为工作的出发点和落脚点，集中力量推动民生事项落地见效。在服务全市经济社会高质量发展中发挥了应有作用。</w:t>
      </w:r>
    </w:p>
    <w:p w14:paraId="5976A0BD">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shd w:val="clear" w:color="auto" w:fill="auto"/>
          <w:lang w:eastAsia="zh-CN"/>
        </w:rPr>
      </w:pPr>
      <w:bookmarkStart w:id="34" w:name="_Toc30643"/>
      <w:r>
        <w:rPr>
          <w:rFonts w:hint="eastAsia" w:ascii="楷体" w:hAnsi="楷体" w:eastAsia="楷体" w:cs="楷体"/>
          <w:b w:val="0"/>
          <w:bCs w:val="0"/>
          <w:sz w:val="32"/>
          <w:szCs w:val="32"/>
          <w:highlight w:val="none"/>
          <w:shd w:val="clear" w:color="auto" w:fill="auto"/>
        </w:rPr>
        <w:t>（二）</w:t>
      </w:r>
      <w:r>
        <w:rPr>
          <w:rFonts w:hint="eastAsia" w:ascii="楷体" w:hAnsi="楷体" w:eastAsia="楷体" w:cs="楷体"/>
          <w:b w:val="0"/>
          <w:bCs w:val="0"/>
          <w:sz w:val="32"/>
          <w:szCs w:val="32"/>
          <w:highlight w:val="none"/>
          <w:shd w:val="clear" w:color="auto" w:fill="auto"/>
          <w:lang w:eastAsia="zh-CN"/>
        </w:rPr>
        <w:t>分项绩效目标实现情况及指标分析</w:t>
      </w:r>
      <w:bookmarkEnd w:id="34"/>
    </w:p>
    <w:p w14:paraId="36311D5C">
      <w:pPr>
        <w:pStyle w:val="13"/>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shd w:val="clear" w:color="auto" w:fill="auto"/>
        </w:rPr>
      </w:pPr>
      <w:r>
        <w:rPr>
          <w:rFonts w:hint="eastAsia" w:ascii="仿宋" w:hAnsi="仿宋" w:eastAsia="仿宋" w:cs="仿宋"/>
          <w:b w:val="0"/>
          <w:bCs w:val="0"/>
          <w:sz w:val="32"/>
          <w:szCs w:val="32"/>
          <w:highlight w:val="none"/>
          <w:shd w:val="clear" w:color="auto" w:fill="auto"/>
          <w:lang w:val="en-US" w:eastAsia="zh-CN"/>
        </w:rPr>
        <w:t>1.</w:t>
      </w:r>
      <w:r>
        <w:rPr>
          <w:rFonts w:hint="eastAsia" w:ascii="仿宋" w:hAnsi="仿宋" w:eastAsia="仿宋" w:cs="仿宋"/>
          <w:b w:val="0"/>
          <w:bCs w:val="0"/>
          <w:sz w:val="32"/>
          <w:szCs w:val="32"/>
          <w:highlight w:val="none"/>
          <w:shd w:val="clear" w:color="auto" w:fill="auto"/>
        </w:rPr>
        <w:t>全面提升办文办会质量</w:t>
      </w:r>
    </w:p>
    <w:p w14:paraId="42D5214C">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2025年，我办全面提升办文办会质量，积极主动对标对表，深入学习借鉴省政府办公厅和市委办公室在办文办会方面的好经验好做法，围绕完善制度、规范流程、明确标准持续发力，推动办文办会质量和效率实现双提升。在制度方面，修订完善现有制度，进一步明确公文起草、审核、签发、流转各环节的操作标准和时限要求，细化会议筹备、审批、服务、落实的职责分工，形成了衔接顺畅、运行高效的制度体系。在公文办理方面，从政治、政策、法律、文字、格式五个维度加大审核力度，紧急公文实现即收即办、随到随办，公文运转更加高效规范。在会务组织方面，积极改进办会模式，做到会前准备充分、会中服务细致、会后落实有力，全年高标准完成市政府常务会议、</w:t>
      </w:r>
      <w:r>
        <w:rPr>
          <w:rFonts w:hint="eastAsia" w:ascii="仿宋" w:hAnsi="仿宋" w:eastAsia="仿宋" w:cs="仿宋"/>
          <w:color w:val="auto"/>
          <w:sz w:val="32"/>
          <w:szCs w:val="32"/>
          <w:highlight w:val="none"/>
          <w:shd w:val="clear" w:color="auto" w:fill="auto"/>
          <w:lang w:val="en-US" w:eastAsia="zh-CN"/>
        </w:rPr>
        <w:t>市长办公会、专题调度会等各类会议，办会效率明显提升。</w:t>
      </w:r>
    </w:p>
    <w:p w14:paraId="49EF5DDA">
      <w:pPr>
        <w:pStyle w:val="13"/>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auto"/>
          <w:sz w:val="32"/>
          <w:szCs w:val="32"/>
          <w:highlight w:val="none"/>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具体绩效指标包括：</w:t>
      </w:r>
    </w:p>
    <w:p w14:paraId="66F16CEA">
      <w:pPr>
        <w:pStyle w:val="13"/>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auto"/>
          <w:sz w:val="32"/>
          <w:szCs w:val="32"/>
          <w:highlight w:val="none"/>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数量指标设置为印刷文件数量≥10000次，业务能力培训次数≥2次，邮寄次数≥100次，聘请律师次数≥6次。实际完成情况：全年印刷文件20000余次，文件印刷清晰准确、格式规范统一；组织业务能力培训2次，培训内容紧扣工作实际、专业实用；公文邮寄100余次，寄送及时、去向可溯；聘请律师进行法律指导32次，为业务文件合法合规提供了有力保障，高标准完成年度目标。</w:t>
      </w:r>
    </w:p>
    <w:p w14:paraId="02676717">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sz w:val="32"/>
          <w:szCs w:val="32"/>
          <w:highlight w:val="none"/>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质量指标设置为100%高质量完成文件邮寄，100%高质量完成办公室业务工作，聘请律师对业务文件进行100%高质量指导，公文智能交换柜管理系统购置验收合格率达到100%。2025年我办高标准完成全年的业务委托、调研等工作，保障了市政府办公室正常运转，文件邮寄全年未发生错寄、漏寄、遗失等情况，同时32次聘请律师进行法律指导，保障了业务文件合法合规。公文智能交换柜管理系统的购置安装有效提高了我办公文的审批、传送效率，提高办公质量。</w:t>
      </w:r>
    </w:p>
    <w:p w14:paraId="1B705871">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sz w:val="32"/>
          <w:szCs w:val="32"/>
          <w:highlight w:val="none"/>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时效指标</w:t>
      </w:r>
      <w:r>
        <w:rPr>
          <w:rFonts w:hint="default" w:ascii="仿宋" w:hAnsi="仿宋" w:eastAsia="仿宋" w:cs="仿宋"/>
          <w:color w:val="auto"/>
          <w:sz w:val="32"/>
          <w:szCs w:val="32"/>
          <w:highlight w:val="none"/>
          <w:shd w:val="clear" w:color="auto" w:fill="auto"/>
          <w:lang w:val="en-US" w:eastAsia="zh-CN"/>
        </w:rPr>
        <w:t>设置为法律指导时效≤3天，文件邮寄送达时间≤2天，任务响应时效≤0.5小时。实际完成情况：2025年我办聘请律师对业务文件进行法律合规性指导，响应时效均在1天以内，较</w:t>
      </w:r>
      <w:r>
        <w:rPr>
          <w:rFonts w:hint="eastAsia" w:ascii="仿宋" w:hAnsi="仿宋" w:eastAsia="仿宋" w:cs="仿宋"/>
          <w:color w:val="auto"/>
          <w:sz w:val="32"/>
          <w:szCs w:val="32"/>
          <w:highlight w:val="none"/>
          <w:shd w:val="clear" w:color="auto" w:fill="auto"/>
          <w:lang w:val="en-US" w:eastAsia="zh-CN"/>
        </w:rPr>
        <w:t>指标设定</w:t>
      </w:r>
      <w:r>
        <w:rPr>
          <w:rFonts w:hint="default" w:ascii="仿宋" w:hAnsi="仿宋" w:eastAsia="仿宋" w:cs="仿宋"/>
          <w:color w:val="auto"/>
          <w:sz w:val="32"/>
          <w:szCs w:val="32"/>
          <w:highlight w:val="none"/>
          <w:shd w:val="clear" w:color="auto" w:fill="auto"/>
          <w:lang w:val="en-US" w:eastAsia="zh-CN"/>
        </w:rPr>
        <w:t>时限压缩三分之二以上；文件邮寄均实现1日内送达，较</w:t>
      </w:r>
      <w:r>
        <w:rPr>
          <w:rFonts w:hint="eastAsia" w:ascii="仿宋" w:hAnsi="仿宋" w:eastAsia="仿宋" w:cs="仿宋"/>
          <w:color w:val="auto"/>
          <w:sz w:val="32"/>
          <w:szCs w:val="32"/>
          <w:highlight w:val="none"/>
          <w:shd w:val="clear" w:color="auto" w:fill="auto"/>
          <w:lang w:val="en-US" w:eastAsia="zh-CN"/>
        </w:rPr>
        <w:t>指标设定</w:t>
      </w:r>
      <w:r>
        <w:rPr>
          <w:rFonts w:hint="default" w:ascii="仿宋" w:hAnsi="仿宋" w:eastAsia="仿宋" w:cs="仿宋"/>
          <w:color w:val="auto"/>
          <w:sz w:val="32"/>
          <w:szCs w:val="32"/>
          <w:highlight w:val="none"/>
          <w:shd w:val="clear" w:color="auto" w:fill="auto"/>
          <w:lang w:val="en-US" w:eastAsia="zh-CN"/>
        </w:rPr>
        <w:t>时限缩短50%；重要任务响应时效均在5分钟以内，紧急公文实现即收即办、随到随办，整体响应效率</w:t>
      </w:r>
      <w:r>
        <w:rPr>
          <w:rFonts w:hint="eastAsia" w:ascii="仿宋" w:hAnsi="仿宋" w:eastAsia="仿宋" w:cs="仿宋"/>
          <w:color w:val="auto"/>
          <w:sz w:val="32"/>
          <w:szCs w:val="32"/>
          <w:highlight w:val="none"/>
          <w:shd w:val="clear" w:color="auto" w:fill="auto"/>
          <w:lang w:val="en-US" w:eastAsia="zh-CN"/>
        </w:rPr>
        <w:t>进一步</w:t>
      </w:r>
      <w:r>
        <w:rPr>
          <w:rFonts w:hint="default" w:ascii="仿宋" w:hAnsi="仿宋" w:eastAsia="仿宋" w:cs="仿宋"/>
          <w:color w:val="auto"/>
          <w:sz w:val="32"/>
          <w:szCs w:val="32"/>
          <w:highlight w:val="none"/>
          <w:shd w:val="clear" w:color="auto" w:fill="auto"/>
          <w:lang w:val="en-US" w:eastAsia="zh-CN"/>
        </w:rPr>
        <w:t>提升。</w:t>
      </w:r>
    </w:p>
    <w:p w14:paraId="1FB12D1E">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highlight w:val="none"/>
          <w:shd w:val="clear" w:color="auto" w:fill="auto"/>
          <w:lang w:val="en-US" w:eastAsia="zh-CN"/>
        </w:rPr>
      </w:pPr>
      <w:r>
        <w:rPr>
          <w:rFonts w:hint="eastAsia" w:ascii="仿宋" w:hAnsi="仿宋" w:eastAsia="仿宋" w:cs="仿宋"/>
          <w:color w:val="auto"/>
          <w:sz w:val="32"/>
          <w:szCs w:val="32"/>
          <w:highlight w:val="none"/>
          <w:shd w:val="clear" w:color="auto" w:fill="auto"/>
          <w:lang w:val="en-US" w:eastAsia="zh-CN"/>
        </w:rPr>
        <w:t>成本指标主要是公文所用耗材的对应成本，经过核对，我办公文印刷一是本着节约的原则呈双面印刷；二是运用印刷费集中印刷，有效降低了我办印刷成本，落实了厉行节约、反对浪费的要求。</w:t>
      </w:r>
    </w:p>
    <w:p w14:paraId="00BFEC28">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0000FF"/>
          <w:sz w:val="32"/>
          <w:szCs w:val="32"/>
          <w:highlight w:val="none"/>
          <w:shd w:val="clear" w:color="auto" w:fill="auto"/>
          <w:lang w:val="en-US" w:eastAsia="zh-CN"/>
        </w:rPr>
      </w:pPr>
      <w:r>
        <w:rPr>
          <w:rFonts w:hint="default" w:ascii="仿宋" w:hAnsi="仿宋" w:eastAsia="仿宋" w:cs="仿宋"/>
          <w:color w:val="auto"/>
          <w:sz w:val="32"/>
          <w:szCs w:val="32"/>
          <w:highlight w:val="none"/>
          <w:shd w:val="clear" w:color="auto" w:fill="auto"/>
          <w:lang w:val="en-US" w:eastAsia="zh-CN"/>
        </w:rPr>
        <w:t>效益指标设置为公文在县区之间正常流转，单位业务合规性较上年提升，突发事件处理效率较上年提升，公文智能交换柜管理系统提高</w:t>
      </w:r>
      <w:r>
        <w:rPr>
          <w:rFonts w:hint="eastAsia" w:ascii="仿宋" w:hAnsi="仿宋" w:eastAsia="仿宋" w:cs="仿宋"/>
          <w:color w:val="auto"/>
          <w:sz w:val="32"/>
          <w:szCs w:val="32"/>
          <w:highlight w:val="none"/>
          <w:shd w:val="clear" w:color="auto" w:fill="auto"/>
          <w:lang w:val="en-US" w:eastAsia="zh-CN"/>
        </w:rPr>
        <w:t>我</w:t>
      </w:r>
      <w:r>
        <w:rPr>
          <w:rFonts w:hint="default" w:ascii="仿宋" w:hAnsi="仿宋" w:eastAsia="仿宋" w:cs="仿宋"/>
          <w:color w:val="auto"/>
          <w:sz w:val="32"/>
          <w:szCs w:val="32"/>
          <w:highlight w:val="none"/>
          <w:shd w:val="clear" w:color="auto" w:fill="auto"/>
          <w:lang w:val="en-US" w:eastAsia="zh-CN"/>
        </w:rPr>
        <w:t>办整体运转效率，提升公务服务及会务服务工作质量。实际完成情况：2025年，我办通过一系列项目的实施，实现了公文在县区之间的高效高速流转，业务合规性</w:t>
      </w:r>
      <w:r>
        <w:rPr>
          <w:rFonts w:hint="eastAsia" w:ascii="仿宋" w:hAnsi="仿宋" w:eastAsia="仿宋" w:cs="仿宋"/>
          <w:color w:val="auto"/>
          <w:sz w:val="32"/>
          <w:szCs w:val="32"/>
          <w:highlight w:val="none"/>
          <w:shd w:val="clear" w:color="auto" w:fill="auto"/>
          <w:lang w:val="en-US" w:eastAsia="zh-CN"/>
        </w:rPr>
        <w:t>得到巩固</w:t>
      </w:r>
      <w:r>
        <w:rPr>
          <w:rFonts w:hint="default" w:ascii="仿宋" w:hAnsi="仿宋" w:eastAsia="仿宋" w:cs="仿宋"/>
          <w:color w:val="auto"/>
          <w:sz w:val="32"/>
          <w:szCs w:val="32"/>
          <w:highlight w:val="none"/>
          <w:shd w:val="clear" w:color="auto" w:fill="auto"/>
          <w:lang w:val="en-US" w:eastAsia="zh-CN"/>
        </w:rPr>
        <w:t>，突发事件处理效率</w:t>
      </w:r>
      <w:r>
        <w:rPr>
          <w:rFonts w:hint="eastAsia" w:ascii="仿宋" w:hAnsi="仿宋" w:eastAsia="仿宋" w:cs="仿宋"/>
          <w:color w:val="auto"/>
          <w:sz w:val="32"/>
          <w:szCs w:val="32"/>
          <w:highlight w:val="none"/>
          <w:shd w:val="clear" w:color="auto" w:fill="auto"/>
          <w:lang w:val="en-US" w:eastAsia="zh-CN"/>
        </w:rPr>
        <w:t>有效</w:t>
      </w:r>
      <w:r>
        <w:rPr>
          <w:rFonts w:hint="default" w:ascii="仿宋" w:hAnsi="仿宋" w:eastAsia="仿宋" w:cs="仿宋"/>
          <w:color w:val="auto"/>
          <w:sz w:val="32"/>
          <w:szCs w:val="32"/>
          <w:highlight w:val="none"/>
          <w:shd w:val="clear" w:color="auto" w:fill="auto"/>
          <w:lang w:val="en-US" w:eastAsia="zh-CN"/>
        </w:rPr>
        <w:t>提升，公文智能交换柜管理系统的投入使用</w:t>
      </w:r>
      <w:r>
        <w:rPr>
          <w:rFonts w:hint="eastAsia" w:ascii="仿宋" w:hAnsi="仿宋" w:eastAsia="仿宋" w:cs="仿宋"/>
          <w:color w:val="auto"/>
          <w:sz w:val="32"/>
          <w:szCs w:val="32"/>
          <w:highlight w:val="none"/>
          <w:shd w:val="clear" w:color="auto" w:fill="auto"/>
          <w:lang w:val="en-US" w:eastAsia="zh-CN"/>
        </w:rPr>
        <w:t>进一步</w:t>
      </w:r>
      <w:r>
        <w:rPr>
          <w:rFonts w:hint="default" w:ascii="仿宋" w:hAnsi="仿宋" w:eastAsia="仿宋" w:cs="仿宋"/>
          <w:color w:val="auto"/>
          <w:sz w:val="32"/>
          <w:szCs w:val="32"/>
          <w:highlight w:val="none"/>
          <w:shd w:val="clear" w:color="auto" w:fill="auto"/>
          <w:lang w:val="en-US" w:eastAsia="zh-CN"/>
        </w:rPr>
        <w:t>提升了办公室整体运转效率，公务服务及会务服务工作质量同步提高。</w:t>
      </w:r>
    </w:p>
    <w:p w14:paraId="28B0AEDA">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bCs/>
          <w:sz w:val="32"/>
          <w:szCs w:val="32"/>
          <w:highlight w:val="none"/>
          <w:shd w:val="clear" w:color="auto" w:fill="auto"/>
        </w:rPr>
      </w:pPr>
      <w:r>
        <w:rPr>
          <w:rFonts w:hint="eastAsia" w:ascii="仿宋" w:hAnsi="仿宋" w:eastAsia="仿宋" w:cs="仿宋"/>
          <w:b w:val="0"/>
          <w:bCs w:val="0"/>
          <w:sz w:val="32"/>
          <w:szCs w:val="32"/>
          <w:highlight w:val="none"/>
          <w:shd w:val="clear" w:color="auto" w:fill="auto"/>
          <w:lang w:val="en-US" w:eastAsia="zh-CN"/>
        </w:rPr>
        <w:t>2.</w:t>
      </w:r>
      <w:r>
        <w:rPr>
          <w:rFonts w:hint="eastAsia" w:ascii="仿宋" w:hAnsi="仿宋" w:eastAsia="仿宋" w:cs="仿宋"/>
          <w:b w:val="0"/>
          <w:bCs w:val="0"/>
          <w:sz w:val="32"/>
          <w:szCs w:val="32"/>
          <w:highlight w:val="none"/>
          <w:shd w:val="clear" w:color="auto" w:fill="auto"/>
        </w:rPr>
        <w:t>全面提升政务服务质量和效率</w:t>
      </w:r>
    </w:p>
    <w:p w14:paraId="234EB9AC">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2025年，我办围绕全面提升政务服务质量和效率完成年度绩效目标。我办聚焦重点领域，协调召开专题会议，提升政务服务质量，推进行政服务体系标准化建设，全年高标准完成市政府各类会议的准备和服务工作。提高行政效能，推动精简审批事项、优化审批流程工作深入开展。通过实施12345市政府公开电话及12342环境举报专线专项经费和市政府微博、微信建设运维经费以及政务公开培训经费等项目，</w:t>
      </w:r>
      <w:r>
        <w:rPr>
          <w:rFonts w:hint="eastAsia" w:ascii="仿宋" w:hAnsi="仿宋" w:eastAsia="仿宋" w:cs="仿宋"/>
          <w:sz w:val="32"/>
          <w:szCs w:val="32"/>
          <w:highlight w:val="none"/>
          <w:shd w:val="clear" w:color="auto" w:fill="auto"/>
        </w:rPr>
        <w:t>指导和协调全市政务</w:t>
      </w:r>
      <w:r>
        <w:rPr>
          <w:rFonts w:hint="eastAsia" w:ascii="仿宋" w:hAnsi="仿宋" w:eastAsia="仿宋" w:cs="仿宋"/>
          <w:sz w:val="32"/>
          <w:szCs w:val="32"/>
          <w:highlight w:val="none"/>
          <w:shd w:val="clear" w:color="auto" w:fill="auto"/>
          <w:lang w:val="en-US" w:eastAsia="zh-CN"/>
        </w:rPr>
        <w:t>公开，对民生实事实行全链条跟踪督办，全力督导民生实事有效落实，协调解决堵点难点问题，广大人民群众满意度不断提高。</w:t>
      </w:r>
    </w:p>
    <w:p w14:paraId="468F9BB6">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具体绩效指标包括：</w:t>
      </w:r>
    </w:p>
    <w:p w14:paraId="4EFF0010">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数量指标设置为12345市政府公开电话及12342环境举报专线实际工作的接线人数≥300人，发送的微博、微信公众号条数≥30条/月。实际2025年，我办12345市政府公开电话及12342环境举报专线工作接线人数达到314人，有效收集民情民意，及时对群众急难愁盼问题做出解决。实际发送微博、微信公众号245条，不断加强政务新媒体发布、传播、互动、引导、办事等功能，将政务新媒体打造成更加权威的信息发布、解读回应、政民互动、办事服务平台，有效履行了政府信息公开义务。全年通过市政府网站公开信息1.3万条，政务新媒体发布2966篇，解读政策文件21件，12个案例入选河北省政务公开典型案例，增强了信息透明度。</w:t>
      </w:r>
    </w:p>
    <w:p w14:paraId="779A4D89">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质量指标设置为接线效果与预期对比，是否达到各级管理部门评价要求，是否有效解决了群众急难愁盼的问题；是否100%高质量完成全年业务委托、调研等工作，为公务服务及会务服务提供有效保障；是否高质量落实了政务公开的要求，及时全面地在微博、公众号及其他新媒体渠道进行信息公开、政务宣传。2025年，我办热线接线效果达到预期目标，全年群众诉求办结率、满意率均达到预期目标，有效督促解决了供暖、物业等一批群众急难愁盼问题。全年高标准完成业务委托、调研等各项工作，为公务服务及会务服务提供了有力保障，未发生因服务质量问题造成的工作延误或不良影响。高质量落实政务公开要求，通过政务新媒体渠道及时全面发布信息1.3万条，开展政策解读21次，信息公开和政务宣传的覆盖面、时效性、规范性均较上年显著提升。</w:t>
      </w:r>
    </w:p>
    <w:p w14:paraId="7F266B1E">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时效指标设置为接线时效性≤60秒；是否按计划时间在市政府微博、微信公众号进行运维、宣传；是否召开大型培训会议1次时长达到1周；是否按照工作计划及时采购办公设备及用品，采购时间≤3天保障工作正常运转。实际2025年，我办热线接听时效全面达标，全年平均接通时间控制在30秒以内，优于≤60秒的指标要求，确保群众诉求第一时间响应。市政府微博、微信公众号按计划时间进行运维宣传，全年发布信息245条，做到及时发布更新，未发生延迟或漏发情况。组织召开大型培训会议1次，为期1周，培训内容涵盖核心工作业务内容，达到预期培训效果。办公设备及用品严格按照工作计划及时采购，采购审批至交付使用平均用时3天，有效保障了办公室各项工作正常运转。</w:t>
      </w:r>
    </w:p>
    <w:p w14:paraId="6DBE1F5D">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效益指标设置为微博、微信公众号市民知晓度≥5%，我办在宣传方面，围绕重大专项工作成效，在市级以上媒体、微博微信公众号等新媒体刊发宣传稿件，通过政务新媒体发布信息，营造了良好的舆论氛围，提高了政策知晓度。</w:t>
      </w:r>
    </w:p>
    <w:p w14:paraId="6003D89D">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shd w:val="clear" w:color="auto" w:fill="auto"/>
        </w:rPr>
      </w:pPr>
      <w:r>
        <w:rPr>
          <w:rFonts w:hint="eastAsia" w:ascii="仿宋" w:hAnsi="仿宋" w:eastAsia="仿宋" w:cs="仿宋"/>
          <w:b w:val="0"/>
          <w:bCs w:val="0"/>
          <w:sz w:val="32"/>
          <w:szCs w:val="32"/>
          <w:highlight w:val="none"/>
          <w:shd w:val="clear" w:color="auto" w:fill="auto"/>
          <w:lang w:val="en-US" w:eastAsia="zh-CN"/>
        </w:rPr>
        <w:t>3.</w:t>
      </w:r>
      <w:r>
        <w:rPr>
          <w:rFonts w:hint="eastAsia" w:ascii="仿宋" w:hAnsi="仿宋" w:eastAsia="仿宋" w:cs="仿宋"/>
          <w:b w:val="0"/>
          <w:bCs w:val="0"/>
          <w:sz w:val="32"/>
          <w:szCs w:val="32"/>
          <w:highlight w:val="none"/>
          <w:shd w:val="clear" w:color="auto" w:fill="auto"/>
        </w:rPr>
        <w:t>全面做好重大专项工作</w:t>
      </w:r>
    </w:p>
    <w:p w14:paraId="0394A35E">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highlight w:val="none"/>
          <w:shd w:val="clear" w:color="auto" w:fill="auto"/>
          <w:lang w:val="en-US" w:eastAsia="zh-CN"/>
        </w:rPr>
      </w:pPr>
      <w:r>
        <w:rPr>
          <w:rFonts w:hint="eastAsia" w:ascii="仿宋" w:hAnsi="仿宋" w:eastAsia="仿宋" w:cs="仿宋"/>
          <w:b w:val="0"/>
          <w:bCs w:val="0"/>
          <w:sz w:val="32"/>
          <w:szCs w:val="32"/>
          <w:highlight w:val="none"/>
          <w:shd w:val="clear" w:color="auto" w:fill="auto"/>
          <w:lang w:val="en-US" w:eastAsia="zh-CN"/>
        </w:rPr>
        <w:t>2025年，我办全面做好重大专项工作。在重大应急突发事件处置方面，健全响应机制，发生突发事件时，做到第一时间响应协调、上报信息、处置有序。在会议组织、文件起草印发方面，高标准完成重大专项会议保障及文件印刷，做到严谨、细致、高效。在协调推进工作方面，建立协调机制，解决跨部门难点问题，确保任务按时推进。组织实施考核方面，完成对各县（市、区）和市直部门的专项考核，结果客观公正。积极落实市领导交办事项，即收即办、及时反馈，得到市领导的充分肯定。</w:t>
      </w:r>
    </w:p>
    <w:p w14:paraId="52071C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具体绩效指标：</w:t>
      </w:r>
    </w:p>
    <w:p w14:paraId="0392D5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default" w:ascii="仿宋" w:hAnsi="仿宋" w:eastAsia="仿宋" w:cs="仿宋"/>
          <w:sz w:val="32"/>
          <w:szCs w:val="32"/>
          <w:highlight w:val="none"/>
          <w:shd w:val="clear" w:color="auto" w:fill="auto"/>
          <w:lang w:val="en-US" w:eastAsia="zh-CN"/>
        </w:rPr>
        <w:t>数量指标包括</w:t>
      </w:r>
      <w:r>
        <w:rPr>
          <w:rFonts w:hint="eastAsia" w:ascii="仿宋" w:hAnsi="仿宋" w:eastAsia="仿宋" w:cs="仿宋"/>
          <w:sz w:val="32"/>
          <w:szCs w:val="32"/>
          <w:highlight w:val="none"/>
          <w:shd w:val="clear" w:color="auto" w:fill="auto"/>
          <w:lang w:val="en-US" w:eastAsia="zh-CN"/>
        </w:rPr>
        <w:t>驻京联络处</w:t>
      </w:r>
      <w:r>
        <w:rPr>
          <w:rFonts w:hint="default" w:ascii="仿宋" w:hAnsi="仿宋" w:eastAsia="仿宋" w:cs="仿宋"/>
          <w:sz w:val="32"/>
          <w:szCs w:val="32"/>
          <w:highlight w:val="none"/>
          <w:shd w:val="clear" w:color="auto" w:fill="auto"/>
          <w:lang w:val="en-US" w:eastAsia="zh-CN"/>
        </w:rPr>
        <w:t>在京与国家各部委对接次数≥50次</w:t>
      </w:r>
      <w:r>
        <w:rPr>
          <w:rFonts w:hint="eastAsia" w:ascii="仿宋" w:hAnsi="仿宋" w:eastAsia="仿宋" w:cs="仿宋"/>
          <w:sz w:val="32"/>
          <w:szCs w:val="32"/>
          <w:highlight w:val="none"/>
          <w:shd w:val="clear" w:color="auto" w:fill="auto"/>
          <w:lang w:val="en-US" w:eastAsia="zh-CN"/>
        </w:rPr>
        <w:t>；</w:t>
      </w:r>
      <w:r>
        <w:rPr>
          <w:rFonts w:hint="default" w:ascii="仿宋" w:hAnsi="仿宋" w:eastAsia="仿宋" w:cs="仿宋"/>
          <w:sz w:val="32"/>
          <w:szCs w:val="32"/>
          <w:highlight w:val="none"/>
          <w:shd w:val="clear" w:color="auto" w:fill="auto"/>
          <w:lang w:val="en-US" w:eastAsia="zh-CN"/>
        </w:rPr>
        <w:t>驻京联络处实际服务保障天数≥365天。实际完成情况：2025年驻京联络处与北京各国家部委对接次数达到296次，超额完成年度目标</w:t>
      </w:r>
      <w:r>
        <w:rPr>
          <w:rFonts w:hint="eastAsia" w:ascii="仿宋" w:hAnsi="仿宋" w:eastAsia="仿宋" w:cs="仿宋"/>
          <w:sz w:val="32"/>
          <w:szCs w:val="32"/>
          <w:highlight w:val="none"/>
          <w:shd w:val="clear" w:color="auto" w:fill="auto"/>
          <w:lang w:val="en-US" w:eastAsia="zh-CN"/>
        </w:rPr>
        <w:t>。</w:t>
      </w:r>
      <w:r>
        <w:rPr>
          <w:rFonts w:hint="default" w:ascii="仿宋" w:hAnsi="仿宋" w:eastAsia="仿宋" w:cs="仿宋"/>
          <w:sz w:val="32"/>
          <w:szCs w:val="32"/>
          <w:highlight w:val="none"/>
          <w:shd w:val="clear" w:color="auto" w:fill="auto"/>
          <w:lang w:val="en-US" w:eastAsia="zh-CN"/>
        </w:rPr>
        <w:t>驻京联络处全年365天不间断开展</w:t>
      </w:r>
      <w:r>
        <w:rPr>
          <w:rFonts w:hint="eastAsia" w:ascii="仿宋" w:hAnsi="仿宋" w:eastAsia="仿宋" w:cs="仿宋"/>
          <w:sz w:val="32"/>
          <w:szCs w:val="32"/>
          <w:highlight w:val="none"/>
          <w:shd w:val="clear" w:color="auto" w:fill="auto"/>
          <w:lang w:val="en-US" w:eastAsia="zh-CN"/>
        </w:rPr>
        <w:t>保障工作</w:t>
      </w:r>
      <w:r>
        <w:rPr>
          <w:rFonts w:hint="default" w:ascii="仿宋" w:hAnsi="仿宋" w:eastAsia="仿宋" w:cs="仿宋"/>
          <w:sz w:val="32"/>
          <w:szCs w:val="32"/>
          <w:highlight w:val="none"/>
          <w:shd w:val="clear" w:color="auto" w:fill="auto"/>
          <w:lang w:val="en-US" w:eastAsia="zh-CN"/>
        </w:rPr>
        <w:t>，有效</w:t>
      </w:r>
      <w:r>
        <w:rPr>
          <w:rFonts w:hint="eastAsia" w:ascii="仿宋" w:hAnsi="仿宋" w:eastAsia="仿宋" w:cs="仿宋"/>
          <w:sz w:val="32"/>
          <w:szCs w:val="32"/>
          <w:highlight w:val="none"/>
          <w:shd w:val="clear" w:color="auto" w:fill="auto"/>
          <w:lang w:val="en-US" w:eastAsia="zh-CN"/>
        </w:rPr>
        <w:t>对接</w:t>
      </w:r>
      <w:r>
        <w:rPr>
          <w:rFonts w:hint="default" w:ascii="仿宋" w:hAnsi="仿宋" w:eastAsia="仿宋" w:cs="仿宋"/>
          <w:sz w:val="32"/>
          <w:szCs w:val="32"/>
          <w:highlight w:val="none"/>
          <w:shd w:val="clear" w:color="auto" w:fill="auto"/>
          <w:lang w:val="en-US" w:eastAsia="zh-CN"/>
        </w:rPr>
        <w:t>传达中央各部委政策要求，及时参加各部门会议，确保信息畅通、工作衔接顺畅，有力保障了我单位各项工作的正常开展。</w:t>
      </w:r>
    </w:p>
    <w:p w14:paraId="04FD6E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质量指标包括驻京办事处工作100%高质量完成；与中央各部委对接工作高标准完成。实际2025年，我办驻京联络处各项工作实现100%高质量完成，全年服务保障做到细致周密、规范有序，未发生任何工作疏漏或差错。与中央各部委对接工作坚持高标准推进，对接过程严谨规范、沟通顺畅高效，政策信息获取及时准确，任务落实精准到位，有力保障了我市与国家部委的常态化联络和工作衔接。重大专项会议组织和文件起草工作均实现高质量落实，全过程坚持严谨细致、运转高效。在协调推进方面，建立健全跨部门联动协调机制，有效破解了一批跨领域、跨层级的难点问题，保障各项重点任务按节点顺利推进。</w:t>
      </w:r>
    </w:p>
    <w:p w14:paraId="26B5A570">
      <w:pPr>
        <w:pStyle w:val="1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shd w:val="clear" w:color="auto" w:fill="auto"/>
          <w:lang w:val="en-US" w:eastAsia="zh-CN"/>
        </w:rPr>
      </w:pPr>
      <w:r>
        <w:rPr>
          <w:rFonts w:hint="eastAsia" w:ascii="仿宋" w:hAnsi="仿宋" w:eastAsia="仿宋" w:cs="仿宋"/>
          <w:sz w:val="32"/>
          <w:szCs w:val="32"/>
          <w:highlight w:val="none"/>
          <w:shd w:val="clear" w:color="auto" w:fill="auto"/>
          <w:lang w:val="en-US" w:eastAsia="zh-CN"/>
        </w:rPr>
        <w:t>效益指标设置为提高在京对接并解决关键重大事项的能力；</w:t>
      </w:r>
      <w:r>
        <w:rPr>
          <w:rFonts w:hint="eastAsia" w:ascii="仿宋" w:hAnsi="仿宋" w:eastAsia="仿宋" w:cs="仿宋"/>
          <w:b w:val="0"/>
          <w:bCs w:val="0"/>
          <w:sz w:val="32"/>
          <w:szCs w:val="32"/>
          <w:highlight w:val="none"/>
          <w:shd w:val="clear" w:color="auto" w:fill="auto"/>
          <w:lang w:val="en-US" w:eastAsia="zh-CN"/>
        </w:rPr>
        <w:t>高标准完成各项重大专项会议及文件，业务能力得到进一步提升。实际</w:t>
      </w:r>
      <w:r>
        <w:rPr>
          <w:rFonts w:hint="eastAsia" w:ascii="仿宋" w:hAnsi="仿宋" w:eastAsia="仿宋" w:cs="仿宋"/>
          <w:sz w:val="32"/>
          <w:szCs w:val="32"/>
          <w:highlight w:val="none"/>
          <w:shd w:val="clear" w:color="auto" w:fill="auto"/>
          <w:lang w:val="en-US" w:eastAsia="zh-CN"/>
        </w:rPr>
        <w:t>2025年，我办驻京联络工作效能持续增强，在京对接并解决关键重大事项的能力显著提升，全年与中央各部委保持密切沟通。同时，重大专项会议组织和文件起草工作均实现高质量落实，全过程严谨细致、运转高效，业务能力在实践历练中得到进一步提升，为服务全市中心工作提供了有力支撑。</w:t>
      </w:r>
    </w:p>
    <w:p w14:paraId="5FB719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仿宋" w:hAnsi="仿宋" w:eastAsia="仿宋" w:cs="仿宋"/>
          <w:sz w:val="32"/>
          <w:szCs w:val="32"/>
          <w:shd w:val="clear" w:color="auto" w:fill="auto"/>
        </w:rPr>
      </w:pPr>
      <w:bookmarkStart w:id="35" w:name="_Toc24363"/>
      <w:r>
        <w:rPr>
          <w:rFonts w:hint="eastAsia" w:ascii="黑体" w:hAnsi="黑体" w:eastAsia="黑体" w:cs="黑体"/>
          <w:sz w:val="32"/>
          <w:szCs w:val="32"/>
          <w:shd w:val="clear" w:color="auto" w:fill="auto"/>
        </w:rPr>
        <w:t>四、评价结论和评价等级</w:t>
      </w:r>
      <w:bookmarkEnd w:id="35"/>
    </w:p>
    <w:p w14:paraId="464FFA2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cs="仿宋"/>
          <w:sz w:val="32"/>
          <w:szCs w:val="32"/>
          <w:shd w:val="clear" w:color="auto" w:fill="auto"/>
        </w:rPr>
      </w:pPr>
      <w:r>
        <w:rPr>
          <w:rFonts w:hint="eastAsia" w:ascii="仿宋" w:hAnsi="仿宋" w:eastAsia="仿宋" w:cs="仿宋"/>
          <w:sz w:val="32"/>
          <w:szCs w:val="32"/>
          <w:shd w:val="clear" w:color="auto" w:fill="auto"/>
        </w:rPr>
        <w:t>根据</w:t>
      </w:r>
      <w:r>
        <w:rPr>
          <w:rFonts w:hint="eastAsia" w:ascii="仿宋" w:hAnsi="仿宋" w:eastAsia="仿宋" w:cs="仿宋"/>
          <w:sz w:val="32"/>
          <w:szCs w:val="32"/>
          <w:shd w:val="clear" w:color="auto" w:fill="auto"/>
          <w:lang w:eastAsia="zh-CN"/>
        </w:rPr>
        <w:t>部门职责定位和各项工作履职情况进行综合评价</w:t>
      </w:r>
      <w:r>
        <w:rPr>
          <w:rFonts w:hint="eastAsia" w:ascii="仿宋" w:hAnsi="仿宋" w:eastAsia="仿宋" w:cs="仿宋"/>
          <w:sz w:val="32"/>
          <w:szCs w:val="32"/>
          <w:shd w:val="clear" w:color="auto" w:fill="auto"/>
        </w:rPr>
        <w:t>，给出总得分，满分100分，得出综合绩效评价等级。</w:t>
      </w:r>
      <w:r>
        <w:rPr>
          <w:rFonts w:hint="eastAsia" w:ascii="仿宋" w:hAnsi="仿宋" w:eastAsia="仿宋" w:cs="仿宋"/>
          <w:sz w:val="32"/>
          <w:szCs w:val="32"/>
          <w:shd w:val="clear" w:color="auto" w:fill="auto"/>
          <w:lang w:eastAsia="zh-CN"/>
        </w:rPr>
        <w:t>部门整体支出</w:t>
      </w:r>
      <w:r>
        <w:rPr>
          <w:rFonts w:hint="eastAsia" w:ascii="仿宋" w:hAnsi="仿宋" w:eastAsia="仿宋" w:cs="仿宋"/>
          <w:sz w:val="32"/>
          <w:szCs w:val="32"/>
          <w:shd w:val="clear" w:color="auto" w:fill="auto"/>
        </w:rPr>
        <w:t>综合绩效评价分为4个等级：得分≥85分为优秀；75≤得分＜85分为良好；60≤得分＜75分为一般；得分＜60分为较差。</w:t>
      </w:r>
    </w:p>
    <w:p w14:paraId="72A867C1">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cs="仿宋"/>
          <w:sz w:val="32"/>
          <w:szCs w:val="32"/>
          <w:highlight w:val="none"/>
          <w:shd w:val="clear" w:color="auto" w:fill="auto"/>
        </w:rPr>
      </w:pPr>
      <w:r>
        <w:rPr>
          <w:rFonts w:hint="eastAsia" w:ascii="仿宋" w:hAnsi="仿宋" w:eastAsia="仿宋" w:cs="仿宋"/>
          <w:sz w:val="32"/>
          <w:szCs w:val="32"/>
          <w:shd w:val="clear" w:color="auto" w:fill="auto"/>
        </w:rPr>
        <w:t>经过综合评估，2025年我办公文处理和会议组织水平实现整体提升，各类文件的前瞻性、指导性和可操作性进一步增强，各项重点工作推进有力有序。信息汇总全面准确，宣传报道导向鲜明，市领导交办的各项任务均按时</w:t>
      </w:r>
      <w:r>
        <w:rPr>
          <w:rFonts w:hint="eastAsia" w:ascii="仿宋" w:hAnsi="仿宋" w:eastAsia="仿宋" w:cs="仿宋"/>
          <w:sz w:val="32"/>
          <w:szCs w:val="32"/>
          <w:shd w:val="clear" w:color="auto" w:fill="auto"/>
          <w:lang w:val="en-US" w:eastAsia="zh-CN"/>
        </w:rPr>
        <w:t>高质量</w:t>
      </w:r>
      <w:r>
        <w:rPr>
          <w:rFonts w:hint="eastAsia" w:ascii="仿宋" w:hAnsi="仿宋" w:eastAsia="仿宋" w:cs="仿宋"/>
          <w:sz w:val="32"/>
          <w:szCs w:val="32"/>
          <w:shd w:val="clear" w:color="auto" w:fill="auto"/>
        </w:rPr>
        <w:t>完成。</w:t>
      </w:r>
      <w:r>
        <w:rPr>
          <w:rFonts w:hint="eastAsia" w:ascii="仿宋" w:hAnsi="仿宋" w:eastAsia="仿宋" w:cs="仿宋"/>
          <w:sz w:val="32"/>
          <w:szCs w:val="32"/>
          <w:shd w:val="clear" w:color="auto" w:fill="auto"/>
          <w:lang w:val="en-US" w:eastAsia="zh-CN"/>
        </w:rPr>
        <w:t>根据我办2025年各预算项目得分情况汇总评价，</w:t>
      </w:r>
      <w:r>
        <w:rPr>
          <w:rFonts w:hint="eastAsia" w:ascii="仿宋" w:hAnsi="仿宋" w:eastAsia="仿宋" w:cs="仿宋"/>
          <w:b w:val="0"/>
          <w:bCs w:val="0"/>
          <w:kern w:val="2"/>
          <w:sz w:val="32"/>
          <w:szCs w:val="32"/>
          <w:shd w:val="clear" w:color="auto" w:fill="auto"/>
          <w:lang w:val="en-US" w:eastAsia="zh-CN" w:bidi="ar-SA"/>
        </w:rPr>
        <w:t>我办部门整体绩效</w:t>
      </w:r>
      <w:r>
        <w:rPr>
          <w:rFonts w:hint="eastAsia" w:ascii="仿宋" w:hAnsi="仿宋" w:eastAsia="仿宋" w:cs="仿宋"/>
          <w:b w:val="0"/>
          <w:bCs w:val="0"/>
          <w:kern w:val="2"/>
          <w:sz w:val="32"/>
          <w:szCs w:val="32"/>
          <w:highlight w:val="none"/>
          <w:shd w:val="clear" w:color="auto" w:fill="auto"/>
          <w:lang w:val="en-US" w:eastAsia="zh-CN" w:bidi="ar-SA"/>
        </w:rPr>
        <w:t>自评得分92.07分，评价等级为“优秀”。</w:t>
      </w:r>
    </w:p>
    <w:p w14:paraId="10BA7C35">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黑体" w:hAnsi="黑体" w:eastAsia="黑体" w:cs="黑体"/>
          <w:sz w:val="32"/>
          <w:szCs w:val="32"/>
          <w:shd w:val="clear" w:color="auto" w:fill="auto"/>
        </w:rPr>
      </w:pPr>
      <w:bookmarkStart w:id="36" w:name="_Toc25323"/>
      <w:r>
        <w:rPr>
          <w:rFonts w:hint="eastAsia" w:ascii="黑体" w:hAnsi="黑体" w:eastAsia="黑体" w:cs="黑体"/>
          <w:sz w:val="32"/>
          <w:szCs w:val="32"/>
          <w:shd w:val="clear" w:color="auto" w:fill="auto"/>
        </w:rPr>
        <w:t>五、存在的问题及改进措施</w:t>
      </w:r>
      <w:bookmarkEnd w:id="36"/>
      <w:bookmarkStart w:id="42" w:name="_GoBack"/>
      <w:bookmarkEnd w:id="42"/>
    </w:p>
    <w:p w14:paraId="00B99FE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1"/>
        <w:rPr>
          <w:rFonts w:hint="eastAsia" w:ascii="楷体" w:hAnsi="楷体" w:eastAsia="楷体" w:cs="楷体"/>
          <w:b w:val="0"/>
          <w:bCs w:val="0"/>
          <w:sz w:val="32"/>
          <w:szCs w:val="32"/>
          <w:shd w:val="clear" w:color="auto" w:fill="auto"/>
        </w:rPr>
      </w:pPr>
      <w:bookmarkStart w:id="37" w:name="_Toc676"/>
      <w:r>
        <w:rPr>
          <w:rFonts w:hint="eastAsia" w:ascii="楷体" w:hAnsi="楷体" w:eastAsia="楷体" w:cs="楷体"/>
          <w:b w:val="0"/>
          <w:bCs w:val="0"/>
          <w:sz w:val="32"/>
          <w:szCs w:val="32"/>
          <w:shd w:val="clear" w:color="auto" w:fill="auto"/>
        </w:rPr>
        <w:t>（一）存在的主要问题</w:t>
      </w:r>
      <w:bookmarkEnd w:id="37"/>
    </w:p>
    <w:p w14:paraId="5290F815">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default" w:ascii="仿宋" w:hAnsi="仿宋" w:eastAsia="仿宋" w:cs="仿宋"/>
          <w:bCs/>
          <w:sz w:val="32"/>
          <w:szCs w:val="32"/>
          <w:highlight w:val="none"/>
          <w:shd w:val="clear" w:color="auto" w:fill="auto"/>
          <w:lang w:val="en-US" w:eastAsia="zh-CN"/>
        </w:rPr>
      </w:pPr>
      <w:r>
        <w:rPr>
          <w:rFonts w:hint="eastAsia" w:ascii="仿宋" w:hAnsi="仿宋" w:eastAsia="仿宋" w:cs="仿宋"/>
          <w:b/>
          <w:bCs w:val="0"/>
          <w:sz w:val="32"/>
          <w:szCs w:val="32"/>
          <w:highlight w:val="none"/>
          <w:shd w:val="clear" w:color="auto" w:fill="auto"/>
          <w:lang w:eastAsia="zh-CN"/>
        </w:rPr>
        <w:t>一是</w:t>
      </w:r>
      <w:r>
        <w:rPr>
          <w:rFonts w:hint="eastAsia" w:ascii="仿宋" w:hAnsi="仿宋" w:eastAsia="仿宋" w:cs="仿宋"/>
          <w:bCs/>
          <w:sz w:val="32"/>
          <w:szCs w:val="32"/>
          <w:highlight w:val="none"/>
          <w:shd w:val="clear" w:color="auto" w:fill="auto"/>
          <w:lang w:eastAsia="zh-CN"/>
        </w:rPr>
        <w:t>个别绩效目标因预算调整不够完善，未能完整清晰反映工作产出与效果，所设指标量化程度不足，难以准确衡量目标完成情况。</w:t>
      </w:r>
      <w:r>
        <w:rPr>
          <w:rFonts w:hint="eastAsia" w:ascii="仿宋" w:hAnsi="仿宋" w:eastAsia="仿宋" w:cs="仿宋"/>
          <w:bCs/>
          <w:sz w:val="32"/>
          <w:szCs w:val="32"/>
          <w:highlight w:val="none"/>
          <w:shd w:val="clear" w:color="auto" w:fill="auto"/>
          <w:lang w:val="en-US" w:eastAsia="zh-CN"/>
        </w:rPr>
        <w:t>如：公益损害及环境污染举报奖励经费质量指标设置为奖励金额=100%，不能反映指标奖励经费发放是否符合文件标准要求，不符合量化、可考核的指标设置要求。</w:t>
      </w:r>
    </w:p>
    <w:p w14:paraId="1CBF95B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eastAsia" w:ascii="仿宋" w:hAnsi="仿宋" w:eastAsia="仿宋" w:cs="仿宋"/>
          <w:bCs/>
          <w:sz w:val="32"/>
          <w:szCs w:val="32"/>
          <w:highlight w:val="none"/>
          <w:shd w:val="clear" w:color="auto" w:fill="auto"/>
          <w:lang w:eastAsia="zh-CN"/>
        </w:rPr>
      </w:pPr>
      <w:r>
        <w:rPr>
          <w:rFonts w:hint="eastAsia" w:ascii="仿宋" w:hAnsi="仿宋" w:eastAsia="仿宋" w:cs="仿宋"/>
          <w:b/>
          <w:bCs w:val="0"/>
          <w:sz w:val="32"/>
          <w:szCs w:val="32"/>
          <w:highlight w:val="none"/>
          <w:shd w:val="clear" w:color="auto" w:fill="auto"/>
          <w:lang w:eastAsia="zh-CN"/>
        </w:rPr>
        <w:t>二是</w:t>
      </w:r>
      <w:r>
        <w:rPr>
          <w:rFonts w:hint="eastAsia" w:ascii="仿宋" w:hAnsi="仿宋" w:eastAsia="仿宋" w:cs="仿宋"/>
          <w:bCs/>
          <w:sz w:val="32"/>
          <w:szCs w:val="32"/>
          <w:highlight w:val="none"/>
          <w:shd w:val="clear" w:color="auto" w:fill="auto"/>
          <w:lang w:eastAsia="zh-CN"/>
        </w:rPr>
        <w:t>同</w:t>
      </w:r>
      <w:r>
        <w:rPr>
          <w:rFonts w:hint="eastAsia" w:ascii="仿宋" w:hAnsi="仿宋" w:eastAsia="仿宋" w:cs="仿宋"/>
          <w:bCs/>
          <w:sz w:val="32"/>
          <w:szCs w:val="32"/>
          <w:highlight w:val="none"/>
          <w:shd w:val="clear" w:color="auto" w:fill="auto"/>
          <w:lang w:val="en-US" w:eastAsia="zh-CN"/>
        </w:rPr>
        <w:t>一</w:t>
      </w:r>
      <w:r>
        <w:rPr>
          <w:rFonts w:hint="eastAsia" w:ascii="仿宋" w:hAnsi="仿宋" w:eastAsia="仿宋" w:cs="仿宋"/>
          <w:bCs/>
          <w:sz w:val="32"/>
          <w:szCs w:val="32"/>
          <w:highlight w:val="none"/>
          <w:shd w:val="clear" w:color="auto" w:fill="auto"/>
          <w:lang w:eastAsia="zh-CN"/>
        </w:rPr>
        <w:t>项目</w:t>
      </w:r>
      <w:r>
        <w:rPr>
          <w:rFonts w:hint="eastAsia" w:ascii="仿宋" w:hAnsi="仿宋" w:eastAsia="仿宋" w:cs="仿宋"/>
          <w:bCs/>
          <w:sz w:val="32"/>
          <w:szCs w:val="32"/>
          <w:highlight w:val="none"/>
          <w:shd w:val="clear" w:color="auto" w:fill="auto"/>
          <w:lang w:val="en-US" w:eastAsia="zh-CN"/>
        </w:rPr>
        <w:t>在不同年份</w:t>
      </w:r>
      <w:r>
        <w:rPr>
          <w:rFonts w:hint="eastAsia" w:ascii="仿宋" w:hAnsi="仿宋" w:eastAsia="仿宋" w:cs="仿宋"/>
          <w:bCs/>
          <w:sz w:val="32"/>
          <w:szCs w:val="32"/>
          <w:highlight w:val="none"/>
          <w:shd w:val="clear" w:color="auto" w:fill="auto"/>
          <w:lang w:eastAsia="zh-CN"/>
        </w:rPr>
        <w:t>指标设置不统一，</w:t>
      </w:r>
      <w:r>
        <w:rPr>
          <w:rFonts w:hint="eastAsia" w:ascii="仿宋" w:hAnsi="仿宋" w:eastAsia="仿宋" w:cs="仿宋"/>
          <w:bCs/>
          <w:sz w:val="32"/>
          <w:szCs w:val="32"/>
          <w:highlight w:val="none"/>
          <w:shd w:val="clear" w:color="auto" w:fill="auto"/>
          <w:lang w:val="en-US" w:eastAsia="zh-CN"/>
        </w:rPr>
        <w:t>难以将延续多年的预算项目进行纵向评价，缺少基础、核心对比指标，</w:t>
      </w:r>
      <w:r>
        <w:rPr>
          <w:rFonts w:hint="eastAsia" w:ascii="仿宋" w:hAnsi="仿宋" w:eastAsia="仿宋" w:cs="仿宋"/>
          <w:bCs/>
          <w:sz w:val="32"/>
          <w:szCs w:val="32"/>
          <w:highlight w:val="none"/>
          <w:shd w:val="clear" w:color="auto" w:fill="auto"/>
          <w:lang w:eastAsia="zh-CN"/>
        </w:rPr>
        <w:t>不利于监督与评价工作的开展。</w:t>
      </w:r>
    </w:p>
    <w:p w14:paraId="0524D53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1"/>
        <w:rPr>
          <w:rFonts w:hint="eastAsia" w:ascii="仿宋" w:hAnsi="仿宋" w:eastAsia="仿宋" w:cs="仿宋"/>
          <w:b/>
          <w:bCs/>
          <w:sz w:val="32"/>
          <w:szCs w:val="32"/>
          <w:shd w:val="clear" w:color="auto" w:fill="auto"/>
        </w:rPr>
      </w:pPr>
      <w:bookmarkStart w:id="38" w:name="_Toc22078"/>
      <w:r>
        <w:rPr>
          <w:rFonts w:hint="eastAsia" w:ascii="楷体" w:hAnsi="楷体" w:eastAsia="楷体" w:cs="楷体"/>
          <w:b w:val="0"/>
          <w:bCs w:val="0"/>
          <w:sz w:val="32"/>
          <w:szCs w:val="32"/>
          <w:shd w:val="clear" w:color="auto" w:fill="auto"/>
        </w:rPr>
        <w:t>（二）针对问题提出具体的改进措施或建议</w:t>
      </w:r>
      <w:bookmarkEnd w:id="38"/>
    </w:p>
    <w:p w14:paraId="25E50486">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仿宋"/>
          <w:b w:val="0"/>
          <w:bCs/>
          <w:kern w:val="2"/>
          <w:sz w:val="32"/>
          <w:szCs w:val="32"/>
          <w:shd w:val="clear" w:color="auto" w:fill="auto"/>
          <w:lang w:val="en-US" w:eastAsia="zh-CN" w:bidi="ar-SA"/>
        </w:rPr>
      </w:pPr>
      <w:bookmarkStart w:id="39" w:name="_Toc70582285"/>
      <w:bookmarkStart w:id="40" w:name="_Toc70582288"/>
      <w:r>
        <w:rPr>
          <w:rFonts w:hint="eastAsia" w:ascii="仿宋" w:hAnsi="仿宋" w:eastAsia="仿宋" w:cs="仿宋"/>
          <w:b w:val="0"/>
          <w:bCs/>
          <w:kern w:val="2"/>
          <w:sz w:val="32"/>
          <w:szCs w:val="32"/>
          <w:shd w:val="clear" w:color="auto" w:fill="auto"/>
          <w:lang w:val="en-US" w:eastAsia="zh-CN" w:bidi="ar-SA"/>
        </w:rPr>
        <w:t>对于绩效指标设置不清晰或者无法量化的项目问题，我办将积极采取措施，协调相关科室，进一步细化、量化绩效指标，同时将指标做到可考量；对于</w:t>
      </w:r>
      <w:r>
        <w:rPr>
          <w:rFonts w:hint="eastAsia" w:ascii="仿宋" w:hAnsi="仿宋" w:eastAsia="仿宋" w:cs="仿宋"/>
          <w:bCs/>
          <w:sz w:val="32"/>
          <w:szCs w:val="32"/>
          <w:shd w:val="clear" w:color="auto" w:fill="auto"/>
          <w:lang w:val="en-US" w:eastAsia="zh-CN"/>
        </w:rPr>
        <w:t>同一项目指标设置不统一的问题我办将结合项目实际情况，丰富或完善指标，争取做到相同项目跨年度绩效评价考核口径一致，便于后续考核工作开展。</w:t>
      </w:r>
    </w:p>
    <w:bookmarkEnd w:id="39"/>
    <w:bookmarkEnd w:id="40"/>
    <w:p w14:paraId="206CE51D">
      <w:pPr>
        <w:pStyle w:val="11"/>
        <w:rPr>
          <w:rFonts w:hint="eastAsia" w:ascii="仿宋" w:hAnsi="仿宋" w:eastAsia="仿宋" w:cs="仿宋"/>
          <w:sz w:val="32"/>
          <w:szCs w:val="32"/>
          <w:shd w:val="clear" w:color="auto" w:fill="auto"/>
        </w:rPr>
      </w:pPr>
    </w:p>
    <w:p w14:paraId="05CBAE59">
      <w:pPr>
        <w:pStyle w:val="11"/>
        <w:jc w:val="right"/>
        <w:outlineLvl w:val="0"/>
        <w:rPr>
          <w:rFonts w:hint="eastAsia" w:ascii="仿宋" w:hAnsi="仿宋" w:eastAsia="仿宋" w:cs="仿宋"/>
          <w:b/>
          <w:bCs/>
          <w:sz w:val="32"/>
          <w:szCs w:val="32"/>
          <w:shd w:val="clear" w:color="auto" w:fill="auto"/>
          <w:lang w:val="en-US" w:eastAsia="zh-CN"/>
        </w:rPr>
      </w:pPr>
      <w:bookmarkStart w:id="41" w:name="_Toc24035"/>
      <w:r>
        <w:rPr>
          <w:rFonts w:hint="eastAsia" w:ascii="仿宋" w:hAnsi="仿宋" w:eastAsia="仿宋" w:cs="仿宋"/>
          <w:b/>
          <w:bCs/>
          <w:sz w:val="32"/>
          <w:szCs w:val="32"/>
          <w:shd w:val="clear" w:color="auto" w:fill="auto"/>
          <w:lang w:val="en-US" w:eastAsia="zh-CN"/>
        </w:rPr>
        <w:t>石家庄市人民政府办公室</w:t>
      </w:r>
      <w:bookmarkEnd w:id="41"/>
    </w:p>
    <w:p w14:paraId="4D125F95">
      <w:pPr>
        <w:pStyle w:val="11"/>
        <w:jc w:val="center"/>
        <w:rPr>
          <w:rFonts w:hint="eastAsia" w:ascii="仿宋" w:hAnsi="仿宋" w:eastAsia="仿宋" w:cs="仿宋"/>
          <w:b/>
          <w:bCs/>
          <w:sz w:val="32"/>
          <w:szCs w:val="32"/>
          <w:shd w:val="clear" w:color="auto" w:fill="auto"/>
          <w:lang w:val="en-US" w:eastAsia="zh-CN"/>
        </w:rPr>
      </w:pPr>
      <w:r>
        <w:rPr>
          <w:rFonts w:hint="eastAsia" w:ascii="仿宋" w:hAnsi="仿宋" w:eastAsia="仿宋" w:cs="仿宋"/>
          <w:b/>
          <w:bCs/>
          <w:sz w:val="32"/>
          <w:szCs w:val="32"/>
          <w:shd w:val="clear" w:color="auto" w:fill="auto"/>
          <w:lang w:val="en-US" w:eastAsia="zh-CN"/>
        </w:rPr>
        <w:t xml:space="preserve">                              2026年4月1日</w:t>
      </w:r>
    </w:p>
    <w:sectPr>
      <w:footerReference r:id="rId3"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D3C59">
    <w:pPr>
      <w:pStyle w:val="6"/>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602C3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20602C3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lvl>
  </w:abstractNum>
  <w:abstractNum w:abstractNumId="1">
    <w:nsid w:val="5FADAC18"/>
    <w:multiLevelType w:val="singleLevel"/>
    <w:tmpl w:val="5FADAC18"/>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iNWQ3MmVhNGYyMGJhNDBkNjE0ZTBkZGEyY2I0NTAifQ=="/>
  </w:docVars>
  <w:rsids>
    <w:rsidRoot w:val="0EBD2122"/>
    <w:rsid w:val="007E6C1F"/>
    <w:rsid w:val="00AF566A"/>
    <w:rsid w:val="00B6553A"/>
    <w:rsid w:val="013B25AC"/>
    <w:rsid w:val="01B104CA"/>
    <w:rsid w:val="02106AB0"/>
    <w:rsid w:val="02B43A28"/>
    <w:rsid w:val="046F331E"/>
    <w:rsid w:val="04E85B5A"/>
    <w:rsid w:val="05C0530F"/>
    <w:rsid w:val="07956271"/>
    <w:rsid w:val="084F00FD"/>
    <w:rsid w:val="09721397"/>
    <w:rsid w:val="0BB63BED"/>
    <w:rsid w:val="0C3C65E6"/>
    <w:rsid w:val="0C9501B6"/>
    <w:rsid w:val="0D0F3B1E"/>
    <w:rsid w:val="0EB97A43"/>
    <w:rsid w:val="0EBD2122"/>
    <w:rsid w:val="0F214EAE"/>
    <w:rsid w:val="11B71E6A"/>
    <w:rsid w:val="12C23A1B"/>
    <w:rsid w:val="140769CD"/>
    <w:rsid w:val="15C530C2"/>
    <w:rsid w:val="15DB29D9"/>
    <w:rsid w:val="17627497"/>
    <w:rsid w:val="17A70680"/>
    <w:rsid w:val="180B1384"/>
    <w:rsid w:val="18117925"/>
    <w:rsid w:val="18817CFA"/>
    <w:rsid w:val="19361FB9"/>
    <w:rsid w:val="1AAF0063"/>
    <w:rsid w:val="1BE140DE"/>
    <w:rsid w:val="1F8C53B8"/>
    <w:rsid w:val="1FF961AD"/>
    <w:rsid w:val="20756CC5"/>
    <w:rsid w:val="21A40857"/>
    <w:rsid w:val="23B87C1E"/>
    <w:rsid w:val="24417C14"/>
    <w:rsid w:val="248C197D"/>
    <w:rsid w:val="252959AF"/>
    <w:rsid w:val="277A6671"/>
    <w:rsid w:val="27BE44A7"/>
    <w:rsid w:val="292D35B7"/>
    <w:rsid w:val="29C47E99"/>
    <w:rsid w:val="2DB45B41"/>
    <w:rsid w:val="2EF82401"/>
    <w:rsid w:val="2F9510B2"/>
    <w:rsid w:val="33EB6CFF"/>
    <w:rsid w:val="35A12947"/>
    <w:rsid w:val="35CD1445"/>
    <w:rsid w:val="36146303"/>
    <w:rsid w:val="367D4717"/>
    <w:rsid w:val="37387040"/>
    <w:rsid w:val="3B625C0A"/>
    <w:rsid w:val="3CCD42E3"/>
    <w:rsid w:val="3CEE1963"/>
    <w:rsid w:val="3DE20A29"/>
    <w:rsid w:val="418F482F"/>
    <w:rsid w:val="419B47A7"/>
    <w:rsid w:val="43D969EA"/>
    <w:rsid w:val="47527C17"/>
    <w:rsid w:val="47A656DA"/>
    <w:rsid w:val="4A5120AF"/>
    <w:rsid w:val="4AE8228F"/>
    <w:rsid w:val="4B6007F4"/>
    <w:rsid w:val="4C9C27FE"/>
    <w:rsid w:val="4D4E260D"/>
    <w:rsid w:val="4E997D6C"/>
    <w:rsid w:val="4EDD03B5"/>
    <w:rsid w:val="4F351BEC"/>
    <w:rsid w:val="50FF0D51"/>
    <w:rsid w:val="512260B4"/>
    <w:rsid w:val="523B0A91"/>
    <w:rsid w:val="525C0D2F"/>
    <w:rsid w:val="52BD6ACB"/>
    <w:rsid w:val="55537534"/>
    <w:rsid w:val="561A74F1"/>
    <w:rsid w:val="580C057E"/>
    <w:rsid w:val="597244E8"/>
    <w:rsid w:val="5A8E3567"/>
    <w:rsid w:val="5EB71C30"/>
    <w:rsid w:val="5F793A13"/>
    <w:rsid w:val="621D38C8"/>
    <w:rsid w:val="6299572D"/>
    <w:rsid w:val="66AF0CE5"/>
    <w:rsid w:val="66F92FDE"/>
    <w:rsid w:val="681E6704"/>
    <w:rsid w:val="6AC537CF"/>
    <w:rsid w:val="6E5A6DD8"/>
    <w:rsid w:val="6E5B14A6"/>
    <w:rsid w:val="6F2C5C12"/>
    <w:rsid w:val="711B255E"/>
    <w:rsid w:val="718A4945"/>
    <w:rsid w:val="71F96249"/>
    <w:rsid w:val="73154050"/>
    <w:rsid w:val="777D13A3"/>
    <w:rsid w:val="78450B71"/>
    <w:rsid w:val="78501970"/>
    <w:rsid w:val="7A090428"/>
    <w:rsid w:val="7BB51E06"/>
    <w:rsid w:val="7C387F7C"/>
    <w:rsid w:val="7CAF441D"/>
    <w:rsid w:val="7FE83423"/>
    <w:rsid w:val="7FFF576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autoRedefine/>
    <w:unhideWhenUsed/>
    <w:qFormat/>
    <w:uiPriority w:val="0"/>
    <w:pPr>
      <w:keepNext/>
      <w:keepLines/>
      <w:outlineLvl w:val="1"/>
    </w:pPr>
    <w:rPr>
      <w:rFonts w:ascii="Arial" w:hAnsi="Arial" w:eastAsia="楷体"/>
      <w:b/>
    </w:rPr>
  </w:style>
  <w:style w:type="paragraph" w:styleId="3">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autoRedefine/>
    <w:unhideWhenUsed/>
    <w:qFormat/>
    <w:uiPriority w:val="1"/>
  </w:style>
  <w:style w:type="table" w:default="1" w:styleId="8">
    <w:name w:val="Normal Table"/>
    <w:autoRedefine/>
    <w:unhideWhenUsed/>
    <w:qFormat/>
    <w:uiPriority w:val="99"/>
    <w:tblPr>
      <w:tblCellMar>
        <w:top w:w="0" w:type="dxa"/>
        <w:left w:w="108" w:type="dxa"/>
        <w:bottom w:w="0" w:type="dxa"/>
        <w:right w:w="108" w:type="dxa"/>
      </w:tblCellMar>
    </w:tblPr>
  </w:style>
  <w:style w:type="paragraph" w:styleId="4">
    <w:name w:val="Normal Indent"/>
    <w:basedOn w:val="1"/>
    <w:autoRedefine/>
    <w:unhideWhenUsed/>
    <w:qFormat/>
    <w:uiPriority w:val="99"/>
    <w:pPr>
      <w:ind w:firstLine="420" w:firstLineChars="200"/>
    </w:pPr>
  </w:style>
  <w:style w:type="paragraph" w:styleId="5">
    <w:name w:val="annotation text"/>
    <w:basedOn w:val="1"/>
    <w:autoRedefine/>
    <w:qFormat/>
    <w:uiPriority w:val="0"/>
    <w:pPr>
      <w:jc w:val="left"/>
    </w:p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10">
    <w:name w:val="Strong"/>
    <w:basedOn w:val="9"/>
    <w:qFormat/>
    <w:uiPriority w:val="0"/>
    <w:rPr>
      <w:b/>
    </w:rPr>
  </w:style>
  <w:style w:type="paragraph" w:customStyle="1" w:styleId="11">
    <w:name w:val="正文缩进1"/>
    <w:basedOn w:val="1"/>
    <w:autoRedefine/>
    <w:qFormat/>
    <w:uiPriority w:val="0"/>
    <w:pPr>
      <w:ind w:firstLine="420" w:firstLineChars="200"/>
    </w:pPr>
  </w:style>
  <w:style w:type="paragraph" w:customStyle="1" w:styleId="12">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13">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14">
    <w:name w:val="WPSOffice手动目录 1"/>
    <w:autoRedefine/>
    <w:qFormat/>
    <w:uiPriority w:val="0"/>
    <w:pPr>
      <w:ind w:leftChars="0"/>
    </w:pPr>
    <w:rPr>
      <w:rFonts w:ascii="Times New Roman" w:hAnsi="Times New Roman" w:eastAsia="宋体" w:cs="Times New Roman"/>
      <w:sz w:val="20"/>
      <w:szCs w:val="20"/>
    </w:rPr>
  </w:style>
  <w:style w:type="paragraph" w:customStyle="1" w:styleId="15">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de225c90-bbc3-45fe-a46d-73eefaed7376</errorID>
      <errorWord>地</errorWord>
      <group>L1_Word</group>
      <groupName>字词问题</groupName>
      <ability>L2_DDD</ability>
      <abilityName>的地得用法</abilityName>
      <candidateList>
        <item>的</item>
      </candidateList>
      <explain>“的”常用于连接修饰语与名词性中心语，表示属性、所属或描述。</explain>
      <paraID>44222EC7</paraID>
      <start>55</start>
      <end>56</end>
      <status>modified</status>
      <modifiedWord>的</modifiedWord>
      <trackRevisions>false</trackRevisions>
    </reviewItem>
    <reviewItem>
      <errorID>6ddbb0d3-fdf6-4121-a2b3-d9258ad13d50</errorID>
      <errorWord>党的二十大及二十届历次全会精神</errorWord>
      <group>L1_Political</group>
      <groupName>政治性问题</groupName>
      <ability>L2_Keyword</ability>
      <abilityName>固定表述</abilityName>
      <candidateList>
        <item>党的二十大和二十届历次全会精神</item>
      </candidateList>
      <explain>词汇“党的二十大和二十届历次全会精神”在特定场景下为固定表述形式，请确认此处的“党的二十大及二十届历次全会精神”是否存在不当。</explain>
      <paraID>1B956C5A</paraID>
      <start>41</start>
      <end>56</end>
      <status>modified</status>
      <modifiedWord>党的二十大和二十届历次全会精神</modifiedWord>
      <trackRevisions>false</trackRevisions>
    </reviewItem>
    <reviewItem>
      <errorID>ad482727-ed12-47d7-9e32-32293896c562</errorID>
      <errorWord>市政府常务会</errorWord>
      <group>L1_Word</group>
      <groupName>字词问题</groupName>
      <ability>L2_Typo</ability>
      <abilityName>字词错误</abilityName>
      <candidateList>
        <item>市政府常务会议</item>
      </candidateList>
      <explain/>
      <paraID>42D5214C</paraID>
      <start>297</start>
      <end>304</end>
      <status>modified</status>
      <modifiedWord>市政府常务会议</modifiedWord>
      <trackRevisions>false</trackRevisions>
    </reviewItem>
    <reviewItem>
      <errorID>5c8b5ff6-03bb-413b-826d-f390bb81452d</errorID>
      <errorWord>次</errorWord>
      <group>L1_Knowledge</group>
      <groupName>知识性问题</groupName>
      <ability>L2_Knowledge</ability>
      <abilityName>其他知识</abilityName>
      <candidateList>
        <item>份</item>
      </candidateList>
      <explain>请检查“次”是否为量词使用错误，建议修改为“份”。</explain>
      <paraID>66F16CEA</paraID>
      <start>19</start>
      <end>20</end>
      <status>unmodified</status>
      <modifiedWord/>
      <trackRevisions>false</trackRevisions>
    </reviewItem>
    <reviewItem>
      <errorID>718bdfd0-535e-472c-b83e-0cda83e7466e</errorID>
      <errorWord>，可</errorWord>
      <group>L1_Word</group>
      <groupName>字词问题</groupName>
      <ability>L2_Typo</ability>
      <abilityName>字词错误</abilityName>
      <candidateList>
        <item>，</item>
      </candidateList>
      <explain/>
      <paraID> 394A35E</paraID>
      <start>51</start>
      <end>52</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ad7fba-ad27-44c4-b620-20ec973b0523}">
  <ds:schemaRefs/>
</ds:datastoreItem>
</file>

<file path=docProps/app.xml><?xml version="1.0" encoding="utf-8"?>
<Properties xmlns="http://schemas.openxmlformats.org/officeDocument/2006/extended-properties" xmlns:vt="http://schemas.openxmlformats.org/officeDocument/2006/docPropsVTypes">
  <Template>Normal</Template>
  <Pages>14</Pages>
  <Words>7293</Words>
  <Characters>7625</Characters>
  <Lines>7</Lines>
  <Paragraphs>2</Paragraphs>
  <TotalTime>46</TotalTime>
  <ScaleCrop>false</ScaleCrop>
  <LinksUpToDate>false</LinksUpToDate>
  <CharactersWithSpaces>7656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你是我的神经病1417941470</cp:lastModifiedBy>
  <cp:lastPrinted>2022-03-16T07:56:00Z</cp:lastPrinted>
  <dcterms:modified xsi:type="dcterms:W3CDTF">2026-05-06T08:47:05Z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F7EE28C8FCA6454181C5D9CB09F4B929_13</vt:lpwstr>
  </property>
  <property fmtid="{D5CDD505-2E9C-101B-9397-08002B2CF9AE}" pid="4" name="KSOTemplateDocerSaveRecord">
    <vt:lpwstr>eyJoZGlkIjoiYzQ2ZGY5ZWRlZTY5M2FmMTQ0MmY3Y2MzMzk4ZTMwN2UiLCJ1c2VySWQiOiIyNjQwNTc4MSJ9</vt:lpwstr>
  </property>
</Properties>
</file>