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bookmarkStart w:id="0" w:name="_Toc30940"/>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石家庄市投资促进局</w:t>
      </w:r>
      <w:bookmarkEnd w:id="0"/>
    </w:p>
    <w:p>
      <w:pPr>
        <w:spacing w:line="560" w:lineRule="exact"/>
        <w:jc w:val="center"/>
        <w:rPr>
          <w:rFonts w:hint="eastAsia" w:ascii="宋体" w:hAnsi="宋体" w:cs="宋体"/>
          <w:b/>
          <w:bCs/>
          <w:sz w:val="44"/>
          <w:szCs w:val="44"/>
        </w:rPr>
      </w:pPr>
      <w:bookmarkStart w:id="1" w:name="_Toc23532"/>
      <w:r>
        <w:rPr>
          <w:rFonts w:hint="eastAsia" w:ascii="宋体" w:hAnsi="宋体" w:cs="宋体"/>
          <w:b/>
          <w:bCs/>
          <w:sz w:val="44"/>
          <w:szCs w:val="44"/>
        </w:rPr>
        <w:t>2025年度整体支出绩效自评报告</w:t>
      </w:r>
      <w:bookmarkEnd w:id="1"/>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Pr>
        <w:rPr>
          <w:rFonts w:hint="eastAsia" w:ascii="宋体" w:hAnsi="宋体" w:cs="宋体"/>
          <w:b/>
          <w:bCs/>
          <w:sz w:val="44"/>
          <w:szCs w:val="44"/>
        </w:rPr>
      </w:pPr>
    </w:p>
    <w:p/>
    <w:p>
      <w:pPr>
        <w:jc w:val="center"/>
        <w:rPr>
          <w:b/>
          <w:bCs/>
          <w:sz w:val="32"/>
          <w:szCs w:val="36"/>
        </w:rPr>
      </w:pPr>
      <w:bookmarkStart w:id="2" w:name="_Toc24870"/>
      <w:r>
        <w:rPr>
          <w:rFonts w:hint="eastAsia"/>
          <w:b/>
          <w:bCs/>
          <w:sz w:val="32"/>
          <w:szCs w:val="36"/>
        </w:rPr>
        <w:t>石家庄市投资促进局</w:t>
      </w:r>
      <w:bookmarkEnd w:id="2"/>
    </w:p>
    <w:p>
      <w:pPr>
        <w:jc w:val="center"/>
      </w:pPr>
    </w:p>
    <w:p/>
    <w:p>
      <w:pPr>
        <w:jc w:val="center"/>
        <w:rPr>
          <w:b/>
          <w:bCs/>
          <w:sz w:val="24"/>
          <w:szCs w:val="28"/>
        </w:rPr>
      </w:pPr>
      <w:r>
        <w:rPr>
          <w:rFonts w:hint="eastAsia"/>
          <w:b/>
          <w:bCs/>
          <w:sz w:val="28"/>
          <w:szCs w:val="32"/>
        </w:rPr>
        <w:t>2026年4月</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p>
    <w:p>
      <w:pPr>
        <w:widowControl/>
        <w:jc w:val="left"/>
        <w:rPr>
          <w:rFonts w:hint="eastAsia" w:ascii="宋体" w:hAnsi="宋体" w:cs="宋体"/>
          <w:b/>
          <w:bCs/>
          <w:sz w:val="44"/>
          <w:szCs w:val="44"/>
        </w:rPr>
      </w:pPr>
      <w:r>
        <w:rPr>
          <w:rFonts w:hint="eastAsia" w:ascii="宋体" w:hAnsi="宋体" w:cs="宋体"/>
          <w:b/>
          <w:bCs/>
          <w:sz w:val="44"/>
          <w:szCs w:val="44"/>
        </w:rPr>
        <w:br w:type="page"/>
      </w:r>
    </w:p>
    <w:sdt>
      <w:sdtPr>
        <w:rPr>
          <w:lang w:val="zh-CN"/>
        </w:rPr>
        <w:id w:val="-1"/>
        <w:docPartObj>
          <w:docPartGallery w:val="Table of Contents"/>
          <w:docPartUnique/>
        </w:docPartObj>
      </w:sdtPr>
      <w:sdtEndPr>
        <w:rPr>
          <w:rFonts w:ascii="Calibri" w:hAnsi="Calibri" w:eastAsia="宋体" w:cs="黑体"/>
          <w:b/>
          <w:bCs/>
          <w:color w:val="auto"/>
          <w:kern w:val="2"/>
          <w:sz w:val="21"/>
          <w:szCs w:val="22"/>
          <w:lang w:val="zh-CN"/>
        </w:rPr>
      </w:sdtEndPr>
      <w:sdtContent>
        <w:p>
          <w:pPr>
            <w:pStyle w:val="13"/>
            <w:jc w:val="center"/>
            <w:rPr>
              <w:rFonts w:hint="eastAsia"/>
              <w:b/>
              <w:bCs/>
              <w:color w:val="auto"/>
              <w:sz w:val="36"/>
              <w:szCs w:val="36"/>
            </w:rPr>
          </w:pPr>
          <w:r>
            <w:rPr>
              <w:b/>
              <w:bCs/>
              <w:color w:val="auto"/>
              <w:sz w:val="36"/>
              <w:szCs w:val="36"/>
              <w:lang w:val="zh-CN"/>
            </w:rPr>
            <w:t>目</w:t>
          </w:r>
          <w:r>
            <w:rPr>
              <w:rFonts w:hint="eastAsia"/>
              <w:b/>
              <w:bCs/>
              <w:color w:val="auto"/>
              <w:sz w:val="36"/>
              <w:szCs w:val="36"/>
              <w:lang w:val="zh-CN"/>
            </w:rPr>
            <w:t xml:space="preserve">  </w:t>
          </w:r>
          <w:r>
            <w:rPr>
              <w:b/>
              <w:bCs/>
              <w:color w:val="auto"/>
              <w:sz w:val="36"/>
              <w:szCs w:val="36"/>
              <w:lang w:val="zh-CN"/>
            </w:rPr>
            <w:t>录</w:t>
          </w:r>
          <w:r>
            <w:rPr>
              <w:rFonts w:hint="eastAsia"/>
              <w:b/>
              <w:bCs/>
              <w:color w:val="auto"/>
              <w:sz w:val="36"/>
              <w:szCs w:val="36"/>
              <w:lang w:val="zh-CN"/>
            </w:rPr>
            <w:t xml:space="preserve"> </w:t>
          </w:r>
        </w:p>
        <w:p>
          <w:pPr>
            <w:pStyle w:val="6"/>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TOC \o "1-3" \h \z \u </w:instrText>
          </w:r>
          <w:r>
            <w:rPr>
              <w:rFonts w:hint="eastAsia"/>
            </w:rPr>
            <w:fldChar w:fldCharType="separate"/>
          </w:r>
          <w:r>
            <w:fldChar w:fldCharType="begin"/>
          </w:r>
          <w:r>
            <w:instrText xml:space="preserve"> HYPERLINK \l "_Toc228343002" </w:instrText>
          </w:r>
          <w:r>
            <w:fldChar w:fldCharType="separate"/>
          </w:r>
          <w:r>
            <w:rPr>
              <w:rStyle w:val="10"/>
              <w:rFonts w:ascii="黑体" w:hAnsi="黑体" w:eastAsia="黑体"/>
              <w:sz w:val="30"/>
              <w:szCs w:val="30"/>
            </w:rPr>
            <w:t>一、部门基本情况</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_Toc228343002 \h</w:instrText>
          </w:r>
          <w:r>
            <w:rPr>
              <w:rFonts w:hint="eastAsia"/>
              <w:sz w:val="30"/>
              <w:szCs w:val="30"/>
            </w:rPr>
            <w:instrText xml:space="preserve"> </w:instrText>
          </w:r>
          <w:r>
            <w:rPr>
              <w:rFonts w:hint="eastAsia"/>
              <w:sz w:val="30"/>
              <w:szCs w:val="30"/>
            </w:rPr>
            <w:fldChar w:fldCharType="separate"/>
          </w:r>
          <w:r>
            <w:rPr>
              <w:sz w:val="30"/>
              <w:szCs w:val="30"/>
            </w:rPr>
            <w:t>- 1 -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"_Toc228343003" </w:instrText>
          </w:r>
          <w:r>
            <w:fldChar w:fldCharType="separate"/>
          </w:r>
          <w:r>
            <w:rPr>
              <w:rStyle w:val="10"/>
              <w:rFonts w:ascii="楷体" w:hAnsi="楷体" w:eastAsia="楷体" w:cs="楷体_GB2312"/>
              <w:bCs/>
              <w:sz w:val="30"/>
              <w:szCs w:val="30"/>
            </w:rPr>
            <w:t>（一）部门概况</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_Toc228343003 \h</w:instrText>
          </w:r>
          <w:r>
            <w:rPr>
              <w:rFonts w:hint="eastAsia"/>
              <w:sz w:val="30"/>
              <w:szCs w:val="30"/>
            </w:rPr>
            <w:instrText xml:space="preserve"> </w:instrText>
          </w:r>
          <w:r>
            <w:rPr>
              <w:rFonts w:hint="eastAsia"/>
              <w:sz w:val="30"/>
              <w:szCs w:val="30"/>
            </w:rPr>
            <w:fldChar w:fldCharType="separate"/>
          </w:r>
          <w:r>
            <w:rPr>
              <w:sz w:val="30"/>
              <w:szCs w:val="30"/>
            </w:rPr>
            <w:t>- 1 -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"_Toc228343004" </w:instrText>
          </w:r>
          <w:r>
            <w:fldChar w:fldCharType="separate"/>
          </w:r>
          <w:r>
            <w:rPr>
              <w:rStyle w:val="10"/>
              <w:rFonts w:ascii="楷体" w:hAnsi="楷体" w:eastAsia="楷体" w:cs="楷体_GB2312"/>
              <w:bCs/>
              <w:sz w:val="30"/>
              <w:szCs w:val="30"/>
            </w:rPr>
            <w:t>（二）部门收支预决算情况</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_Toc228343004 \h</w:instrText>
          </w:r>
          <w:r>
            <w:rPr>
              <w:rFonts w:hint="eastAsia"/>
              <w:sz w:val="30"/>
              <w:szCs w:val="30"/>
            </w:rPr>
            <w:instrText xml:space="preserve"> </w:instrText>
          </w:r>
          <w:r>
            <w:rPr>
              <w:rFonts w:hint="eastAsia"/>
              <w:sz w:val="30"/>
              <w:szCs w:val="30"/>
            </w:rPr>
            <w:fldChar w:fldCharType="separate"/>
          </w:r>
          <w:r>
            <w:rPr>
              <w:sz w:val="30"/>
              <w:szCs w:val="30"/>
            </w:rPr>
            <w:t>- 4 -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"_Toc228343005" </w:instrText>
          </w:r>
          <w:r>
            <w:fldChar w:fldCharType="separate"/>
          </w:r>
          <w:r>
            <w:rPr>
              <w:rStyle w:val="10"/>
              <w:rFonts w:ascii="楷体" w:hAnsi="楷体" w:eastAsia="楷体" w:cs="楷体_GB2312"/>
              <w:bCs/>
              <w:sz w:val="30"/>
              <w:szCs w:val="30"/>
            </w:rPr>
            <w:t>（三）部门整体支出绩效目标、指标</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_Toc228343005 \h</w:instrText>
          </w:r>
          <w:r>
            <w:rPr>
              <w:rFonts w:hint="eastAsia"/>
              <w:sz w:val="30"/>
              <w:szCs w:val="30"/>
            </w:rPr>
            <w:instrText xml:space="preserve"> </w:instrText>
          </w:r>
          <w:r>
            <w:rPr>
              <w:rFonts w:hint="eastAsia"/>
              <w:sz w:val="30"/>
              <w:szCs w:val="30"/>
            </w:rPr>
            <w:fldChar w:fldCharType="separate"/>
          </w:r>
          <w:r>
            <w:rPr>
              <w:sz w:val="30"/>
              <w:szCs w:val="30"/>
            </w:rPr>
            <w:t>- 4 -</w:t>
          </w:r>
          <w:r>
            <w:rPr>
              <w:rFonts w:hint="eastAsia"/>
              <w:sz w:val="30"/>
              <w:szCs w:val="30"/>
            </w:rPr>
            <w:fldChar w:fldCharType="end"/>
          </w:r>
          <w:r>
            <w:rPr>
              <w:rFonts w:hint="eastAsia"/>
              <w:sz w:val="30"/>
              <w:szCs w:val="30"/>
            </w:rPr>
            <w:fldChar w:fldCharType="end"/>
          </w:r>
        </w:p>
        <w:p>
          <w:pPr>
            <w:pStyle w:val="6"/>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"_Toc228343006" </w:instrText>
          </w:r>
          <w:r>
            <w:fldChar w:fldCharType="separate"/>
          </w:r>
          <w:r>
            <w:rPr>
              <w:rStyle w:val="10"/>
              <w:rFonts w:ascii="黑体" w:hAnsi="黑体" w:eastAsia="黑体"/>
              <w:sz w:val="30"/>
              <w:szCs w:val="30"/>
            </w:rPr>
            <w:t>二、自评工作开展情况</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_Toc228343006 \h</w:instrText>
          </w:r>
          <w:r>
            <w:rPr>
              <w:rFonts w:hint="eastAsia"/>
              <w:sz w:val="30"/>
              <w:szCs w:val="30"/>
            </w:rPr>
            <w:instrText xml:space="preserve"> </w:instrText>
          </w:r>
          <w:r>
            <w:rPr>
              <w:rFonts w:hint="eastAsia"/>
              <w:sz w:val="30"/>
              <w:szCs w:val="30"/>
            </w:rPr>
            <w:fldChar w:fldCharType="separate"/>
          </w:r>
          <w:r>
            <w:rPr>
              <w:sz w:val="30"/>
              <w:szCs w:val="30"/>
            </w:rPr>
            <w:t>- 6 -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"_Toc228343007" </w:instrText>
          </w:r>
          <w:r>
            <w:fldChar w:fldCharType="separate"/>
          </w:r>
          <w:r>
            <w:rPr>
              <w:rStyle w:val="10"/>
              <w:rFonts w:ascii="楷体" w:hAnsi="楷体" w:eastAsia="楷体" w:cs="楷体_GB2312"/>
              <w:bCs/>
              <w:sz w:val="30"/>
              <w:szCs w:val="30"/>
            </w:rPr>
            <w:t>（一）自评的组织工作</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_Toc228343007 \h</w:instrText>
          </w:r>
          <w:r>
            <w:rPr>
              <w:rFonts w:hint="eastAsia"/>
              <w:sz w:val="30"/>
              <w:szCs w:val="30"/>
            </w:rPr>
            <w:instrText xml:space="preserve"> </w:instrText>
          </w:r>
          <w:r>
            <w:rPr>
              <w:rFonts w:hint="eastAsia"/>
              <w:sz w:val="30"/>
              <w:szCs w:val="30"/>
            </w:rPr>
            <w:fldChar w:fldCharType="separate"/>
          </w:r>
          <w:r>
            <w:rPr>
              <w:sz w:val="30"/>
              <w:szCs w:val="30"/>
            </w:rPr>
            <w:t>- 6 -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"_Toc228343008" </w:instrText>
          </w:r>
          <w:r>
            <w:fldChar w:fldCharType="separate"/>
          </w:r>
          <w:r>
            <w:rPr>
              <w:rStyle w:val="10"/>
              <w:rFonts w:ascii="楷体" w:hAnsi="楷体" w:eastAsia="楷体" w:cs="楷体_GB2312"/>
              <w:bCs/>
              <w:sz w:val="30"/>
              <w:szCs w:val="30"/>
            </w:rPr>
            <w:t>（二）自评的方法和过程</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_Toc228343008 \h</w:instrText>
          </w:r>
          <w:r>
            <w:rPr>
              <w:rFonts w:hint="eastAsia"/>
              <w:sz w:val="30"/>
              <w:szCs w:val="30"/>
            </w:rPr>
            <w:instrText xml:space="preserve"> </w:instrText>
          </w:r>
          <w:r>
            <w:rPr>
              <w:rFonts w:hint="eastAsia"/>
              <w:sz w:val="30"/>
              <w:szCs w:val="30"/>
            </w:rPr>
            <w:fldChar w:fldCharType="separate"/>
          </w:r>
          <w:r>
            <w:rPr>
              <w:sz w:val="30"/>
              <w:szCs w:val="30"/>
            </w:rPr>
            <w:t>- 6 -</w:t>
          </w:r>
          <w:r>
            <w:rPr>
              <w:rFonts w:hint="eastAsia"/>
              <w:sz w:val="30"/>
              <w:szCs w:val="30"/>
            </w:rPr>
            <w:fldChar w:fldCharType="end"/>
          </w:r>
          <w:r>
            <w:rPr>
              <w:rFonts w:hint="eastAsia"/>
              <w:sz w:val="30"/>
              <w:szCs w:val="30"/>
            </w:rPr>
            <w:fldChar w:fldCharType="end"/>
          </w:r>
        </w:p>
        <w:p>
          <w:pPr>
            <w:pStyle w:val="6"/>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"_Toc228343009" </w:instrText>
          </w:r>
          <w:r>
            <w:fldChar w:fldCharType="separate"/>
          </w:r>
          <w:r>
            <w:rPr>
              <w:rStyle w:val="10"/>
              <w:rFonts w:ascii="黑体" w:hAnsi="黑体" w:eastAsia="黑体"/>
              <w:sz w:val="30"/>
              <w:szCs w:val="30"/>
            </w:rPr>
            <w:t>三、部门整体支出绩效目标实现情况及指标分析</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_Toc228343009 \h</w:instrText>
          </w:r>
          <w:r>
            <w:rPr>
              <w:rFonts w:hint="eastAsia"/>
              <w:sz w:val="30"/>
              <w:szCs w:val="30"/>
            </w:rPr>
            <w:instrText xml:space="preserve"> </w:instrText>
          </w:r>
          <w:r>
            <w:rPr>
              <w:rFonts w:hint="eastAsia"/>
              <w:sz w:val="30"/>
              <w:szCs w:val="30"/>
            </w:rPr>
            <w:fldChar w:fldCharType="separate"/>
          </w:r>
          <w:r>
            <w:rPr>
              <w:sz w:val="30"/>
              <w:szCs w:val="30"/>
            </w:rPr>
            <w:t>- 7 -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"_Toc228343010" </w:instrText>
          </w:r>
          <w:r>
            <w:fldChar w:fldCharType="separate"/>
          </w:r>
          <w:r>
            <w:rPr>
              <w:rStyle w:val="10"/>
              <w:rFonts w:ascii="楷体" w:hAnsi="楷体" w:eastAsia="楷体" w:cs="楷体_GB2312"/>
              <w:bCs/>
              <w:sz w:val="30"/>
              <w:szCs w:val="30"/>
            </w:rPr>
            <w:t>（一）总体绩效目标实现情况</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_Toc228343010 \h</w:instrText>
          </w:r>
          <w:r>
            <w:rPr>
              <w:rFonts w:hint="eastAsia"/>
              <w:sz w:val="30"/>
              <w:szCs w:val="30"/>
            </w:rPr>
            <w:instrText xml:space="preserve"> </w:instrText>
          </w:r>
          <w:r>
            <w:rPr>
              <w:rFonts w:hint="eastAsia"/>
              <w:sz w:val="30"/>
              <w:szCs w:val="30"/>
            </w:rPr>
            <w:fldChar w:fldCharType="separate"/>
          </w:r>
          <w:r>
            <w:rPr>
              <w:sz w:val="30"/>
              <w:szCs w:val="30"/>
            </w:rPr>
            <w:t>- 7 -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"_Toc228343011" </w:instrText>
          </w:r>
          <w:r>
            <w:fldChar w:fldCharType="separate"/>
          </w:r>
          <w:r>
            <w:rPr>
              <w:rStyle w:val="10"/>
              <w:rFonts w:ascii="楷体" w:hAnsi="楷体" w:eastAsia="楷体" w:cs="楷体_GB2312"/>
              <w:bCs/>
              <w:sz w:val="30"/>
              <w:szCs w:val="30"/>
            </w:rPr>
            <w:t>（二）分项绩效目标实现情况及指标分析</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_Toc228343011 \h</w:instrText>
          </w:r>
          <w:r>
            <w:rPr>
              <w:rFonts w:hint="eastAsia"/>
              <w:sz w:val="30"/>
              <w:szCs w:val="30"/>
            </w:rPr>
            <w:instrText xml:space="preserve"> </w:instrText>
          </w:r>
          <w:r>
            <w:rPr>
              <w:rFonts w:hint="eastAsia"/>
              <w:sz w:val="30"/>
              <w:szCs w:val="30"/>
            </w:rPr>
            <w:fldChar w:fldCharType="separate"/>
          </w:r>
          <w:r>
            <w:rPr>
              <w:sz w:val="30"/>
              <w:szCs w:val="30"/>
            </w:rPr>
            <w:t>- 7 -</w:t>
          </w:r>
          <w:r>
            <w:rPr>
              <w:rFonts w:hint="eastAsia"/>
              <w:sz w:val="30"/>
              <w:szCs w:val="30"/>
            </w:rPr>
            <w:fldChar w:fldCharType="end"/>
          </w:r>
          <w:r>
            <w:rPr>
              <w:rFonts w:hint="eastAsia"/>
              <w:sz w:val="30"/>
              <w:szCs w:val="30"/>
            </w:rPr>
            <w:fldChar w:fldCharType="end"/>
          </w:r>
        </w:p>
        <w:p>
          <w:pPr>
            <w:pStyle w:val="6"/>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"_Toc228343012" </w:instrText>
          </w:r>
          <w:r>
            <w:fldChar w:fldCharType="separate"/>
          </w:r>
          <w:r>
            <w:rPr>
              <w:rStyle w:val="10"/>
              <w:rFonts w:ascii="黑体" w:hAnsi="黑体" w:eastAsia="黑体"/>
              <w:sz w:val="30"/>
              <w:szCs w:val="30"/>
            </w:rPr>
            <w:t>四、评价结论和评价等级</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_Toc228343012 \h</w:instrText>
          </w:r>
          <w:r>
            <w:rPr>
              <w:rFonts w:hint="eastAsia"/>
              <w:sz w:val="30"/>
              <w:szCs w:val="30"/>
            </w:rPr>
            <w:instrText xml:space="preserve"> </w:instrText>
          </w:r>
          <w:r>
            <w:rPr>
              <w:rFonts w:hint="eastAsia"/>
              <w:sz w:val="30"/>
              <w:szCs w:val="30"/>
            </w:rPr>
            <w:fldChar w:fldCharType="separate"/>
          </w:r>
          <w:r>
            <w:rPr>
              <w:sz w:val="30"/>
              <w:szCs w:val="30"/>
            </w:rPr>
            <w:t>- 10 -</w:t>
          </w:r>
          <w:r>
            <w:rPr>
              <w:rFonts w:hint="eastAsia"/>
              <w:sz w:val="30"/>
              <w:szCs w:val="30"/>
            </w:rPr>
            <w:fldChar w:fldCharType="end"/>
          </w:r>
          <w:r>
            <w:rPr>
              <w:rFonts w:hint="eastAsia"/>
              <w:sz w:val="30"/>
              <w:szCs w:val="30"/>
            </w:rPr>
            <w:fldChar w:fldCharType="end"/>
          </w:r>
        </w:p>
        <w:p>
          <w:pPr>
            <w:pStyle w:val="6"/>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"_Toc228343013" </w:instrText>
          </w:r>
          <w:r>
            <w:fldChar w:fldCharType="separate"/>
          </w:r>
          <w:r>
            <w:rPr>
              <w:rStyle w:val="10"/>
              <w:rFonts w:ascii="黑体" w:hAnsi="黑体" w:eastAsia="黑体"/>
              <w:sz w:val="30"/>
              <w:szCs w:val="30"/>
            </w:rPr>
            <w:t>五、存在的问题及改进措施</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_Toc228343013 \h</w:instrText>
          </w:r>
          <w:r>
            <w:rPr>
              <w:rFonts w:hint="eastAsia"/>
              <w:sz w:val="30"/>
              <w:szCs w:val="30"/>
            </w:rPr>
            <w:instrText xml:space="preserve"> </w:instrText>
          </w:r>
          <w:r>
            <w:rPr>
              <w:rFonts w:hint="eastAsia"/>
              <w:sz w:val="30"/>
              <w:szCs w:val="30"/>
            </w:rPr>
            <w:fldChar w:fldCharType="separate"/>
          </w:r>
          <w:r>
            <w:rPr>
              <w:sz w:val="30"/>
              <w:szCs w:val="30"/>
            </w:rPr>
            <w:t>- 10 -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"_Toc228343014" </w:instrText>
          </w:r>
          <w:r>
            <w:fldChar w:fldCharType="separate"/>
          </w:r>
          <w:r>
            <w:rPr>
              <w:rStyle w:val="10"/>
              <w:rFonts w:ascii="楷体" w:hAnsi="楷体" w:eastAsia="楷体"/>
              <w:bCs/>
              <w:sz w:val="30"/>
              <w:szCs w:val="30"/>
            </w:rPr>
            <w:t>（一）存在的主要问题</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_Toc228343014 \h</w:instrText>
          </w:r>
          <w:r>
            <w:rPr>
              <w:rFonts w:hint="eastAsia"/>
              <w:sz w:val="30"/>
              <w:szCs w:val="30"/>
            </w:rPr>
            <w:instrText xml:space="preserve"> </w:instrText>
          </w:r>
          <w:r>
            <w:rPr>
              <w:rFonts w:hint="eastAsia"/>
              <w:sz w:val="30"/>
              <w:szCs w:val="30"/>
            </w:rPr>
            <w:fldChar w:fldCharType="separate"/>
          </w:r>
          <w:r>
            <w:rPr>
              <w:sz w:val="30"/>
              <w:szCs w:val="30"/>
            </w:rPr>
            <w:t>- 10 -</w:t>
          </w:r>
          <w:r>
            <w:rPr>
              <w:rFonts w:hint="eastAsia"/>
              <w:sz w:val="30"/>
              <w:szCs w:val="30"/>
            </w:rPr>
            <w:fldChar w:fldCharType="end"/>
          </w:r>
          <w:r>
            <w:rPr>
              <w:rFonts w:hint="eastAsia"/>
              <w:sz w:val="30"/>
              <w:szCs w:val="30"/>
            </w:rPr>
            <w:fldChar w:fldCharType="end"/>
          </w:r>
        </w:p>
        <w:p>
          <w:pPr>
            <w:pStyle w:val="7"/>
            <w:tabs>
              <w:tab w:val="right" w:leader="dot" w:pos="8835"/>
            </w:tabs>
            <w:rPr>
              <w:rFonts w:hint="eastAsia" w:asciiTheme="minorHAnsi" w:hAnsiTheme="minorHAnsi" w:eastAsiaTheme="minorEastAsia" w:cstheme="minorBidi"/>
              <w:sz w:val="30"/>
              <w:szCs w:val="30"/>
              <w14:ligatures w14:val="standardContextual"/>
            </w:rPr>
          </w:pPr>
          <w:r>
            <w:fldChar w:fldCharType="begin"/>
          </w:r>
          <w:r>
            <w:instrText xml:space="preserve"> HYPERLINK \l "_Toc228343015" </w:instrText>
          </w:r>
          <w:r>
            <w:fldChar w:fldCharType="separate"/>
          </w:r>
          <w:r>
            <w:rPr>
              <w:rStyle w:val="10"/>
              <w:rFonts w:ascii="楷体" w:hAnsi="楷体" w:eastAsia="楷体"/>
              <w:bCs/>
              <w:sz w:val="30"/>
              <w:szCs w:val="30"/>
            </w:rPr>
            <w:t>（二）针对问题提出具体的改进措施或建议</w:t>
          </w:r>
          <w:r>
            <w:rPr>
              <w:rFonts w:hint="eastAsia"/>
              <w:sz w:val="30"/>
              <w:szCs w:val="30"/>
            </w:rPr>
            <w:tab/>
          </w:r>
          <w:r>
            <w:rPr>
              <w:rFonts w:hint="eastAsia"/>
              <w:sz w:val="30"/>
              <w:szCs w:val="30"/>
            </w:rPr>
            <w:fldChar w:fldCharType="begin"/>
          </w:r>
          <w:r>
            <w:rPr>
              <w:rFonts w:hint="eastAsia"/>
              <w:sz w:val="30"/>
              <w:szCs w:val="30"/>
            </w:rPr>
            <w:instrText xml:space="preserve"> </w:instrText>
          </w:r>
          <w:r>
            <w:rPr>
              <w:sz w:val="30"/>
              <w:szCs w:val="30"/>
            </w:rPr>
            <w:instrText xml:space="preserve">PAGEREF _Toc228343015 \h</w:instrText>
          </w:r>
          <w:r>
            <w:rPr>
              <w:rFonts w:hint="eastAsia"/>
              <w:sz w:val="30"/>
              <w:szCs w:val="30"/>
            </w:rPr>
            <w:instrText xml:space="preserve"> </w:instrText>
          </w:r>
          <w:r>
            <w:rPr>
              <w:rFonts w:hint="eastAsia"/>
              <w:sz w:val="30"/>
              <w:szCs w:val="30"/>
            </w:rPr>
            <w:fldChar w:fldCharType="separate"/>
          </w:r>
          <w:r>
            <w:rPr>
              <w:sz w:val="30"/>
              <w:szCs w:val="30"/>
            </w:rPr>
            <w:t>- 11 -</w:t>
          </w:r>
          <w:r>
            <w:rPr>
              <w:rFonts w:hint="eastAsia"/>
              <w:sz w:val="30"/>
              <w:szCs w:val="30"/>
            </w:rPr>
            <w:fldChar w:fldCharType="end"/>
          </w:r>
          <w:r>
            <w:rPr>
              <w:rFonts w:hint="eastAsia"/>
              <w:sz w:val="30"/>
              <w:szCs w:val="30"/>
            </w:rPr>
            <w:fldChar w:fldCharType="end"/>
          </w:r>
        </w:p>
        <w:p>
          <w:pPr>
            <w:rPr>
              <w:rFonts w:hint="eastAsia"/>
            </w:rPr>
          </w:pPr>
          <w:r>
            <w:rPr>
              <w:b/>
              <w:bCs/>
              <w:lang w:val="zh-CN"/>
            </w:rPr>
            <w:fldChar w:fldCharType="end"/>
          </w:r>
        </w:p>
      </w:sdtContent>
    </w:sdt>
    <w:p>
      <w:pPr>
        <w:widowControl/>
        <w:jc w:val="left"/>
        <w:rPr>
          <w:rFonts w:hint="eastAsia" w:ascii="宋体" w:hAnsi="宋体" w:cs="宋体"/>
          <w:b/>
          <w:bCs/>
          <w:sz w:val="44"/>
          <w:szCs w:val="44"/>
        </w:rPr>
        <w:sectPr>
          <w:headerReference r:id="rId5" w:type="first"/>
          <w:footerReference r:id="rId8" w:type="first"/>
          <w:headerReference r:id="rId3" w:type="default"/>
          <w:footerReference r:id="rId6" w:type="default"/>
          <w:headerReference r:id="rId4" w:type="even"/>
          <w:footerReference r:id="rId7" w:type="even"/>
          <w:pgSz w:w="11906" w:h="16838"/>
          <w:pgMar w:top="1440" w:right="1474" w:bottom="1440" w:left="1587" w:header="851" w:footer="992" w:gutter="0"/>
          <w:pgNumType w:fmt="numberInDash"/>
          <w:cols w:space="0" w:num="1"/>
          <w:docGrid w:type="lines" w:linePitch="312" w:charSpace="0"/>
        </w:sectPr>
      </w:pPr>
    </w:p>
    <w:p>
      <w:pPr>
        <w:spacing w:line="560" w:lineRule="exact"/>
        <w:jc w:val="center"/>
        <w:rPr>
          <w:rFonts w:hint="eastAsia" w:ascii="宋体" w:hAnsi="宋体" w:cs="宋体"/>
          <w:b/>
          <w:bCs/>
          <w:sz w:val="44"/>
          <w:szCs w:val="44"/>
        </w:rPr>
      </w:pPr>
      <w:r>
        <w:rPr>
          <w:rFonts w:ascii="宋体" w:hAnsi="宋体" w:cs="宋体"/>
          <w:b/>
          <w:bCs/>
          <w:sz w:val="44"/>
          <w:szCs w:val="44"/>
        </w:rPr>
        <w:t>石家庄市投资促进局</w:t>
      </w:r>
    </w:p>
    <w:p>
      <w:pPr>
        <w:spacing w:line="560" w:lineRule="exact"/>
        <w:jc w:val="center"/>
        <w:rPr>
          <w:rFonts w:hint="eastAsia" w:ascii="宋体" w:hAnsi="宋体" w:cs="宋体"/>
          <w:b/>
          <w:bCs/>
          <w:sz w:val="44"/>
          <w:szCs w:val="44"/>
        </w:rPr>
      </w:pPr>
      <w:r>
        <w:rPr>
          <w:rFonts w:hint="eastAsia" w:ascii="宋体" w:hAnsi="宋体" w:cs="宋体"/>
          <w:b/>
          <w:bCs/>
          <w:sz w:val="44"/>
          <w:szCs w:val="44"/>
        </w:rPr>
        <w:t>2025年度整体支出绩效自评报告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ascii="仿宋" w:hAnsi="仿宋" w:eastAsia="仿宋"/>
          <w:sz w:val="32"/>
          <w:szCs w:val="32"/>
        </w:rPr>
        <w:t>石家庄市投资促进局</w:t>
      </w:r>
      <w:r>
        <w:rPr>
          <w:rFonts w:hint="eastAsia" w:ascii="仿宋" w:hAnsi="仿宋" w:eastAsia="仿宋"/>
          <w:sz w:val="32"/>
          <w:szCs w:val="32"/>
        </w:rPr>
        <w:t>（以下简称“我局”）2025年整体支出情况实施了财政支出绩效自评价，形成本评价报告。</w:t>
      </w:r>
    </w:p>
    <w:p>
      <w:pPr>
        <w:adjustRightInd w:val="0"/>
        <w:snapToGrid w:val="0"/>
        <w:spacing w:line="560" w:lineRule="exact"/>
        <w:outlineLvl w:val="0"/>
        <w:rPr>
          <w:rFonts w:hint="eastAsia" w:ascii="黑体" w:hAnsi="黑体" w:eastAsia="黑体"/>
          <w:b/>
          <w:bCs/>
          <w:sz w:val="32"/>
          <w:szCs w:val="36"/>
        </w:rPr>
      </w:pPr>
      <w:r>
        <w:rPr>
          <w:rFonts w:hint="eastAsia" w:ascii="黑体" w:hAnsi="黑体" w:eastAsia="黑体"/>
          <w:sz w:val="32"/>
          <w:szCs w:val="32"/>
        </w:rPr>
        <w:t xml:space="preserve">     </w:t>
      </w:r>
      <w:bookmarkStart w:id="3" w:name="_Toc228343002"/>
      <w:r>
        <w:rPr>
          <w:rFonts w:hint="eastAsia" w:ascii="黑体" w:hAnsi="黑体" w:eastAsia="黑体"/>
          <w:sz w:val="32"/>
          <w:szCs w:val="32"/>
        </w:rPr>
        <w:t>一、部门</w:t>
      </w:r>
      <w:r>
        <w:rPr>
          <w:rFonts w:hint="eastAsia" w:ascii="黑体" w:hAnsi="黑体" w:eastAsia="黑体"/>
          <w:sz w:val="32"/>
          <w:szCs w:val="36"/>
        </w:rPr>
        <w:t>基本情况</w:t>
      </w:r>
      <w:bookmarkEnd w:id="3"/>
    </w:p>
    <w:p>
      <w:pPr>
        <w:adjustRightInd w:val="0"/>
        <w:snapToGrid w:val="0"/>
        <w:spacing w:line="560" w:lineRule="exact"/>
        <w:ind w:firstLine="640" w:firstLineChars="200"/>
        <w:outlineLvl w:val="1"/>
        <w:rPr>
          <w:rFonts w:hint="eastAsia" w:ascii="楷体" w:hAnsi="楷体" w:eastAsia="楷体" w:cs="楷体_GB2312"/>
          <w:bCs/>
          <w:sz w:val="32"/>
          <w:szCs w:val="32"/>
        </w:rPr>
      </w:pPr>
      <w:bookmarkStart w:id="4" w:name="_Toc228343003"/>
      <w:r>
        <w:rPr>
          <w:rFonts w:hint="eastAsia" w:ascii="楷体" w:hAnsi="楷体" w:eastAsia="楷体" w:cs="楷体_GB2312"/>
          <w:bCs/>
          <w:sz w:val="32"/>
          <w:szCs w:val="32"/>
        </w:rPr>
        <w:t>（一）部门概况</w:t>
      </w:r>
      <w:bookmarkEnd w:id="4"/>
    </w:p>
    <w:p>
      <w:pPr>
        <w:adjustRightInd w:val="0"/>
        <w:snapToGrid w:val="0"/>
        <w:spacing w:line="560" w:lineRule="exact"/>
        <w:ind w:firstLine="640" w:firstLineChars="200"/>
        <w:rPr>
          <w:rFonts w:hint="eastAsia" w:ascii="仿宋" w:hAnsi="仿宋" w:eastAsia="仿宋"/>
          <w:sz w:val="32"/>
          <w:szCs w:val="32"/>
        </w:rPr>
      </w:pPr>
      <w:r>
        <w:rPr>
          <w:rFonts w:ascii="仿宋" w:hAnsi="仿宋" w:eastAsia="仿宋"/>
          <w:sz w:val="32"/>
          <w:szCs w:val="32"/>
        </w:rPr>
        <w:t>1.部门职能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（1）负责拟订招商引资、利用外资、区域协作、开发区管理中长期发展规划、年度计划并组织实施；研究拟订投资促进政策，组织起草投资促进方面地方性法规、政府规章草案。</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（2）负责建立投资促进工作体系、工作机制，对利用国内外资金和经济技术合作、开发区发展情况进行统计、汇总、分析。</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（3）负责促进资金、技术、人才、项目引进和产业对接，争取招商引资相关政策、资金和项目支持。</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（5）负责国（境）内外重大投资促进活动的谋划、方案制定和组织实施；牵头组织专业性、行业性投资促进活动；指导协调各县(市、区)和各级各类开发区(园区）开展招商活动。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（7）负责对国（境）内外重要客户的联络拓展、重要团组和客户来访考察、洽谈的组织。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（8）组织和促进委托招商、代理招商、中介招商、专业招商、网上招商等多种形式的招商活动，制订并落实奖励政策；加强招商引资专业人才队伍建设。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（9）负责引进央企资金、项目及各项合作，促进合作项目的建设，负责为央企服务工作；负责外商投资项目建设的跟踪、协调和服务工作，负责引进资金到位统计工作。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负责指导全市经济技术交流与区域经济技术合作工作；负责区域间资金、项目、人才、科研成果及产业合作工作，开展与省外重点大专院校、科研院所合作；负责市所、市校科研合作开发资金的监督管理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11）负责经济开发区（园区）管理工作，负责经济开发区（园区）建立、升级、扩区工作，指导经济开发区（园区）建设、招商引资和体制、机制创新，负责对经济开发区(园区）招商引资工作的调度和绩效评估、考核认定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（12）完成市委、市政府交办的其他任务。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13）有关职责分工。与市市场监督管理局的有关职责分工。市投促局负责指导外商投资项目核准和备案工作，指导、监督、检查外商投资企业设立及变更的备案工作。市市场监督管理局负责外商投资企业注册登记、监督管理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2.组织机构和人员情况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市委办公厅、市政府办公厅《关于印发&lt;石家庄市投资促进局职能配置、内设机构和人员编制规定&gt;的通知》（石办字﹝2019﹞14号）和市委编办印发的《关于接收安置军转干部核增行政编制的通知》（石机编﹝2019﹞113号）、《关于接收安置军转干部核增行政编制的通知》（石机编﹝2022﹞28号）、《关于调整央企对接服务职责等事宜的通知》（石机编﹝2022﹞156号）、《关于调整市投资促进局机构编制的通知》（石编委发﹝2024﹞35号）石家庄市投资促进局（简称市投促局）为市政府工作部门，机构规格正县级，核定行政编制44名。</w:t>
      </w:r>
      <w:r>
        <w:rPr>
          <w:rFonts w:ascii="仿宋" w:hAnsi="仿宋" w:eastAsia="仿宋"/>
          <w:sz w:val="32"/>
          <w:szCs w:val="32"/>
        </w:rPr>
        <w:t>根据《中共石家庄市委机构编制委员会关于设立市投资促进服务中心的批复》（石机编〔2022〕114号），石家庄市投资促进服务中心（石家庄市外商投资企业投诉服务中心）为石家庄市投资促进局所属事业单位，公益一类，规格为正科级，经费形式为财政性资金基本保证，核定事业编制15名、科级职数1正2副。</w:t>
      </w:r>
      <w:r>
        <w:rPr>
          <w:rFonts w:hint="eastAsia" w:ascii="仿宋" w:hAnsi="仿宋" w:eastAsia="仿宋"/>
          <w:sz w:val="32"/>
          <w:szCs w:val="32"/>
        </w:rPr>
        <w:t>内部设置：办公室、开发区管理科、外国投资管理科、经济技术协作科、项目信息科、投资促进一科、投资促进二科、投资促进三科、机关党总支部等9个内设机构。所属石家庄市投资促进服务中心（石家庄市外商投资企业投诉服务中心）是独立核算单位。</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截至2025年12月31日，我部门局机关年末实有人数57人，其中我局本级年末实有人数43人，其中在职行政人员42名，在职工勤人员1名;所属事业中心</w:t>
      </w:r>
      <w:r>
        <w:rPr>
          <w:rFonts w:ascii="仿宋" w:hAnsi="仿宋" w:eastAsia="仿宋"/>
          <w:sz w:val="32"/>
          <w:szCs w:val="32"/>
        </w:rPr>
        <w:t>实有在职人员14名，其中管理岗10人、专技岗4人。</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3.资产情况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截止2025年底，我局共有资产121.90万元，其中货币资金0.20万元，固定资产原值211.51万元，无形资产原值56.59万元。</w:t>
      </w:r>
    </w:p>
    <w:p>
      <w:pPr>
        <w:adjustRightInd w:val="0"/>
        <w:snapToGrid w:val="0"/>
        <w:spacing w:line="560" w:lineRule="exact"/>
        <w:ind w:firstLine="640" w:firstLineChars="200"/>
        <w:outlineLvl w:val="1"/>
        <w:rPr>
          <w:rFonts w:hint="eastAsia" w:ascii="楷体" w:hAnsi="楷体" w:eastAsia="楷体" w:cs="楷体_GB2312"/>
          <w:bCs/>
          <w:sz w:val="32"/>
          <w:szCs w:val="32"/>
        </w:rPr>
      </w:pPr>
      <w:bookmarkStart w:id="5" w:name="_Toc228343004"/>
      <w:r>
        <w:rPr>
          <w:rFonts w:hint="eastAsia" w:ascii="楷体" w:hAnsi="楷体" w:eastAsia="楷体" w:cs="楷体_GB2312"/>
          <w:bCs/>
          <w:sz w:val="32"/>
          <w:szCs w:val="32"/>
        </w:rPr>
        <w:t>（二）部门收支预决算情况</w:t>
      </w:r>
      <w:bookmarkEnd w:id="5"/>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2025年部门年初收入预算</w:t>
      </w:r>
      <w:r>
        <w:rPr>
          <w:rFonts w:ascii="仿宋" w:hAnsi="仿宋" w:eastAsia="仿宋"/>
          <w:sz w:val="32"/>
          <w:szCs w:val="32"/>
        </w:rPr>
        <w:t>2009.81</w:t>
      </w:r>
      <w:r>
        <w:rPr>
          <w:rFonts w:hint="eastAsia" w:ascii="仿宋" w:hAnsi="仿宋" w:eastAsia="仿宋"/>
          <w:sz w:val="32"/>
          <w:szCs w:val="32"/>
        </w:rPr>
        <w:t>万元，其中：</w:t>
      </w:r>
      <w:r>
        <w:rPr>
          <w:rFonts w:ascii="仿宋" w:hAnsi="仿宋" w:eastAsia="仿宋"/>
          <w:sz w:val="32"/>
          <w:szCs w:val="32"/>
        </w:rPr>
        <w:t>一般公共预算财政拨款收入2009.81</w:t>
      </w:r>
      <w:r>
        <w:rPr>
          <w:rFonts w:hint="eastAsia" w:ascii="仿宋" w:hAnsi="仿宋" w:eastAsia="仿宋"/>
          <w:sz w:val="32"/>
          <w:szCs w:val="32"/>
        </w:rPr>
        <w:t>万元。年终收入预算调整为</w:t>
      </w:r>
      <w:r>
        <w:rPr>
          <w:rFonts w:ascii="仿宋" w:hAnsi="仿宋" w:eastAsia="仿宋"/>
          <w:sz w:val="32"/>
          <w:szCs w:val="32"/>
        </w:rPr>
        <w:t>1,929.81</w:t>
      </w:r>
      <w:r>
        <w:rPr>
          <w:rFonts w:hint="eastAsia" w:ascii="仿宋" w:hAnsi="仿宋" w:eastAsia="仿宋"/>
          <w:sz w:val="32"/>
          <w:szCs w:val="32"/>
        </w:rPr>
        <w:t>万元，其中：</w:t>
      </w:r>
      <w:r>
        <w:rPr>
          <w:rFonts w:ascii="仿宋" w:hAnsi="仿宋" w:eastAsia="仿宋"/>
          <w:sz w:val="32"/>
          <w:szCs w:val="32"/>
        </w:rPr>
        <w:t>一般公共预算财政拨款收入1,929.81</w:t>
      </w:r>
      <w:r>
        <w:rPr>
          <w:rFonts w:hint="eastAsia" w:ascii="仿宋" w:hAnsi="仿宋" w:eastAsia="仿宋"/>
          <w:sz w:val="32"/>
          <w:szCs w:val="32"/>
        </w:rPr>
        <w:t>万元。财政拨款年初结转和结余0.00万元。年初支出预算</w:t>
      </w:r>
      <w:r>
        <w:rPr>
          <w:rFonts w:ascii="仿宋" w:hAnsi="仿宋" w:eastAsia="仿宋"/>
          <w:sz w:val="32"/>
          <w:szCs w:val="32"/>
        </w:rPr>
        <w:t>2,009.81</w:t>
      </w:r>
      <w:r>
        <w:rPr>
          <w:rFonts w:hint="eastAsia" w:ascii="仿宋" w:hAnsi="仿宋" w:eastAsia="仿宋"/>
          <w:sz w:val="32"/>
          <w:szCs w:val="32"/>
        </w:rPr>
        <w:t>万元，其中：基本支出1163.89万元（包括人员经费1044.87万元和日常公用经费119.02万元）、项目支出845.92万元。年终支出预算调整为</w:t>
      </w:r>
      <w:r>
        <w:rPr>
          <w:rFonts w:ascii="仿宋" w:hAnsi="仿宋" w:eastAsia="仿宋"/>
          <w:sz w:val="32"/>
          <w:szCs w:val="32"/>
        </w:rPr>
        <w:t>1,929.81</w:t>
      </w:r>
      <w:r>
        <w:rPr>
          <w:rFonts w:hint="eastAsia" w:ascii="仿宋" w:hAnsi="仿宋" w:eastAsia="仿宋"/>
          <w:sz w:val="32"/>
          <w:szCs w:val="32"/>
        </w:rPr>
        <w:t>万元，其中：基本支出1106.36万元（包括人员经费</w:t>
      </w:r>
      <w:r>
        <w:rPr>
          <w:rFonts w:ascii="仿宋" w:hAnsi="仿宋" w:eastAsia="仿宋"/>
          <w:sz w:val="32"/>
          <w:szCs w:val="32"/>
        </w:rPr>
        <w:t>1,005.06</w:t>
      </w:r>
      <w:r>
        <w:rPr>
          <w:rFonts w:hint="eastAsia" w:ascii="仿宋" w:hAnsi="仿宋" w:eastAsia="仿宋"/>
          <w:sz w:val="32"/>
          <w:szCs w:val="32"/>
        </w:rPr>
        <w:t>万元和日常公用经费</w:t>
      </w:r>
      <w:r>
        <w:rPr>
          <w:rFonts w:ascii="仿宋" w:hAnsi="仿宋" w:eastAsia="仿宋"/>
          <w:sz w:val="32"/>
          <w:szCs w:val="32"/>
        </w:rPr>
        <w:t>101.30</w:t>
      </w:r>
      <w:r>
        <w:rPr>
          <w:rFonts w:hint="eastAsia" w:ascii="仿宋" w:hAnsi="仿宋" w:eastAsia="仿宋"/>
          <w:sz w:val="32"/>
          <w:szCs w:val="32"/>
        </w:rPr>
        <w:t>万元）、项目支出</w:t>
      </w:r>
      <w:r>
        <w:rPr>
          <w:rFonts w:ascii="仿宋" w:hAnsi="仿宋" w:eastAsia="仿宋"/>
          <w:sz w:val="32"/>
          <w:szCs w:val="32"/>
        </w:rPr>
        <w:t>823.46</w:t>
      </w:r>
      <w:r>
        <w:rPr>
          <w:rFonts w:hint="eastAsia" w:ascii="仿宋" w:hAnsi="仿宋" w:eastAsia="仿宋"/>
          <w:sz w:val="32"/>
          <w:szCs w:val="32"/>
        </w:rPr>
        <w:t>万元。</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2025年决算收入</w:t>
      </w:r>
      <w:r>
        <w:rPr>
          <w:rFonts w:ascii="仿宋" w:hAnsi="仿宋" w:eastAsia="仿宋"/>
          <w:sz w:val="32"/>
          <w:szCs w:val="32"/>
        </w:rPr>
        <w:t>1,929.81</w:t>
      </w:r>
      <w:r>
        <w:rPr>
          <w:rFonts w:hint="eastAsia" w:ascii="仿宋" w:hAnsi="仿宋" w:eastAsia="仿宋"/>
          <w:sz w:val="32"/>
          <w:szCs w:val="32"/>
        </w:rPr>
        <w:t>万元，均为</w:t>
      </w:r>
      <w:r>
        <w:rPr>
          <w:rFonts w:ascii="仿宋" w:hAnsi="仿宋" w:eastAsia="仿宋"/>
          <w:sz w:val="32"/>
          <w:szCs w:val="32"/>
        </w:rPr>
        <w:t>一般公共预算财政拨款收入</w:t>
      </w:r>
      <w:r>
        <w:rPr>
          <w:rFonts w:hint="eastAsia" w:ascii="仿宋" w:hAnsi="仿宋" w:eastAsia="仿宋"/>
          <w:sz w:val="32"/>
          <w:szCs w:val="32"/>
        </w:rPr>
        <w:t>，年初结转和结余0.00万元。2025年支出合计</w:t>
      </w:r>
      <w:r>
        <w:rPr>
          <w:rFonts w:ascii="仿宋" w:hAnsi="仿宋" w:eastAsia="仿宋"/>
          <w:sz w:val="32"/>
          <w:szCs w:val="32"/>
        </w:rPr>
        <w:t>1,929.81</w:t>
      </w:r>
      <w:r>
        <w:rPr>
          <w:rFonts w:hint="eastAsia" w:ascii="仿宋" w:hAnsi="仿宋" w:eastAsia="仿宋"/>
          <w:sz w:val="32"/>
          <w:szCs w:val="32"/>
        </w:rPr>
        <w:t>万元，其中基本支出1106.36万元，项目支出</w:t>
      </w:r>
      <w:r>
        <w:rPr>
          <w:rFonts w:ascii="仿宋" w:hAnsi="仿宋" w:eastAsia="仿宋"/>
          <w:sz w:val="32"/>
          <w:szCs w:val="32"/>
        </w:rPr>
        <w:t>823.46</w:t>
      </w:r>
      <w:r>
        <w:rPr>
          <w:rFonts w:hint="eastAsia" w:ascii="仿宋" w:hAnsi="仿宋" w:eastAsia="仿宋"/>
          <w:sz w:val="32"/>
          <w:szCs w:val="32"/>
        </w:rPr>
        <w:t>万元。年末结转和结余0.00万元。</w:t>
      </w:r>
    </w:p>
    <w:p>
      <w:pPr>
        <w:adjustRightInd w:val="0"/>
        <w:snapToGrid w:val="0"/>
        <w:spacing w:line="560" w:lineRule="exact"/>
        <w:ind w:firstLine="640" w:firstLineChars="200"/>
        <w:outlineLvl w:val="1"/>
        <w:rPr>
          <w:rFonts w:ascii="楷体" w:hAnsi="楷体" w:eastAsia="楷体" w:cs="楷体_GB2312"/>
          <w:bCs/>
          <w:sz w:val="32"/>
          <w:szCs w:val="32"/>
        </w:rPr>
      </w:pPr>
      <w:bookmarkStart w:id="6" w:name="_Toc228343005"/>
      <w:r>
        <w:rPr>
          <w:rFonts w:hint="eastAsia" w:ascii="楷体" w:hAnsi="楷体" w:eastAsia="楷体" w:cs="楷体_GB2312"/>
          <w:bCs/>
          <w:sz w:val="32"/>
          <w:szCs w:val="32"/>
        </w:rPr>
        <w:t>（三）部门整体支出绩效目标、指标</w:t>
      </w:r>
      <w:bookmarkEnd w:id="6"/>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1.总体绩效目标</w:t>
      </w:r>
    </w:p>
    <w:p>
      <w:pPr>
        <w:adjustRightInd w:val="0"/>
        <w:snapToGrid w:val="0"/>
        <w:spacing w:line="560" w:lineRule="exact"/>
        <w:ind w:firstLine="640" w:firstLineChars="200"/>
        <w:rPr>
          <w:rFonts w:hint="eastAsia" w:ascii="仿宋" w:hAnsi="仿宋" w:eastAsia="仿宋" w:cs="仿宋"/>
          <w:kern w:val="0"/>
          <w:sz w:val="32"/>
          <w:szCs w:val="32"/>
        </w:rPr>
      </w:pPr>
      <w:r>
        <w:rPr>
          <w:rFonts w:hint="eastAsia" w:ascii="仿宋" w:hAnsi="仿宋" w:eastAsia="仿宋"/>
          <w:sz w:val="32"/>
          <w:szCs w:val="32"/>
        </w:rPr>
        <w:t>紧紧围绕市委、市政府安排部署，始终牢固树立“项目为王”</w:t>
      </w:r>
      <w:r>
        <w:rPr>
          <w:rFonts w:hint="eastAsia" w:ascii="仿宋" w:hAnsi="仿宋" w:eastAsia="仿宋" w:cs="仿宋"/>
          <w:sz w:val="32"/>
          <w:szCs w:val="32"/>
        </w:rPr>
        <w:t>理念</w:t>
      </w:r>
      <w:r>
        <w:rPr>
          <w:rFonts w:hint="eastAsia" w:ascii="仿宋" w:hAnsi="仿宋" w:eastAsia="仿宋" w:cs="仿宋"/>
          <w:kern w:val="0"/>
          <w:sz w:val="32"/>
          <w:szCs w:val="32"/>
        </w:rPr>
        <w:t>，聚焦五大主导产业，在招商引资、利用外资、开发区管理等方面持续发力，取得良好成效。</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2.分项目标</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（一）招商引资质效并进</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ascii="仿宋" w:hAnsi="仿宋" w:eastAsia="仿宋"/>
          <w:sz w:val="32"/>
          <w:szCs w:val="32"/>
        </w:rPr>
        <w:t>不断创新招商举措，深化以商招商、驻外招商、国际化招商、基金招商和科技招商，依托进博会、数博会、廊洽会等国家、省、市活动，不断拓展渠道资源。</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2025年全市新签约亿元以上项目578个，计划总投资2046.7亿元，新落地亿元以上项目381个，计划总投资1382.1亿元。</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sz w:val="32"/>
          <w:szCs w:val="32"/>
        </w:rPr>
        <w:t>（二）</w:t>
      </w:r>
      <w:r>
        <w:rPr>
          <w:rFonts w:hint="eastAsia" w:ascii="仿宋" w:hAnsi="仿宋" w:eastAsia="仿宋" w:cs="仿宋"/>
          <w:sz w:val="32"/>
          <w:szCs w:val="32"/>
        </w:rPr>
        <w:t>利用外资稳中有进</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sz w:val="32"/>
          <w:szCs w:val="32"/>
        </w:rPr>
        <w:t>绩效目标：</w:t>
      </w:r>
      <w:r>
        <w:rPr>
          <w:rFonts w:hint="eastAsia" w:ascii="仿宋" w:hAnsi="仿宋" w:eastAsia="仿宋" w:cs="仿宋"/>
          <w:sz w:val="32"/>
          <w:szCs w:val="32"/>
        </w:rPr>
        <w:t>稳步推进利用外资工作，着力稳存量、促增量，积极拓宽利用外资渠道，持续优化外商投资企业服务。</w:t>
      </w:r>
    </w:p>
    <w:p>
      <w:pPr>
        <w:spacing w:line="560" w:lineRule="exact"/>
        <w:ind w:firstLine="640" w:firstLineChars="200"/>
        <w:rPr>
          <w:rFonts w:hint="eastAsia" w:ascii="仿宋" w:hAnsi="仿宋" w:eastAsia="仿宋" w:cs="仿宋"/>
          <w:sz w:val="32"/>
          <w:szCs w:val="32"/>
        </w:rPr>
      </w:pPr>
      <w:r>
        <w:rPr>
          <w:rFonts w:hint="eastAsia" w:ascii="仿宋" w:hAnsi="仿宋" w:eastAsia="仿宋"/>
          <w:sz w:val="32"/>
          <w:szCs w:val="32"/>
        </w:rPr>
        <w:t>绩效指标：</w:t>
      </w:r>
      <w:r>
        <w:rPr>
          <w:rFonts w:hint="eastAsia" w:ascii="仿宋" w:hAnsi="仿宋" w:eastAsia="仿宋" w:cs="仿宋"/>
          <w:sz w:val="32"/>
          <w:szCs w:val="32"/>
        </w:rPr>
        <w:t>2025年全市实际使用外资1.73亿美元，同比增长64.4%，总量全省第3，增速全省第2。新设外商投资企业80家，数量全省第1。</w:t>
      </w:r>
    </w:p>
    <w:p>
      <w:pPr>
        <w:tabs>
          <w:tab w:val="left" w:pos="2390"/>
        </w:tabs>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（三）开发区能级不断提升</w:t>
      </w:r>
    </w:p>
    <w:p>
      <w:pPr>
        <w:spacing w:line="560" w:lineRule="exact"/>
        <w:ind w:firstLine="640" w:firstLineChars="200"/>
        <w:rPr>
          <w:rFonts w:hint="eastAsia" w:ascii="仿宋" w:hAnsi="仿宋" w:eastAsia="仿宋" w:cs="仿宋"/>
          <w:sz w:val="32"/>
          <w:szCs w:val="32"/>
        </w:rPr>
      </w:pPr>
      <w:r>
        <w:rPr>
          <w:rFonts w:hint="eastAsia" w:ascii="仿宋" w:hAnsi="仿宋" w:eastAsia="仿宋"/>
          <w:sz w:val="32"/>
          <w:szCs w:val="32"/>
        </w:rPr>
        <w:t>绩效目标：</w:t>
      </w:r>
      <w:r>
        <w:rPr>
          <w:rFonts w:hint="eastAsia" w:ascii="仿宋" w:hAnsi="仿宋" w:eastAsia="仿宋" w:cs="仿宋"/>
          <w:sz w:val="32"/>
          <w:szCs w:val="32"/>
        </w:rPr>
        <w:t>顶层设计不断完善，体制机制更具活力，管理水平显著提升。不断深化“区域评估”“标准地+承诺制”“四个平台”等重点改革，全面推行“标准地”出让，低成本强配套园区加速打造，印发《石家庄市经济开发区三年提升工作方案(2025-2027年)》，并落实《深化国家级经济技术开发区改革创新以高水平开放引领高质量发展工作方案》等文件，强化园区顶层设计，联合市自然资源和规划局、市工信局共同对批而未供、供而未用、停产倒闭企业、低效企业等进行提升，着力提高亩均投入率、产出率。</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cs="仿宋"/>
          <w:sz w:val="32"/>
          <w:szCs w:val="32"/>
        </w:rPr>
        <w:t>2025年全市经济开发区实现营业收入16367.8亿元，同比增长12.1%。</w:t>
      </w:r>
    </w:p>
    <w:p>
      <w:pPr>
        <w:adjustRightInd w:val="0"/>
        <w:snapToGrid w:val="0"/>
        <w:spacing w:line="560" w:lineRule="exact"/>
        <w:ind w:firstLine="640" w:firstLineChars="200"/>
        <w:outlineLvl w:val="0"/>
        <w:rPr>
          <w:rFonts w:hint="eastAsia" w:ascii="黑体" w:hAnsi="黑体" w:eastAsia="黑体"/>
          <w:sz w:val="32"/>
          <w:szCs w:val="32"/>
        </w:rPr>
      </w:pPr>
      <w:bookmarkStart w:id="7" w:name="_Toc228343006"/>
      <w:r>
        <w:rPr>
          <w:rFonts w:hint="eastAsia" w:ascii="黑体" w:hAnsi="黑体" w:eastAsia="黑体"/>
          <w:sz w:val="32"/>
          <w:szCs w:val="32"/>
        </w:rPr>
        <w:t>二、自评工作开展情况</w:t>
      </w:r>
      <w:bookmarkEnd w:id="7"/>
    </w:p>
    <w:p>
      <w:pPr>
        <w:spacing w:line="560" w:lineRule="exact"/>
        <w:outlineLvl w:val="1"/>
        <w:rPr>
          <w:rFonts w:hint="eastAsia" w:ascii="楷体" w:hAnsi="楷体" w:eastAsia="楷体" w:cs="楷体_GB2312"/>
          <w:sz w:val="32"/>
          <w:szCs w:val="32"/>
        </w:rPr>
      </w:pPr>
      <w:r>
        <w:rPr>
          <w:rFonts w:hint="eastAsia" w:ascii="仿宋" w:hAnsi="仿宋" w:eastAsia="仿宋" w:cs="楷体_GB2312"/>
          <w:b/>
          <w:bCs/>
          <w:sz w:val="32"/>
          <w:szCs w:val="32"/>
        </w:rPr>
        <w:t xml:space="preserve">    </w:t>
      </w:r>
      <w:bookmarkStart w:id="8" w:name="_Toc228343007"/>
      <w:r>
        <w:rPr>
          <w:rFonts w:hint="eastAsia" w:ascii="楷体" w:hAnsi="楷体" w:eastAsia="楷体" w:cs="楷体_GB2312"/>
          <w:bCs/>
          <w:sz w:val="32"/>
          <w:szCs w:val="32"/>
        </w:rPr>
        <w:t>（一）自评的组织工作</w:t>
      </w:r>
      <w:bookmarkEnd w:id="8"/>
    </w:p>
    <w:p>
      <w:pPr>
        <w:spacing w:line="560" w:lineRule="exact"/>
        <w:ind w:firstLine="640" w:firstLineChars="200"/>
        <w:rPr>
          <w:rFonts w:hint="eastAsia" w:ascii="仿宋" w:hAnsi="仿宋" w:eastAsia="仿宋"/>
          <w:sz w:val="32"/>
          <w:szCs w:val="32"/>
        </w:rPr>
      </w:pPr>
      <w:r>
        <w:rPr>
          <w:rFonts w:ascii="仿宋" w:hAnsi="仿宋" w:eastAsia="仿宋"/>
          <w:sz w:val="32"/>
          <w:szCs w:val="32"/>
        </w:rPr>
        <w:t>202</w:t>
      </w:r>
      <w:r>
        <w:rPr>
          <w:rFonts w:hint="eastAsia" w:ascii="仿宋" w:hAnsi="仿宋" w:eastAsia="仿宋"/>
          <w:sz w:val="32"/>
          <w:szCs w:val="32"/>
        </w:rPr>
        <w:t>6</w:t>
      </w:r>
      <w:r>
        <w:rPr>
          <w:rFonts w:ascii="仿宋" w:hAnsi="仿宋" w:eastAsia="仿宋"/>
          <w:sz w:val="32"/>
          <w:szCs w:val="32"/>
        </w:rPr>
        <w:t>年</w:t>
      </w:r>
      <w:r>
        <w:rPr>
          <w:rFonts w:hint="eastAsia" w:ascii="仿宋" w:hAnsi="仿宋" w:eastAsia="仿宋"/>
          <w:sz w:val="32"/>
          <w:szCs w:val="32"/>
        </w:rPr>
        <w:t>4</w:t>
      </w:r>
      <w:r>
        <w:rPr>
          <w:rFonts w:ascii="仿宋" w:hAnsi="仿宋" w:eastAsia="仿宋"/>
          <w:sz w:val="32"/>
          <w:szCs w:val="32"/>
        </w:rPr>
        <w:t>月</w:t>
      </w:r>
      <w:r>
        <w:rPr>
          <w:rFonts w:hint="eastAsia" w:ascii="仿宋" w:hAnsi="仿宋" w:eastAsia="仿宋"/>
          <w:sz w:val="32"/>
          <w:szCs w:val="32"/>
        </w:rPr>
        <w:t>6</w:t>
      </w:r>
      <w:r>
        <w:rPr>
          <w:rFonts w:ascii="仿宋" w:hAnsi="仿宋" w:eastAsia="仿宋"/>
          <w:sz w:val="32"/>
          <w:szCs w:val="32"/>
        </w:rPr>
        <w:t>日至</w:t>
      </w:r>
      <w:r>
        <w:rPr>
          <w:rFonts w:hint="eastAsia" w:ascii="仿宋" w:hAnsi="仿宋" w:eastAsia="仿宋"/>
          <w:sz w:val="32"/>
          <w:szCs w:val="32"/>
        </w:rPr>
        <w:t>4</w:t>
      </w:r>
      <w:r>
        <w:rPr>
          <w:rFonts w:ascii="仿宋" w:hAnsi="仿宋" w:eastAsia="仿宋"/>
          <w:sz w:val="32"/>
          <w:szCs w:val="32"/>
        </w:rPr>
        <w:t>月2</w:t>
      </w:r>
      <w:r>
        <w:rPr>
          <w:rFonts w:hint="eastAsia" w:ascii="仿宋" w:hAnsi="仿宋" w:eastAsia="仿宋"/>
          <w:sz w:val="32"/>
          <w:szCs w:val="32"/>
        </w:rPr>
        <w:t>4</w:t>
      </w:r>
      <w:r>
        <w:rPr>
          <w:rFonts w:ascii="仿宋" w:hAnsi="仿宋" w:eastAsia="仿宋"/>
          <w:sz w:val="32"/>
          <w:szCs w:val="32"/>
        </w:rPr>
        <w:t>日期间，我局按照自评工作安排，为保证绩效评价工作顺利开展，成立了绩效评价小组，由副局长樊石磊同志任组长，</w:t>
      </w:r>
      <w:r>
        <w:rPr>
          <w:rFonts w:hint="eastAsia" w:ascii="仿宋" w:hAnsi="仿宋" w:eastAsia="仿宋"/>
          <w:sz w:val="32"/>
          <w:szCs w:val="32"/>
        </w:rPr>
        <w:t>各业务科室</w:t>
      </w:r>
      <w:bookmarkStart w:id="9" w:name="OLE_LINK2"/>
      <w:r>
        <w:rPr>
          <w:rFonts w:hint="eastAsia" w:ascii="仿宋" w:hAnsi="仿宋" w:eastAsia="仿宋"/>
          <w:sz w:val="32"/>
          <w:szCs w:val="32"/>
        </w:rPr>
        <w:t>负责人及财务人员姜嘉伟、曹地、韩轲轲、李曼、李蕴涵、唐佳佳</w:t>
      </w:r>
      <w:bookmarkEnd w:id="9"/>
      <w:r>
        <w:rPr>
          <w:rFonts w:hint="eastAsia" w:ascii="仿宋" w:hAnsi="仿宋" w:eastAsia="仿宋"/>
          <w:sz w:val="32"/>
          <w:szCs w:val="32"/>
        </w:rPr>
        <w:t>、黄炜、何俊驰、徐倩、任婧为成员</w:t>
      </w:r>
      <w:r>
        <w:rPr>
          <w:rFonts w:ascii="仿宋" w:hAnsi="仿宋" w:eastAsia="仿宋"/>
          <w:sz w:val="32"/>
          <w:szCs w:val="32"/>
        </w:rPr>
        <w:t>，负责绩效评价的组织管理和实施工作。按照工作要求，评价工作组制定自评工作方案，明确评价内容、评价程序及时间安排。组织相关人员召开专题会议，传达自评价工作要求和部署各项工作安排。全面收集评价所需基础信息资料并对资料进行分类整理、审查和分析。</w:t>
      </w:r>
    </w:p>
    <w:p>
      <w:pPr>
        <w:spacing w:line="560" w:lineRule="exact"/>
        <w:ind w:left="642"/>
        <w:outlineLvl w:val="1"/>
        <w:rPr>
          <w:rFonts w:hint="eastAsia" w:ascii="楷体" w:hAnsi="楷体" w:eastAsia="楷体" w:cs="楷体_GB2312"/>
          <w:bCs/>
          <w:sz w:val="32"/>
          <w:szCs w:val="32"/>
        </w:rPr>
      </w:pPr>
      <w:bookmarkStart w:id="10" w:name="_Toc228343008"/>
      <w:r>
        <w:rPr>
          <w:rFonts w:hint="eastAsia" w:ascii="楷体" w:hAnsi="楷体" w:eastAsia="楷体" w:cs="楷体_GB2312"/>
          <w:bCs/>
          <w:sz w:val="32"/>
          <w:szCs w:val="32"/>
        </w:rPr>
        <w:t>（二）自评的方法和过程</w:t>
      </w:r>
      <w:bookmarkEnd w:id="10"/>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1.自评的方法</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评价以评价指标体系为基础，主要采用成本效益分析法、因素分析法、比较分析法、综合指数评价法，具体指标评价采用百分制评分的形式来评定政策在制定、实施和效果各环节的实施和达成程度，在指标评价的基础上，由评价工作组综合分析，确定绩效整体的评价结论。</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成本效益分析法。是指将一定时期内总成本与总效益进行对比分析，以评价绩效目标实现程度。</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比较分析法。是指通过对绩效目标与实施效果、历史与当期情况、不同部门和地区同类支出的比较，综合分析绩效目标实现程度。</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因素分析法。是指通过综合分析影响绩效目标实现、实施效果的内外因素，计算投入产出比的方法。</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综合指数评价法。是指把各项绩效指标的实际水平，对照评价标准值，分别计算各项指标评价得分，再按照设定的各项指标权数计算出综合评价得分，分析评价绩效目标实现情况的评价方法。</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2.绩效自评过程</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自评将资金使用产出及效果与年初指标值相比较，完成相应指标值的，赋全部分值；未完成指标值的，按完成情况赋分，并对完成值低于指标值较多的，分析其形成原因，针对评价过程中发现的问题进一步提出相关意见建议，为以后年度我局履行部门职责作出更好的预算管理和资金安排。</w:t>
      </w:r>
    </w:p>
    <w:p>
      <w:pPr>
        <w:spacing w:line="560" w:lineRule="exact"/>
        <w:outlineLvl w:val="0"/>
        <w:rPr>
          <w:rFonts w:hint="eastAsia" w:ascii="黑体" w:hAnsi="黑体" w:eastAsia="黑体"/>
          <w:b/>
          <w:bCs/>
          <w:sz w:val="32"/>
          <w:szCs w:val="32"/>
        </w:rPr>
      </w:pPr>
      <w:r>
        <w:rPr>
          <w:rFonts w:hint="eastAsia" w:ascii="黑体" w:hAnsi="黑体" w:eastAsia="黑体"/>
          <w:sz w:val="32"/>
          <w:szCs w:val="32"/>
        </w:rPr>
        <w:t xml:space="preserve">    </w:t>
      </w:r>
      <w:bookmarkStart w:id="11" w:name="_Toc228343009"/>
      <w:r>
        <w:rPr>
          <w:rFonts w:hint="eastAsia" w:ascii="黑体" w:hAnsi="黑体" w:eastAsia="黑体"/>
          <w:sz w:val="32"/>
          <w:szCs w:val="32"/>
        </w:rPr>
        <w:t>三、部门整体支出绩效目标实现情况及指标分析</w:t>
      </w:r>
      <w:bookmarkEnd w:id="11"/>
    </w:p>
    <w:p>
      <w:pPr>
        <w:spacing w:line="560" w:lineRule="exact"/>
        <w:ind w:firstLine="640" w:firstLineChars="200"/>
        <w:outlineLvl w:val="1"/>
        <w:rPr>
          <w:rFonts w:hint="eastAsia" w:ascii="楷体" w:hAnsi="楷体" w:eastAsia="楷体" w:cs="楷体_GB2312"/>
          <w:bCs/>
          <w:sz w:val="32"/>
          <w:szCs w:val="32"/>
        </w:rPr>
      </w:pPr>
      <w:bookmarkStart w:id="12" w:name="_Toc228343010"/>
      <w:r>
        <w:rPr>
          <w:rFonts w:hint="eastAsia" w:ascii="楷体" w:hAnsi="楷体" w:eastAsia="楷体" w:cs="楷体_GB2312"/>
          <w:bCs/>
          <w:sz w:val="32"/>
          <w:szCs w:val="32"/>
        </w:rPr>
        <w:t>（一）总体绩效目标实现情况</w:t>
      </w:r>
      <w:bookmarkEnd w:id="12"/>
    </w:p>
    <w:p>
      <w:pPr>
        <w:spacing w:line="560" w:lineRule="exact"/>
        <w:ind w:firstLine="800" w:firstLineChars="250"/>
        <w:rPr>
          <w:rFonts w:hint="eastAsia" w:ascii="仿宋" w:hAnsi="仿宋" w:eastAsia="仿宋"/>
          <w:sz w:val="32"/>
          <w:szCs w:val="32"/>
        </w:rPr>
      </w:pPr>
      <w:r>
        <w:rPr>
          <w:rFonts w:ascii="仿宋" w:hAnsi="仿宋" w:eastAsia="仿宋"/>
          <w:sz w:val="32"/>
          <w:szCs w:val="32"/>
        </w:rPr>
        <w:t>紧紧围绕市委、市政府安排部署，始终牢固树立“项目为王”理念，聚焦五大主导产业，在招商引资、利用外资、开发区管理等方面持续发力，取得良好成效。</w:t>
      </w:r>
    </w:p>
    <w:p>
      <w:pPr>
        <w:spacing w:line="560" w:lineRule="exact"/>
        <w:outlineLvl w:val="1"/>
        <w:rPr>
          <w:rFonts w:hint="eastAsia" w:ascii="楷体" w:hAnsi="楷体" w:eastAsia="楷体"/>
          <w:bCs/>
          <w:sz w:val="32"/>
          <w:szCs w:val="32"/>
        </w:rPr>
      </w:pPr>
      <w:r>
        <w:rPr>
          <w:rFonts w:hint="eastAsia" w:ascii="仿宋" w:hAnsi="仿宋" w:eastAsia="仿宋" w:cs="楷体_GB2312"/>
          <w:b/>
          <w:bCs/>
          <w:sz w:val="32"/>
          <w:szCs w:val="32"/>
        </w:rPr>
        <w:t xml:space="preserve">    </w:t>
      </w:r>
      <w:bookmarkStart w:id="13" w:name="_Toc228343011"/>
      <w:r>
        <w:rPr>
          <w:rFonts w:hint="eastAsia" w:ascii="楷体" w:hAnsi="楷体" w:eastAsia="楷体" w:cs="楷体_GB2312"/>
          <w:bCs/>
          <w:sz w:val="32"/>
          <w:szCs w:val="32"/>
        </w:rPr>
        <w:t>（二）分项绩效目标实现情况及指标分析</w:t>
      </w:r>
      <w:bookmarkEnd w:id="13"/>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经核实，各项目数量指标、质量指标基本实现年初计划；资金及时拨付，项目或者活动基本及时完成；实际支出金额均未超预算数；满意度指标考核的是受益对象、服务对象、设备使用对象满意度，调查显示满意度均高于90%，总体较好得完成了预期目标。具体实现情况如下：</w:t>
      </w:r>
    </w:p>
    <w:p>
      <w:pPr>
        <w:spacing w:line="560" w:lineRule="exact"/>
        <w:ind w:firstLine="640" w:firstLineChars="200"/>
        <w:rPr>
          <w:rFonts w:hint="eastAsia" w:ascii="仿宋" w:hAnsi="仿宋" w:eastAsia="仿宋"/>
          <w:sz w:val="32"/>
          <w:szCs w:val="32"/>
          <w:lang w:val="en"/>
        </w:rPr>
      </w:pPr>
      <w:r>
        <w:rPr>
          <w:rFonts w:hint="eastAsia" w:ascii="仿宋" w:hAnsi="仿宋" w:eastAsia="仿宋"/>
          <w:sz w:val="32"/>
          <w:szCs w:val="32"/>
          <w:lang w:val="en"/>
        </w:rPr>
        <w:t>1.多措并举、向新而行，招商引资工作持续提质</w:t>
      </w:r>
    </w:p>
    <w:p>
      <w:pPr>
        <w:spacing w:line="560" w:lineRule="exact"/>
        <w:ind w:firstLine="643" w:firstLineChars="200"/>
        <w:rPr>
          <w:rFonts w:hint="eastAsia" w:ascii="仿宋" w:hAnsi="仿宋" w:eastAsia="仿宋"/>
          <w:sz w:val="32"/>
          <w:szCs w:val="32"/>
          <w:lang w:val="en"/>
        </w:rPr>
      </w:pPr>
      <w:r>
        <w:rPr>
          <w:rFonts w:hint="eastAsia" w:ascii="仿宋" w:hAnsi="仿宋" w:eastAsia="仿宋"/>
          <w:b/>
          <w:bCs/>
          <w:sz w:val="32"/>
          <w:szCs w:val="32"/>
          <w:lang w:val="en"/>
        </w:rPr>
        <w:t>一是以商招商提质升级。</w:t>
      </w:r>
      <w:r>
        <w:rPr>
          <w:rFonts w:hint="eastAsia" w:ascii="仿宋" w:hAnsi="仿宋" w:eastAsia="仿宋"/>
          <w:sz w:val="32"/>
          <w:szCs w:val="32"/>
          <w:lang w:val="en"/>
        </w:rPr>
        <w:t>积极联动本地优秀企业家，深入挖掘项目、渠道资源，以市政府名义开展第二届市级招商大使选聘工作，截至目前，招商大使共向我市推荐项目信息180余项，邀请客商来石超170家，组织外出拜访近100家，促成厚膜加热元器件项目、华北智慧金属科技园等30余个项目达成签约或合作。</w:t>
      </w:r>
      <w:r>
        <w:rPr>
          <w:rFonts w:hint="eastAsia" w:ascii="仿宋" w:hAnsi="仿宋" w:eastAsia="仿宋"/>
          <w:b/>
          <w:bCs/>
          <w:sz w:val="32"/>
          <w:szCs w:val="32"/>
          <w:lang w:val="en"/>
        </w:rPr>
        <w:t>二是驻外招商持续优化。</w:t>
      </w:r>
      <w:r>
        <w:rPr>
          <w:rFonts w:hint="eastAsia" w:ascii="仿宋" w:hAnsi="仿宋" w:eastAsia="仿宋"/>
          <w:sz w:val="32"/>
          <w:szCs w:val="32"/>
          <w:lang w:val="en"/>
        </w:rPr>
        <w:t>不断优化驻点城市范围，驻外招商组与驻地行业协会、知名企业、重点央国企建立常态化联系，深入挖掘项目资源。</w:t>
      </w:r>
      <w:r>
        <w:rPr>
          <w:rFonts w:hint="eastAsia" w:ascii="仿宋" w:hAnsi="仿宋" w:eastAsia="仿宋"/>
          <w:b/>
          <w:bCs/>
          <w:sz w:val="32"/>
          <w:szCs w:val="32"/>
          <w:lang w:val="en"/>
        </w:rPr>
        <w:t>三是基金、科技招商高效推动。</w:t>
      </w:r>
      <w:r>
        <w:rPr>
          <w:rFonts w:hint="eastAsia" w:ascii="仿宋" w:hAnsi="仿宋" w:eastAsia="仿宋"/>
          <w:sz w:val="32"/>
          <w:szCs w:val="32"/>
          <w:lang w:val="en"/>
        </w:rPr>
        <w:t>一方面深化与高校、院所合作，与北京大学、北京工业大学、天津大学、等10余家高校、科研机构常态化对接，组织举办“科创基石”等活动。一方面与市国投集团组建专班建立项目合作机制，与国寿投、省产投、洪泰基金等30家基金公司及金融机构建立合作，举办“基金+项目”招商对接会，切实推动招商引资向基金端、科技端延伸。</w:t>
      </w:r>
    </w:p>
    <w:p>
      <w:pPr>
        <w:spacing w:line="560" w:lineRule="exact"/>
        <w:ind w:firstLine="640" w:firstLineChars="200"/>
        <w:rPr>
          <w:rFonts w:hint="eastAsia" w:ascii="仿宋" w:hAnsi="仿宋" w:eastAsia="仿宋"/>
          <w:sz w:val="32"/>
          <w:szCs w:val="32"/>
          <w:lang w:val="en"/>
        </w:rPr>
      </w:pPr>
      <w:r>
        <w:rPr>
          <w:rFonts w:hint="eastAsia" w:ascii="仿宋" w:hAnsi="仿宋" w:eastAsia="仿宋"/>
          <w:sz w:val="32"/>
          <w:szCs w:val="32"/>
          <w:lang w:val="en"/>
        </w:rPr>
        <w:t>2.强化服务、实干为要，利用外资工作稳步推进</w:t>
      </w:r>
    </w:p>
    <w:p>
      <w:pPr>
        <w:spacing w:line="560" w:lineRule="exact"/>
        <w:ind w:firstLine="643" w:firstLineChars="200"/>
        <w:rPr>
          <w:rFonts w:hint="eastAsia" w:ascii="仿宋" w:hAnsi="仿宋" w:eastAsia="仿宋"/>
          <w:sz w:val="32"/>
          <w:szCs w:val="32"/>
          <w:lang w:val="en"/>
        </w:rPr>
      </w:pPr>
      <w:r>
        <w:rPr>
          <w:rFonts w:hint="eastAsia" w:ascii="仿宋" w:hAnsi="仿宋" w:eastAsia="仿宋"/>
          <w:b/>
          <w:bCs/>
          <w:sz w:val="32"/>
          <w:szCs w:val="32"/>
          <w:lang w:val="en"/>
        </w:rPr>
        <w:t>一是政策赋能强信心。</w:t>
      </w:r>
      <w:r>
        <w:rPr>
          <w:rFonts w:hint="eastAsia" w:ascii="仿宋" w:hAnsi="仿宋" w:eastAsia="仿宋"/>
          <w:sz w:val="32"/>
          <w:szCs w:val="32"/>
          <w:lang w:val="en"/>
        </w:rPr>
        <w:t>出台《关于进一步优化外商投资环境更大力度吸引和利用外资的若干措施》，配套出台《石家庄市鼓励企业家开展外资招商引资工作实施细则（试行）》，修订《石家庄市外商投资奖励实施细则》，进一步坚定外商投资信心。</w:t>
      </w:r>
      <w:r>
        <w:rPr>
          <w:rFonts w:hint="eastAsia" w:ascii="仿宋" w:hAnsi="仿宋" w:eastAsia="仿宋"/>
          <w:b/>
          <w:bCs/>
          <w:sz w:val="32"/>
          <w:szCs w:val="32"/>
          <w:lang w:val="en"/>
        </w:rPr>
        <w:t>二是国际化招商见成效。</w:t>
      </w:r>
      <w:r>
        <w:rPr>
          <w:rFonts w:hint="eastAsia" w:ascii="仿宋" w:hAnsi="仿宋" w:eastAsia="仿宋"/>
          <w:sz w:val="32"/>
          <w:szCs w:val="32"/>
          <w:lang w:val="en"/>
        </w:rPr>
        <w:t>赴新加坡、香港、匈牙利等国家或地区开展招商引资，举办招商引资对接交流会，宣传我市发展机遇、资源优势、产业基础。与丹麦、英国等国家驻我国使领馆积极对接联系，搭建合作桥梁，洽谈项目合作。促成奥星集团、南华集团等企业的一批合作项目实现签约。</w:t>
      </w:r>
      <w:r>
        <w:rPr>
          <w:rFonts w:hint="eastAsia" w:ascii="仿宋" w:hAnsi="仿宋" w:eastAsia="仿宋"/>
          <w:b/>
          <w:bCs/>
          <w:sz w:val="32"/>
          <w:szCs w:val="32"/>
          <w:lang w:val="en"/>
        </w:rPr>
        <w:t>三是奖励资金高效兑现。</w:t>
      </w:r>
      <w:r>
        <w:rPr>
          <w:rFonts w:hint="eastAsia" w:ascii="仿宋" w:hAnsi="仿宋" w:eastAsia="仿宋"/>
          <w:sz w:val="32"/>
          <w:szCs w:val="32"/>
          <w:lang w:val="en"/>
        </w:rPr>
        <w:t>今年共向石家庄四药、石家庄北威科技等5家符合条件的外资企业，兑现市级奖励资金754.6万元，帮助石家庄哈罗网、中集合斯康氢能科技2家企业申请并获得省级奖励资金280万元，进一步坚定外商投资信心。</w:t>
      </w:r>
      <w:r>
        <w:rPr>
          <w:rFonts w:hint="eastAsia" w:ascii="仿宋" w:hAnsi="仿宋" w:eastAsia="仿宋"/>
          <w:b/>
          <w:bCs/>
          <w:sz w:val="32"/>
          <w:szCs w:val="32"/>
          <w:lang w:val="en"/>
        </w:rPr>
        <w:t>四是业务培训强能力。</w:t>
      </w:r>
      <w:r>
        <w:rPr>
          <w:rFonts w:hint="eastAsia" w:ascii="仿宋" w:hAnsi="仿宋" w:eastAsia="仿宋"/>
          <w:sz w:val="32"/>
          <w:szCs w:val="32"/>
          <w:lang w:val="en"/>
        </w:rPr>
        <w:t>针对外资企业普遍关注的登记注册、信息报告、税收抵免、银行外汇等业务内容进行培训，切实提升投促系统工作人员利用外资业务水平。</w:t>
      </w:r>
    </w:p>
    <w:p>
      <w:pPr>
        <w:spacing w:line="560" w:lineRule="exact"/>
        <w:ind w:firstLine="640" w:firstLineChars="200"/>
        <w:rPr>
          <w:rFonts w:hint="eastAsia" w:ascii="仿宋" w:hAnsi="仿宋" w:eastAsia="仿宋"/>
          <w:sz w:val="32"/>
          <w:szCs w:val="32"/>
          <w:lang w:val="en"/>
        </w:rPr>
      </w:pPr>
      <w:r>
        <w:rPr>
          <w:rFonts w:hint="eastAsia" w:ascii="仿宋" w:hAnsi="仿宋" w:eastAsia="仿宋"/>
          <w:sz w:val="32"/>
          <w:szCs w:val="32"/>
          <w:lang w:val="en"/>
        </w:rPr>
        <w:t>3.降本增效、能级提升，开发区体制机制改革不断深化</w:t>
      </w:r>
    </w:p>
    <w:p>
      <w:pPr>
        <w:spacing w:line="560" w:lineRule="exact"/>
        <w:ind w:firstLine="643" w:firstLineChars="200"/>
        <w:rPr>
          <w:rFonts w:hint="eastAsia" w:ascii="仿宋" w:hAnsi="仿宋" w:eastAsia="仿宋"/>
          <w:sz w:val="32"/>
          <w:szCs w:val="32"/>
          <w:lang w:val="en"/>
        </w:rPr>
      </w:pPr>
      <w:r>
        <w:rPr>
          <w:rFonts w:hint="eastAsia" w:ascii="仿宋" w:hAnsi="仿宋" w:eastAsia="仿宋"/>
          <w:b/>
          <w:bCs/>
          <w:sz w:val="32"/>
          <w:szCs w:val="32"/>
          <w:lang w:val="en"/>
        </w:rPr>
        <w:t>一是进一步加强顶层设计。</w:t>
      </w:r>
      <w:r>
        <w:rPr>
          <w:rFonts w:hint="eastAsia" w:ascii="仿宋" w:hAnsi="仿宋" w:eastAsia="仿宋"/>
          <w:sz w:val="32"/>
          <w:szCs w:val="32"/>
          <w:lang w:val="en"/>
        </w:rPr>
        <w:t>印发《石家庄市经济开发区三年提升工作方案(2025-2027年)》《石家庄市2025年投资促进工作要点》，明确重点工作、发展方向和保障措施，为推动园区高质量发展夯实基础。</w:t>
      </w:r>
      <w:r>
        <w:rPr>
          <w:rFonts w:hint="eastAsia" w:ascii="仿宋" w:hAnsi="仿宋" w:eastAsia="仿宋"/>
          <w:b/>
          <w:bCs/>
          <w:sz w:val="32"/>
          <w:szCs w:val="32"/>
          <w:lang w:val="en"/>
        </w:rPr>
        <w:t>二是扎实推进低成本强配套园区建设。</w:t>
      </w:r>
      <w:r>
        <w:rPr>
          <w:rFonts w:hint="eastAsia" w:ascii="仿宋" w:hAnsi="仿宋" w:eastAsia="仿宋"/>
          <w:sz w:val="32"/>
          <w:szCs w:val="32"/>
          <w:lang w:val="en"/>
        </w:rPr>
        <w:t>指导全市各开发区在依法依规的前提下，综合施策、因地制宜，补短板、强弱项，合理降低工业用地、工业蒸汽、水电气暖、工业标准厂房租赁等生产要素价格，推动开发区基础设施建设和公共服务水平全面提升。有序推进园区低效用地再开发，联合市自然资源和规划局、市工信局共同就批而未供、供而未用、停产倒闭企业、低效企业等进行提升，着力提高亩均投入率、产出率。</w:t>
      </w:r>
      <w:r>
        <w:rPr>
          <w:rFonts w:hint="eastAsia" w:ascii="仿宋" w:hAnsi="仿宋" w:eastAsia="仿宋"/>
          <w:b/>
          <w:bCs/>
          <w:sz w:val="32"/>
          <w:szCs w:val="32"/>
          <w:lang w:val="en"/>
        </w:rPr>
        <w:t>三是做好开发区审核公告目录修订工作。</w:t>
      </w:r>
      <w:r>
        <w:rPr>
          <w:rFonts w:hint="eastAsia" w:ascii="仿宋" w:hAnsi="仿宋" w:eastAsia="仿宋"/>
          <w:sz w:val="32"/>
          <w:szCs w:val="32"/>
          <w:lang w:val="en"/>
        </w:rPr>
        <w:t>指导全市经济开发区完成修订材料的申报、数据收集、补充佐证、上报审批等工作，将区内基本农田、村庄等调出开发区，为未来发展留足发展空间。目前，相关材料已通过省级审核后，报送国家有关部门审查。</w:t>
      </w:r>
      <w:r>
        <w:rPr>
          <w:rFonts w:hint="eastAsia" w:ascii="仿宋" w:hAnsi="仿宋" w:eastAsia="仿宋"/>
          <w:b/>
          <w:bCs/>
          <w:sz w:val="32"/>
          <w:szCs w:val="32"/>
          <w:lang w:val="en"/>
        </w:rPr>
        <w:t>四是推动园区招商引资和项目建设。</w:t>
      </w:r>
      <w:r>
        <w:rPr>
          <w:rFonts w:hint="eastAsia" w:ascii="仿宋" w:hAnsi="仿宋" w:eastAsia="仿宋"/>
          <w:sz w:val="32"/>
          <w:szCs w:val="32"/>
          <w:lang w:val="en"/>
        </w:rPr>
        <w:t>积极组织各开发区参加“高交会”“京津冀产业链供应链系列活动”等系列活动，扩大“朋友圈”。持续优化完善项目管理平台，联合市委、市政府督查室共同赴县区推动项目进展。五是组织全市开发区业务培训，重点就企业赴香港上市、专项债项目谋划、智慧园区建设、低效用地再开发等进行培训，提高开发区人员业务水平。</w:t>
      </w:r>
    </w:p>
    <w:p>
      <w:pPr>
        <w:spacing w:line="560" w:lineRule="exact"/>
        <w:ind w:firstLine="640" w:firstLineChars="200"/>
        <w:rPr>
          <w:rFonts w:hint="eastAsia" w:ascii="仿宋" w:hAnsi="仿宋" w:eastAsia="仿宋"/>
          <w:sz w:val="32"/>
          <w:szCs w:val="32"/>
          <w:lang w:val="en"/>
        </w:rPr>
      </w:pPr>
      <w:r>
        <w:rPr>
          <w:rFonts w:hint="eastAsia" w:ascii="仿宋" w:hAnsi="仿宋" w:eastAsia="仿宋"/>
          <w:sz w:val="32"/>
          <w:szCs w:val="32"/>
          <w:lang w:val="en"/>
        </w:rPr>
        <w:t>4.</w:t>
      </w:r>
      <w:r>
        <w:rPr>
          <w:rFonts w:hint="eastAsia"/>
        </w:rPr>
        <w:t xml:space="preserve"> </w:t>
      </w:r>
      <w:r>
        <w:rPr>
          <w:rFonts w:ascii="仿宋" w:hAnsi="仿宋" w:eastAsia="仿宋"/>
          <w:sz w:val="32"/>
          <w:szCs w:val="32"/>
          <w:lang w:val="en"/>
        </w:rPr>
        <w:t>稳步推进、向深向实，区域协作开辟新局</w:t>
      </w:r>
    </w:p>
    <w:p>
      <w:pPr>
        <w:spacing w:line="560" w:lineRule="exact"/>
        <w:ind w:firstLine="643" w:firstLineChars="200"/>
        <w:rPr>
          <w:rFonts w:hint="eastAsia" w:ascii="仿宋" w:hAnsi="仿宋" w:eastAsia="仿宋"/>
          <w:sz w:val="32"/>
          <w:szCs w:val="32"/>
        </w:rPr>
      </w:pPr>
      <w:r>
        <w:rPr>
          <w:rFonts w:ascii="仿宋" w:hAnsi="仿宋" w:eastAsia="仿宋"/>
          <w:b/>
          <w:bCs/>
          <w:sz w:val="32"/>
          <w:szCs w:val="32"/>
        </w:rPr>
        <w:t>一是加强与京津地区的产业协同。</w:t>
      </w:r>
      <w:r>
        <w:rPr>
          <w:rFonts w:ascii="仿宋" w:hAnsi="仿宋" w:eastAsia="仿宋"/>
          <w:sz w:val="32"/>
          <w:szCs w:val="32"/>
        </w:rPr>
        <w:t>围绕五大主导产业，举办多场与京津企业、科研机构的对接交流会，积极推动石家庄与京津企业在技术研发、成果转化等方面开展合作。</w:t>
      </w:r>
      <w:r>
        <w:rPr>
          <w:rFonts w:ascii="仿宋" w:hAnsi="仿宋" w:eastAsia="仿宋"/>
          <w:b/>
          <w:bCs/>
          <w:sz w:val="32"/>
          <w:szCs w:val="32"/>
        </w:rPr>
        <w:t>二是推进石家庄都市圈招商工作。</w:t>
      </w:r>
      <w:r>
        <w:rPr>
          <w:rFonts w:ascii="仿宋" w:hAnsi="仿宋" w:eastAsia="仿宋"/>
          <w:sz w:val="32"/>
          <w:szCs w:val="32"/>
        </w:rPr>
        <w:t>以《石家庄都市圈发展规划》批复为重要契机，积极联动衡水市、邢台市等圈内相关地市，主动赴山西省与阳泉市投资促进中心对接交流，创新探索联合开展场景招商新模式，共组织开展4场联合招商活动。</w:t>
      </w:r>
      <w:r>
        <w:rPr>
          <w:rFonts w:ascii="仿宋" w:hAnsi="仿宋" w:eastAsia="仿宋"/>
          <w:b/>
          <w:bCs/>
          <w:sz w:val="32"/>
          <w:szCs w:val="32"/>
        </w:rPr>
        <w:t>三是积极推进校企合作。</w:t>
      </w:r>
      <w:r>
        <w:rPr>
          <w:rFonts w:ascii="仿宋" w:hAnsi="仿宋" w:eastAsia="仿宋"/>
          <w:sz w:val="32"/>
          <w:szCs w:val="32"/>
        </w:rPr>
        <w:t>成功协助2家企业申请奖励资金130万元，通过提供一对一指导的方式协助河北绿谷信息科技有限公司、石家庄藏诺药业股份有限公司、河北维尔利生物科技有限公司、河北兴柏农业科技股份有限公司申报2026年校企合作项目资金支持。</w:t>
      </w:r>
    </w:p>
    <w:p>
      <w:pPr>
        <w:spacing w:line="560" w:lineRule="exact"/>
        <w:ind w:firstLine="640" w:firstLineChars="200"/>
        <w:outlineLvl w:val="0"/>
        <w:rPr>
          <w:rFonts w:hint="eastAsia" w:ascii="黑体" w:hAnsi="黑体" w:eastAsia="黑体"/>
          <w:sz w:val="32"/>
          <w:szCs w:val="32"/>
        </w:rPr>
      </w:pPr>
      <w:bookmarkStart w:id="14" w:name="_Toc228343012"/>
      <w:r>
        <w:rPr>
          <w:rFonts w:hint="eastAsia" w:ascii="黑体" w:hAnsi="黑体" w:eastAsia="黑体"/>
          <w:sz w:val="32"/>
          <w:szCs w:val="32"/>
        </w:rPr>
        <w:t>四、评价结论和评价等级</w:t>
      </w:r>
      <w:bookmarkEnd w:id="14"/>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根据部门职责定位和各项工作履职情况进行综合评价，我部门整体支出绩效评价综合得分为98.85分，等级为“优秀”。</w:t>
      </w:r>
    </w:p>
    <w:p>
      <w:pPr>
        <w:spacing w:line="560" w:lineRule="exact"/>
        <w:ind w:firstLine="640" w:firstLineChars="200"/>
        <w:outlineLvl w:val="0"/>
        <w:rPr>
          <w:rFonts w:hint="eastAsia" w:ascii="黑体" w:hAnsi="黑体" w:eastAsia="黑体"/>
          <w:sz w:val="32"/>
          <w:szCs w:val="32"/>
        </w:rPr>
      </w:pPr>
      <w:bookmarkStart w:id="15" w:name="_Toc228343013"/>
      <w:r>
        <w:rPr>
          <w:rFonts w:hint="eastAsia" w:ascii="黑体" w:hAnsi="黑体" w:eastAsia="黑体"/>
          <w:sz w:val="32"/>
          <w:szCs w:val="32"/>
        </w:rPr>
        <w:t>五、存在的问题及改进措施</w:t>
      </w:r>
      <w:bookmarkEnd w:id="15"/>
    </w:p>
    <w:p>
      <w:pPr>
        <w:spacing w:line="560" w:lineRule="exact"/>
        <w:ind w:firstLine="640" w:firstLineChars="200"/>
        <w:outlineLvl w:val="1"/>
        <w:rPr>
          <w:rFonts w:hint="eastAsia" w:ascii="楷体" w:hAnsi="楷体" w:eastAsia="楷体"/>
          <w:bCs/>
          <w:sz w:val="32"/>
          <w:szCs w:val="32"/>
        </w:rPr>
      </w:pPr>
      <w:bookmarkStart w:id="16" w:name="_Toc228343014"/>
      <w:r>
        <w:rPr>
          <w:rFonts w:hint="eastAsia" w:ascii="楷体" w:hAnsi="楷体" w:eastAsia="楷体"/>
          <w:bCs/>
          <w:sz w:val="32"/>
          <w:szCs w:val="32"/>
        </w:rPr>
        <w:t>（一）存在的主要问题</w:t>
      </w:r>
      <w:bookmarkEnd w:id="16"/>
    </w:p>
    <w:p>
      <w:pPr>
        <w:spacing w:line="560" w:lineRule="exact"/>
        <w:ind w:firstLine="640" w:firstLineChars="200"/>
        <w:rPr>
          <w:rFonts w:hint="eastAsia" w:ascii="仿宋" w:hAnsi="仿宋" w:eastAsia="仿宋"/>
          <w:sz w:val="32"/>
          <w:szCs w:val="32"/>
        </w:rPr>
      </w:pPr>
      <w:r>
        <w:rPr>
          <w:rFonts w:ascii="仿宋" w:hAnsi="仿宋" w:eastAsia="仿宋"/>
          <w:sz w:val="32"/>
          <w:szCs w:val="32"/>
        </w:rPr>
        <w:t>绩效标准基本切实可行、客观合理，能够实际执行或实现，能够便于评价和衡量。但通过绩效自评倒查发现，有个别项目期初绩效标准设置不够量化、细化，绩效标准设置有待提升。</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个别项目</w:t>
      </w:r>
      <w:r>
        <w:rPr>
          <w:rFonts w:ascii="仿宋" w:hAnsi="仿宋" w:eastAsia="仿宋"/>
          <w:sz w:val="32"/>
          <w:szCs w:val="32"/>
        </w:rPr>
        <w:t>仅勉强达成既定考核的最低标准与基础目标，工作完成度局限于底线要求，缺乏主动提质增效意识，未结合实际工作深挖潜力、争先创优，整体完成质量有待提升。</w:t>
      </w:r>
    </w:p>
    <w:p>
      <w:pPr>
        <w:spacing w:line="560" w:lineRule="exact"/>
        <w:ind w:firstLine="640" w:firstLineChars="200"/>
        <w:outlineLvl w:val="1"/>
        <w:rPr>
          <w:rFonts w:hint="eastAsia" w:ascii="楷体" w:hAnsi="楷体" w:eastAsia="楷体"/>
          <w:bCs/>
          <w:sz w:val="32"/>
          <w:szCs w:val="32"/>
        </w:rPr>
      </w:pPr>
      <w:bookmarkStart w:id="17" w:name="_Toc228343015"/>
      <w:r>
        <w:rPr>
          <w:rFonts w:hint="eastAsia" w:ascii="楷体" w:hAnsi="楷体" w:eastAsia="楷体"/>
          <w:bCs/>
          <w:sz w:val="32"/>
          <w:szCs w:val="32"/>
        </w:rPr>
        <w:t>（二）针对问题提出具体的改进措施或建议</w:t>
      </w:r>
      <w:bookmarkEnd w:id="17"/>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ascii="仿宋" w:hAnsi="仿宋" w:eastAsia="仿宋"/>
          <w:sz w:val="32"/>
          <w:szCs w:val="32"/>
        </w:rPr>
        <w:t xml:space="preserve"> 优化绩效指标设置，细化量化考核标准</w:t>
      </w:r>
    </w:p>
    <w:p>
      <w:pPr>
        <w:adjustRightInd w:val="0"/>
        <w:snapToGrid w:val="0"/>
        <w:spacing w:line="560" w:lineRule="exact"/>
        <w:ind w:firstLine="640" w:firstLineChars="200"/>
        <w:rPr>
          <w:rFonts w:hint="eastAsia" w:ascii="仿宋" w:hAnsi="仿宋" w:eastAsia="仿宋"/>
          <w:sz w:val="32"/>
          <w:szCs w:val="32"/>
        </w:rPr>
      </w:pPr>
      <w:r>
        <w:rPr>
          <w:rFonts w:ascii="仿宋" w:hAnsi="仿宋" w:eastAsia="仿宋"/>
          <w:sz w:val="32"/>
          <w:szCs w:val="32"/>
        </w:rPr>
        <w:t>针对期初设置模糊、缺乏量化细则的个别项目，进一步细化考核内容、明确数据指标、量化完成标准、界定评价口径，杜绝笼统化、原则化表述。提前研判指标可行性、科学性与可衡量性，确保绩效标准精准贴合工作实际，兼具实操性与评价客观性，从源头提升绩效指标编制质量。</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w:t>
      </w:r>
      <w:r>
        <w:t xml:space="preserve"> </w:t>
      </w:r>
      <w:r>
        <w:rPr>
          <w:rFonts w:ascii="仿宋" w:hAnsi="仿宋" w:eastAsia="仿宋"/>
          <w:sz w:val="32"/>
          <w:szCs w:val="32"/>
        </w:rPr>
        <w:t>强化目标引领意识，全面提升工作质效</w:t>
      </w:r>
    </w:p>
    <w:p>
      <w:pPr>
        <w:adjustRightInd w:val="0"/>
        <w:snapToGrid w:val="0"/>
        <w:spacing w:line="560" w:lineRule="exact"/>
        <w:ind w:firstLine="640" w:firstLineChars="200"/>
        <w:rPr>
          <w:rFonts w:hint="eastAsia" w:ascii="仿宋" w:hAnsi="仿宋" w:eastAsia="仿宋"/>
          <w:sz w:val="32"/>
          <w:szCs w:val="32"/>
        </w:rPr>
      </w:pPr>
      <w:r>
        <w:rPr>
          <w:rFonts w:ascii="仿宋" w:hAnsi="仿宋" w:eastAsia="仿宋"/>
          <w:sz w:val="32"/>
          <w:szCs w:val="32"/>
        </w:rPr>
        <w:t>转变被动完成、达标即可的保守工作思维，摒弃底线思维与应付心态，树立争先创优、提质增效的工作理念。围绕各项工作目标提前谋划、统筹推进，细化阶段性工作计划。立足业务实际深挖工作潜力，主动对标更高工作标准，在完成基础硬性指标的前提下，积极寻求工作突破与优化升级，力争各项工作提质增效、创优争先，全面提升项目实施质量与工作完成层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w:t>
      </w:r>
      <w:r>
        <w:rPr>
          <w:rFonts w:hint="eastAsia"/>
        </w:rPr>
        <w:t xml:space="preserve"> </w:t>
      </w:r>
      <w:r>
        <w:rPr>
          <w:rFonts w:hint="eastAsia" w:ascii="仿宋" w:hAnsi="仿宋" w:eastAsia="仿宋"/>
          <w:sz w:val="32"/>
          <w:szCs w:val="32"/>
        </w:rPr>
        <w:t>加强</w:t>
      </w:r>
      <w:r>
        <w:rPr>
          <w:rFonts w:ascii="仿宋" w:hAnsi="仿宋" w:eastAsia="仿宋"/>
          <w:sz w:val="32"/>
          <w:szCs w:val="32"/>
        </w:rPr>
        <w:t>全过程</w:t>
      </w:r>
      <w:r>
        <w:rPr>
          <w:rFonts w:hint="eastAsia" w:ascii="仿宋" w:hAnsi="仿宋" w:eastAsia="仿宋"/>
          <w:sz w:val="32"/>
          <w:szCs w:val="32"/>
        </w:rPr>
        <w:t>管理</w:t>
      </w:r>
      <w:r>
        <w:rPr>
          <w:rFonts w:ascii="仿宋" w:hAnsi="仿宋" w:eastAsia="仿宋"/>
          <w:sz w:val="32"/>
          <w:szCs w:val="32"/>
        </w:rPr>
        <w:t>管控，压实绩效管理责任</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常态化开展绩效自查自纠，定期对照绩效目标、考核标准开展阶段性复盘，及时发现工作推进中的短板与不足。压实岗位绩效管理责任，将指标落实、任务推进、成果提质纳入日常管理，针对薄弱项目强化统筹协调与资源保障。同时，加强绩效管理学习，提升工作人员指标解读、目标落实、成果提升能力，形成指标设定、过程管控、提质增效、考核评价的闭环管理，持续提升整体绩效管理水平。</w:t>
      </w: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bookmarkStart w:id="18" w:name="_GoBack"/>
      <w:bookmarkEnd w:id="18"/>
    </w:p>
    <w:p>
      <w:pPr>
        <w:spacing w:line="560" w:lineRule="exact"/>
        <w:jc w:val="right"/>
        <w:rPr>
          <w:rFonts w:hint="eastAsia" w:ascii="仿宋" w:hAnsi="仿宋" w:eastAsia="仿宋"/>
          <w:sz w:val="32"/>
          <w:szCs w:val="32"/>
        </w:rPr>
      </w:pPr>
      <w:r>
        <w:rPr>
          <w:rFonts w:hint="eastAsia" w:ascii="仿宋" w:hAnsi="仿宋" w:eastAsia="仿宋"/>
          <w:sz w:val="32"/>
          <w:szCs w:val="32"/>
        </w:rPr>
        <w:t>石家庄市投资促进局</w:t>
      </w:r>
    </w:p>
    <w:p>
      <w:pPr>
        <w:spacing w:line="560" w:lineRule="exact"/>
        <w:jc w:val="right"/>
        <w:rPr>
          <w:rFonts w:hint="eastAsia" w:ascii="仿宋" w:hAnsi="仿宋" w:eastAsia="仿宋"/>
        </w:rPr>
      </w:pPr>
      <w:r>
        <w:rPr>
          <w:rFonts w:hint="eastAsia" w:ascii="仿宋" w:hAnsi="仿宋" w:eastAsia="仿宋"/>
          <w:sz w:val="32"/>
          <w:szCs w:val="32"/>
        </w:rPr>
        <w:t xml:space="preserve">                                       2026年4月28日</w:t>
      </w:r>
    </w:p>
    <w:p>
      <w:pPr>
        <w:adjustRightInd w:val="0"/>
        <w:snapToGrid w:val="0"/>
        <w:spacing w:line="560" w:lineRule="exact"/>
        <w:ind w:firstLine="420" w:firstLineChars="200"/>
        <w:rPr>
          <w:rFonts w:hint="eastAsia" w:ascii="仿宋" w:hAnsi="仿宋" w:eastAsia="仿宋"/>
        </w:rPr>
      </w:pPr>
    </w:p>
    <w:sectPr>
      <w:footerReference r:id="rId9" w:type="default"/>
      <w:pgSz w:w="11906" w:h="16838"/>
      <w:pgMar w:top="1440" w:right="1474" w:bottom="1440" w:left="1587" w:header="851" w:footer="992" w:gutter="0"/>
      <w:pgNumType w:fmt="numberInDash"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Cambria">
    <w:altName w:val="Noto Sans Syriac Eastern"/>
    <w:panose1 w:val="02040503050406030204"/>
    <w:charset w:val="00"/>
    <w:family w:val="roman"/>
    <w:pitch w:val="default"/>
    <w:sig w:usb0="00000000" w:usb1="00000000" w:usb2="02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 w:name="Noto Sans Symbols2">
    <w:panose1 w:val="020B0502040504020204"/>
    <w:charset w:val="00"/>
    <w:family w:val="auto"/>
    <w:pitch w:val="default"/>
    <w:sig w:usb0="80000003" w:usb1="0200E3E4" w:usb2="00040020" w:usb3="0580A048" w:csb0="00000001"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582698332" name="Quad Arrow 3073"/>
              <wp:cNvGraphicFramePr/>
              <a:graphic xmlns:a="http://schemas.openxmlformats.org/drawingml/2006/main">
                <a:graphicData uri="http://schemas.microsoft.com/office/word/2010/wordprocessingShape">
                  <wps:wsp>
                    <wps:cNvSpPr txBox="1">
                      <a:spLocks noChangeArrowheads="1"/>
                    </wps:cNvSpPr>
                    <wps:spPr bwMode="auto">
                      <a:xfrm>
                        <a:off x="0" y="0"/>
                        <a:ext cx="209550" cy="162560"/>
                      </a:xfrm>
                      <a:prstGeom prst="rect">
                        <a:avLst/>
                      </a:prstGeom>
                      <a:noFill/>
                      <a:ln>
                        <a:noFill/>
                      </a:ln>
                    </wps:spPr>
                    <wps:txbx>
                      <w:txbxContent>
                        <w:p>
                          <w:pPr>
                            <w:snapToGrid w:val="0"/>
                            <w:rPr>
                              <w:sz w:val="18"/>
                            </w:rPr>
                          </w:pPr>
                        </w:p>
                      </w:txbxContent>
                    </wps:txbx>
                    <wps:bodyPr rot="0" vert="horz" wrap="none" lIns="0" tIns="0" rIns="0" bIns="0" anchor="t" anchorCtr="0" upright="1">
                      <a:spAutoFit/>
                    </wps:bodyPr>
                  </wps:wsp>
                </a:graphicData>
              </a:graphic>
            </wp:anchor>
          </w:drawing>
        </mc:Choice>
        <mc:Fallback>
          <w:pict>
            <v:shape id="Quad Arrow 3073" o:spid="_x0000_s1026" o:spt="202" type="#_x0000_t202" style="position:absolute;left:0pt;margin-top:0pt;height:12.8pt;width:16.5pt;mso-position-horizontal:center;mso-position-horizontal-relative:margin;mso-wrap-style:none;z-index:251659264;mso-width-relative:page;mso-height-relative:page;" filled="f" stroked="f" coordsize="21600,21600" o:gfxdata="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BYAAABkcnMvUEsBAhQAFAAAAAgAh07iQMLz5BLRAAAAAwEAAA8AAAAA&#10;AAAAAQAgAAAAOAAAAGRycy9kb3ducmV2LnhtbFBLAQIUABQAAAAIAIdO4kBa/6MGBQIAAA4EAAAO&#10;AAAAAAAAAAEAIAAAADYBAABkcnMvZTJvRG9jLnhtbFBLBQYAAAAABgAGAFkBAACtBQAAAAA=&#10;">
              <v:fill on="f" focussize="0,0"/>
              <v:stroke on="f"/>
              <v:imagedata o:title=""/>
              <o:lock v:ext="edit" aspectratio="f"/>
              <v:textbox inset="0mm,0mm,0mm,0mm" style="mso-fit-shape-to-text:t;">
                <w:txbxContent>
                  <w:p>
                    <w:pPr>
                      <w:snapToGrid w:val="0"/>
                      <w:rPr>
                        <w:sz w:val="1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09550" cy="162560"/>
              <wp:effectExtent l="0" t="0" r="0" b="0"/>
              <wp:wrapNone/>
              <wp:docPr id="1932824767" name="Quad Arrow 3073"/>
              <wp:cNvGraphicFramePr/>
              <a:graphic xmlns:a="http://schemas.openxmlformats.org/drawingml/2006/main">
                <a:graphicData uri="http://schemas.microsoft.com/office/word/2010/wordprocessingShape">
                  <wps:wsp>
                    <wps:cNvSpPr txBox="1">
                      <a:spLocks noChangeArrowheads="1"/>
                    </wps:cNvSpPr>
                    <wps:spPr bwMode="auto">
                      <a:xfrm>
                        <a:off x="0" y="0"/>
                        <a:ext cx="209550" cy="16256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Quad Arrow 3073" o:spid="_x0000_s1026" o:spt="202" type="#_x0000_t202" style="position:absolute;left:0pt;margin-top:0pt;height:12.8pt;width:16.5pt;mso-position-horizontal:center;mso-position-horizontal-relative:margin;mso-wrap-style:none;z-index:251660288;mso-width-relative:page;mso-height-relative:page;" filled="f" stroked="f" coordsize="21600,21600" o:gfxdata="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DC8+QS0QAAAAMBAAAPAAAA&#10;AAAAAAEAIAAAADgAAABkcnMvZG93bnJldi54bWxQSwECFAAUAAAACACHTuJAYc0DjAYCAAAPBAAA&#10;DgAAAAAAAAABACAAAAA2AQAAZHJzL2Uyb0RvYy54bWxQSwUGAAAAAAYABgBZAQAAr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gxMzVhZTBlNDUyZWUxNDVhMjNkN2E1NjFlOTE5NDcifQ=="/>
  </w:docVars>
  <w:rsids>
    <w:rsidRoot w:val="0EBD2122"/>
    <w:rsid w:val="0005314D"/>
    <w:rsid w:val="00056EBB"/>
    <w:rsid w:val="00066B13"/>
    <w:rsid w:val="000877F6"/>
    <w:rsid w:val="00092E0B"/>
    <w:rsid w:val="000952EA"/>
    <w:rsid w:val="000B0260"/>
    <w:rsid w:val="000B6D95"/>
    <w:rsid w:val="000F2FBD"/>
    <w:rsid w:val="000F3144"/>
    <w:rsid w:val="001330DE"/>
    <w:rsid w:val="00147E22"/>
    <w:rsid w:val="00154A57"/>
    <w:rsid w:val="001556F6"/>
    <w:rsid w:val="00164487"/>
    <w:rsid w:val="001A5F21"/>
    <w:rsid w:val="001E6697"/>
    <w:rsid w:val="001F187B"/>
    <w:rsid w:val="00206BE6"/>
    <w:rsid w:val="00251DD5"/>
    <w:rsid w:val="00291939"/>
    <w:rsid w:val="002D23CF"/>
    <w:rsid w:val="003327B3"/>
    <w:rsid w:val="00336DC4"/>
    <w:rsid w:val="00341E01"/>
    <w:rsid w:val="003C41EE"/>
    <w:rsid w:val="003D50DB"/>
    <w:rsid w:val="003E69AC"/>
    <w:rsid w:val="003F1557"/>
    <w:rsid w:val="004422A5"/>
    <w:rsid w:val="00461BAD"/>
    <w:rsid w:val="004B50E5"/>
    <w:rsid w:val="004E1755"/>
    <w:rsid w:val="004E6A09"/>
    <w:rsid w:val="004F42E3"/>
    <w:rsid w:val="00505291"/>
    <w:rsid w:val="00505B1B"/>
    <w:rsid w:val="0054185F"/>
    <w:rsid w:val="00555808"/>
    <w:rsid w:val="005662DA"/>
    <w:rsid w:val="0057547A"/>
    <w:rsid w:val="0058207E"/>
    <w:rsid w:val="00587562"/>
    <w:rsid w:val="005B75B6"/>
    <w:rsid w:val="00601D93"/>
    <w:rsid w:val="00604B68"/>
    <w:rsid w:val="006248B3"/>
    <w:rsid w:val="00643503"/>
    <w:rsid w:val="0071189D"/>
    <w:rsid w:val="00715E85"/>
    <w:rsid w:val="00736A06"/>
    <w:rsid w:val="00740210"/>
    <w:rsid w:val="007416A5"/>
    <w:rsid w:val="007A2ADE"/>
    <w:rsid w:val="007E2069"/>
    <w:rsid w:val="007E6C1F"/>
    <w:rsid w:val="007F3F95"/>
    <w:rsid w:val="008372AB"/>
    <w:rsid w:val="00841813"/>
    <w:rsid w:val="00863F98"/>
    <w:rsid w:val="00865713"/>
    <w:rsid w:val="008D2ED8"/>
    <w:rsid w:val="008F2783"/>
    <w:rsid w:val="008F7963"/>
    <w:rsid w:val="00904443"/>
    <w:rsid w:val="009145A0"/>
    <w:rsid w:val="00956A93"/>
    <w:rsid w:val="0095711F"/>
    <w:rsid w:val="0097260C"/>
    <w:rsid w:val="00986E99"/>
    <w:rsid w:val="009A4190"/>
    <w:rsid w:val="009A78B1"/>
    <w:rsid w:val="009A7BBD"/>
    <w:rsid w:val="009C051C"/>
    <w:rsid w:val="009D4053"/>
    <w:rsid w:val="009E299E"/>
    <w:rsid w:val="009E575C"/>
    <w:rsid w:val="00A1613B"/>
    <w:rsid w:val="00A259F6"/>
    <w:rsid w:val="00A3023E"/>
    <w:rsid w:val="00A35CCF"/>
    <w:rsid w:val="00A47CF6"/>
    <w:rsid w:val="00A64443"/>
    <w:rsid w:val="00A76157"/>
    <w:rsid w:val="00A94C92"/>
    <w:rsid w:val="00A97761"/>
    <w:rsid w:val="00AC2C4C"/>
    <w:rsid w:val="00AD0C0C"/>
    <w:rsid w:val="00AD5EA8"/>
    <w:rsid w:val="00AF167E"/>
    <w:rsid w:val="00AF566A"/>
    <w:rsid w:val="00B004B2"/>
    <w:rsid w:val="00B00601"/>
    <w:rsid w:val="00B40887"/>
    <w:rsid w:val="00B4406B"/>
    <w:rsid w:val="00B478EA"/>
    <w:rsid w:val="00B51F29"/>
    <w:rsid w:val="00B6553A"/>
    <w:rsid w:val="00B93CF4"/>
    <w:rsid w:val="00BC6576"/>
    <w:rsid w:val="00BF1349"/>
    <w:rsid w:val="00C40E72"/>
    <w:rsid w:val="00C45A68"/>
    <w:rsid w:val="00C546C5"/>
    <w:rsid w:val="00C67BB3"/>
    <w:rsid w:val="00C93997"/>
    <w:rsid w:val="00CA03BF"/>
    <w:rsid w:val="00CA1387"/>
    <w:rsid w:val="00CA1889"/>
    <w:rsid w:val="00CB755B"/>
    <w:rsid w:val="00CD1E21"/>
    <w:rsid w:val="00CE0582"/>
    <w:rsid w:val="00CE06BA"/>
    <w:rsid w:val="00D02FAC"/>
    <w:rsid w:val="00D50DEC"/>
    <w:rsid w:val="00DC025F"/>
    <w:rsid w:val="00DD57C8"/>
    <w:rsid w:val="00DE053B"/>
    <w:rsid w:val="00DE3755"/>
    <w:rsid w:val="00DE5C3A"/>
    <w:rsid w:val="00E16499"/>
    <w:rsid w:val="00E27675"/>
    <w:rsid w:val="00EA00F7"/>
    <w:rsid w:val="00EB0E45"/>
    <w:rsid w:val="00EC1291"/>
    <w:rsid w:val="00ED7033"/>
    <w:rsid w:val="00EE79CD"/>
    <w:rsid w:val="00EF7958"/>
    <w:rsid w:val="00F11F7E"/>
    <w:rsid w:val="00F441CC"/>
    <w:rsid w:val="00F844E5"/>
    <w:rsid w:val="00F95395"/>
    <w:rsid w:val="00FB7394"/>
    <w:rsid w:val="00FD2412"/>
    <w:rsid w:val="00FD2BCF"/>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436B78D3"/>
    <w:rsid w:val="4C9C27FE"/>
    <w:rsid w:val="502A44B1"/>
    <w:rsid w:val="512260B4"/>
    <w:rsid w:val="52BD6ACB"/>
    <w:rsid w:val="55537534"/>
    <w:rsid w:val="561A74F1"/>
    <w:rsid w:val="567E0A1B"/>
    <w:rsid w:val="58B17416"/>
    <w:rsid w:val="597244E8"/>
    <w:rsid w:val="5EB71C30"/>
    <w:rsid w:val="66AF0CE5"/>
    <w:rsid w:val="68AC2130"/>
    <w:rsid w:val="6AC537CF"/>
    <w:rsid w:val="6E5B14A6"/>
    <w:rsid w:val="6F8CA25A"/>
    <w:rsid w:val="711B255E"/>
    <w:rsid w:val="71F5521E"/>
    <w:rsid w:val="7BB51E06"/>
    <w:rsid w:val="7C387F7C"/>
    <w:rsid w:val="7FE83423"/>
    <w:rsid w:val="DE7AA002"/>
    <w:rsid w:val="FFFDE58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39" w:semiHidden="0" w:name="toc 1"/>
    <w:lsdException w:unhideWhenUsed="0" w:uiPriority="39" w:semiHidden="0" w:name="toc 2"/>
    <w:lsdException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uiPriority w:val="39"/>
    <w:pPr>
      <w:ind w:left="840" w:leftChars="4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toc 1"/>
    <w:basedOn w:val="1"/>
    <w:next w:val="1"/>
    <w:uiPriority w:val="39"/>
  </w:style>
  <w:style w:type="paragraph" w:styleId="7">
    <w:name w:val="toc 2"/>
    <w:basedOn w:val="1"/>
    <w:next w:val="1"/>
    <w:uiPriority w:val="39"/>
    <w:pPr>
      <w:ind w:left="420" w:leftChars="200"/>
    </w:pPr>
  </w:style>
  <w:style w:type="character" w:styleId="10">
    <w:name w:val="Hyperlink"/>
    <w:basedOn w:val="9"/>
    <w:unhideWhenUsed/>
    <w:uiPriority w:val="99"/>
    <w:rPr>
      <w:color w:val="0000FF" w:themeColor="hyperlink"/>
      <w:u w:val="single"/>
      <w14:textFill>
        <w14:solidFill>
          <w14:schemeClr w14:val="hlink"/>
        </w14:solidFill>
      </w14:textFill>
    </w:rPr>
  </w:style>
  <w:style w:type="paragraph" w:customStyle="1" w:styleId="11">
    <w:name w:val="列表段落1"/>
    <w:basedOn w:val="1"/>
    <w:unhideWhenUsed/>
    <w:qFormat/>
    <w:uiPriority w:val="99"/>
    <w:pPr>
      <w:ind w:firstLine="420" w:firstLineChars="200"/>
    </w:pPr>
  </w:style>
  <w:style w:type="character" w:customStyle="1" w:styleId="12">
    <w:name w:val="标题 1 字符"/>
    <w:basedOn w:val="9"/>
    <w:link w:val="2"/>
    <w:uiPriority w:val="0"/>
    <w:rPr>
      <w:rFonts w:ascii="Calibri" w:hAnsi="Calibri" w:cs="黑体"/>
      <w:b/>
      <w:bCs/>
      <w:kern w:val="44"/>
      <w:sz w:val="44"/>
      <w:szCs w:val="44"/>
    </w:rPr>
  </w:style>
  <w:style w:type="paragraph" w:customStyle="1" w:styleId="13">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3868</Words>
  <Characters>4023</Characters>
  <Lines>191</Lines>
  <Paragraphs>106</Paragraphs>
  <TotalTime>15</TotalTime>
  <ScaleCrop>false</ScaleCrop>
  <LinksUpToDate>false</LinksUpToDate>
  <CharactersWithSpaces>7785</CharactersWithSpaces>
  <Application>WPS Office_11.8.2.12219_F1E327BC-269C-435d-A152-05C5408002CA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2026-04-21T07:10:00Z</dcterms:created>
  <dc:creator>欣欣大人</dc:creator>
  <cp:lastModifiedBy>Unis</cp:lastModifiedBy>
  <cp:lastPrinted>2026-04-27T18:15:00Z</cp:lastPrinted>
  <dcterms:modified xsi:type="dcterms:W3CDTF">2026-04-29T09:44:11Z</dcterms:modified>
  <dc:title>附件3：</dc:title>
  <cp:revision>110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2052-11.8.2.12219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