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default" w:ascii="黑体" w:hAnsi="黑体" w:eastAsia="黑体" w:cs="黑体"/>
          <w:sz w:val="32"/>
          <w:szCs w:val="32"/>
          <w:highlight w:val="none"/>
          <w:lang w:val="en-US" w:eastAsia="zh-CN"/>
        </w:rPr>
      </w:pPr>
      <w:r>
        <w:rPr>
          <w:rFonts w:hint="eastAsia" w:ascii="黑体" w:hAnsi="黑体" w:eastAsia="黑体" w:cs="黑体"/>
          <w:sz w:val="32"/>
          <w:szCs w:val="32"/>
          <w:highlight w:val="none"/>
        </w:rPr>
        <w:t>附件</w:t>
      </w:r>
      <w:r>
        <w:rPr>
          <w:rFonts w:hint="eastAsia" w:ascii="黑体" w:hAnsi="黑体" w:eastAsia="黑体" w:cs="黑体"/>
          <w:sz w:val="32"/>
          <w:szCs w:val="32"/>
          <w:highlight w:val="none"/>
          <w:lang w:val="en-US" w:eastAsia="zh-CN"/>
        </w:rPr>
        <w:t>4</w:t>
      </w:r>
    </w:p>
    <w:p>
      <w:pPr>
        <w:keepNext w:val="0"/>
        <w:keepLines w:val="0"/>
        <w:pageBreakBefore w:val="0"/>
        <w:widowControl w:val="0"/>
        <w:kinsoku/>
        <w:wordWrap/>
        <w:overflowPunct/>
        <w:topLinePunct w:val="0"/>
        <w:autoSpaceDE/>
        <w:autoSpaceDN/>
        <w:bidi w:val="0"/>
        <w:spacing w:line="560" w:lineRule="exact"/>
        <w:jc w:val="center"/>
        <w:textAlignment w:val="auto"/>
        <w:rPr>
          <w:rFonts w:ascii="宋体" w:hAnsi="宋体" w:cs="宋体"/>
          <w:b/>
          <w:bCs/>
          <w:sz w:val="44"/>
          <w:szCs w:val="44"/>
          <w:highlight w:val="none"/>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宋体" w:hAnsi="宋体" w:cs="宋体"/>
          <w:b/>
          <w:bCs/>
          <w:kern w:val="0"/>
          <w:sz w:val="44"/>
          <w:szCs w:val="44"/>
          <w:highlight w:val="none"/>
          <w:lang w:eastAsia="zh-CN"/>
        </w:rPr>
      </w:pPr>
      <w:r>
        <w:rPr>
          <w:rFonts w:hint="eastAsia" w:ascii="宋体" w:hAnsi="宋体" w:cs="宋体"/>
          <w:b/>
          <w:bCs/>
          <w:kern w:val="0"/>
          <w:sz w:val="44"/>
          <w:szCs w:val="44"/>
          <w:highlight w:val="none"/>
          <w:lang w:val="en-US" w:eastAsia="zh-CN"/>
        </w:rPr>
        <w:t>石家庄市卫生健康委员会</w:t>
      </w:r>
    </w:p>
    <w:p>
      <w:pPr>
        <w:keepNext w:val="0"/>
        <w:keepLines w:val="0"/>
        <w:pageBreakBefore w:val="0"/>
        <w:widowControl w:val="0"/>
        <w:kinsoku/>
        <w:wordWrap/>
        <w:overflowPunct/>
        <w:topLinePunct w:val="0"/>
        <w:autoSpaceDE/>
        <w:autoSpaceDN/>
        <w:bidi w:val="0"/>
        <w:spacing w:line="560" w:lineRule="exact"/>
        <w:jc w:val="center"/>
        <w:textAlignment w:val="auto"/>
        <w:rPr>
          <w:rFonts w:ascii="宋体" w:hAnsi="宋体" w:cs="宋体"/>
          <w:b/>
          <w:bCs/>
          <w:sz w:val="44"/>
          <w:szCs w:val="44"/>
          <w:highlight w:val="none"/>
        </w:rPr>
      </w:pPr>
      <w:r>
        <w:rPr>
          <w:rFonts w:hint="eastAsia" w:ascii="宋体" w:hAnsi="宋体" w:cs="宋体"/>
          <w:b/>
          <w:bCs/>
          <w:sz w:val="44"/>
          <w:szCs w:val="44"/>
          <w:highlight w:val="none"/>
        </w:rPr>
        <w:t>202</w:t>
      </w:r>
      <w:r>
        <w:rPr>
          <w:rFonts w:hint="eastAsia" w:ascii="宋体" w:hAnsi="宋体" w:cs="宋体"/>
          <w:b/>
          <w:bCs/>
          <w:sz w:val="44"/>
          <w:szCs w:val="44"/>
          <w:highlight w:val="none"/>
          <w:lang w:val="en-US" w:eastAsia="zh-CN"/>
        </w:rPr>
        <w:t>5</w:t>
      </w:r>
      <w:r>
        <w:rPr>
          <w:rFonts w:hint="eastAsia" w:ascii="宋体" w:hAnsi="宋体" w:cs="宋体"/>
          <w:b/>
          <w:bCs/>
          <w:sz w:val="44"/>
          <w:szCs w:val="44"/>
          <w:highlight w:val="none"/>
        </w:rPr>
        <w:t>年度整体支出绩效自评报告</w:t>
      </w:r>
    </w:p>
    <w:p>
      <w:pPr>
        <w:keepNext w:val="0"/>
        <w:keepLines w:val="0"/>
        <w:pageBreakBefore w:val="0"/>
        <w:widowControl w:val="0"/>
        <w:kinsoku/>
        <w:wordWrap/>
        <w:overflowPunct/>
        <w:topLinePunct w:val="0"/>
        <w:autoSpaceDE/>
        <w:autoSpaceDN/>
        <w:bidi w:val="0"/>
        <w:spacing w:line="560" w:lineRule="exact"/>
        <w:jc w:val="center"/>
        <w:textAlignment w:val="auto"/>
        <w:rPr>
          <w:rFonts w:ascii="华文楷体" w:eastAsia="华文楷体"/>
          <w:sz w:val="32"/>
          <w:szCs w:val="32"/>
          <w:highlight w:val="none"/>
        </w:rPr>
      </w:pPr>
    </w:p>
    <w:p>
      <w:pPr>
        <w:pStyle w:val="2"/>
        <w:keepNext w:val="0"/>
        <w:keepLines w:val="0"/>
        <w:pageBreakBefore w:val="0"/>
        <w:widowControl w:val="0"/>
        <w:kinsoku/>
        <w:wordWrap/>
        <w:overflowPunct/>
        <w:topLinePunct w:val="0"/>
        <w:autoSpaceDE/>
        <w:autoSpaceDN/>
        <w:bidi w:val="0"/>
        <w:spacing w:line="560" w:lineRule="exact"/>
        <w:textAlignment w:val="auto"/>
        <w:rPr>
          <w:highlight w:val="none"/>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贯彻落实市委市政府《关于全面落实预算绩效管理的实施意见》（石发﹝2019﹞8号）文件精神，遵循“科学性、规范性、客观性和公正性”的原则，对石家庄市卫生健康委员会202</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ascii="黑体" w:hAnsi="黑体" w:eastAsia="黑体"/>
          <w:b/>
          <w:bCs/>
          <w:sz w:val="32"/>
          <w:szCs w:val="36"/>
          <w:highlight w:val="none"/>
        </w:rPr>
      </w:pPr>
      <w:r>
        <w:rPr>
          <w:rFonts w:hint="eastAsia" w:ascii="黑体" w:hAnsi="黑体" w:eastAsia="黑体"/>
          <w:sz w:val="32"/>
          <w:szCs w:val="32"/>
          <w:highlight w:val="none"/>
        </w:rPr>
        <w:t xml:space="preserve">     一、部门</w:t>
      </w:r>
      <w:r>
        <w:rPr>
          <w:rFonts w:hint="eastAsia" w:ascii="黑体" w:hAnsi="黑体" w:eastAsia="黑体"/>
          <w:sz w:val="32"/>
          <w:szCs w:val="36"/>
          <w:highlight w:val="none"/>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 w:hAnsi="楷体" w:eastAsia="楷体" w:cs="楷体_GB2312"/>
          <w:bCs/>
          <w:sz w:val="32"/>
          <w:szCs w:val="32"/>
          <w:highlight w:val="none"/>
        </w:rPr>
      </w:pPr>
      <w:r>
        <w:rPr>
          <w:rFonts w:hint="eastAsia" w:ascii="楷体" w:hAnsi="楷体" w:eastAsia="楷体" w:cs="楷体_GB2312"/>
          <w:bCs/>
          <w:sz w:val="32"/>
          <w:szCs w:val="32"/>
          <w:highlight w:val="none"/>
        </w:rPr>
        <w:t>（一）部门概况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highlight w:val="none"/>
          <w:lang w:val="en-US" w:eastAsia="zh-CN"/>
        </w:rPr>
      </w:pPr>
      <w:r>
        <w:rPr>
          <w:rFonts w:hint="eastAsia" w:ascii="仿宋_GB2312" w:hAnsi="仿宋_GB2312" w:eastAsia="仿宋_GB2312" w:cs="仿宋_GB2312"/>
          <w:b w:val="0"/>
          <w:bCs w:val="0"/>
          <w:sz w:val="32"/>
          <w:szCs w:val="32"/>
          <w:highlight w:val="none"/>
          <w:lang w:val="en-US" w:eastAsia="zh-CN"/>
        </w:rPr>
        <w:t>1.部门职责</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负责起草卫生健康、中医药事业发展地方性法规、政府规章草案，拟定全市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协调推进全市深化医药卫生体制改革，研究提出全市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（3）制定并组织落实疾病预防控制规划、国家免疫规划以及危害人民健康的公共卫生问题的干预措施。负责卫生应急工作，组织指导突发公共卫生事件的预防控制和各类突发公共事件的医疗卫生救援。</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（4）组织拟定并协调落实应对人口老龄化政策措施，负责推进老年健康服务体系建设和医养结合工作。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组织实施国家基本药物政策和国家基本药物制度，开展药品使用监测、临床综合评价和短缺药品预警，提出全市基本药物价格政策的建议，参与拟订药品地方性法规、政府规章草案。配合省卫生健康委做好食品安全风险监测和食品安全地方标准跟踪评价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负责职责范围内的职业卫生、放射卫生、环境卫生、学校卫生、公共场所卫生、饮用水卫生等公共卫生的监督管理，负责传染病防治监督，健全卫生健康综合监督体系。牵头《烟草控制框架公约》履约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监督医疗机构、医疗服务行业管理办法的组织实施，建立医疗服务评价和监督管理体系。会同市有关部门实施卫生健康专业技术人员资格标准。负责医疗服务规范、标准和卫生健康专业技术人员执业规则、服务规范的组织实施。</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（8）负责计划生育管理和服务工作，开展人口监测预警，研究提出人口与家庭发展相关政策建议，落实计划生育政策。</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（9）负责全市卫生健康工作，负责基层医疗卫生、妇幼健康服务体系和全科医生队伍建设。推进卫生健康科技创新发展。</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（10）拟订中医药中长期发展规划，并纳入卫生健康事业发展总体规划和战略目标。</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（11）负责市保健对象的医疗保健工作，负责市直部门有关干部医疗管理工作，负责重要会议与重大活动的医疗卫生保障工作。</w:t>
      </w:r>
    </w:p>
    <w:p>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（12）承办市委、市政府交办的其他事项。</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val="0"/>
          <w:bCs w:val="0"/>
          <w:sz w:val="32"/>
          <w:szCs w:val="32"/>
          <w:highlight w:val="none"/>
          <w:lang w:val="en-US" w:eastAsia="zh-CN"/>
        </w:rPr>
      </w:pPr>
      <w:r>
        <w:rPr>
          <w:rFonts w:hint="eastAsia" w:ascii="仿宋_GB2312" w:hAnsi="仿宋_GB2312" w:eastAsia="仿宋_GB2312" w:cs="仿宋_GB2312"/>
          <w:b w:val="0"/>
          <w:bCs w:val="0"/>
          <w:sz w:val="32"/>
          <w:szCs w:val="32"/>
          <w:highlight w:val="none"/>
          <w:lang w:val="en-US" w:eastAsia="zh-CN"/>
        </w:rPr>
        <w:t>2.资产情况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我委资产管理依照政府采购目录进行政府采购，加强固定资产登记、使用和报废处置管理，做到支出合理，物尽其用。</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bookmarkStart w:id="0" w:name="_Toc11866"/>
      <w:r>
        <w:rPr>
          <w:rFonts w:hint="eastAsia" w:ascii="仿宋_GB2312" w:hAnsi="仿宋_GB2312" w:eastAsia="仿宋_GB2312" w:cs="仿宋_GB2312"/>
          <w:sz w:val="32"/>
          <w:szCs w:val="32"/>
          <w:highlight w:val="none"/>
          <w:lang w:val="en-US" w:eastAsia="zh-CN"/>
        </w:rPr>
        <w:t>2025年底，市卫健委部门资产合计1002418.37万元，其中：流动资产403870.38万元，非流动资产598499.99万元，受托代理资产48.00万元；负债合计323148.06万元，其中：流动负债295597.61万元，非流动负债27502.45万元，受托代理负债48.00万元；净资产合计679270.31万元，其中：累计盈余647418.15万元，专用基金31852.16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 w:hAnsi="楷体" w:eastAsia="楷体" w:cs="楷体_GB2312"/>
          <w:bCs/>
          <w:sz w:val="32"/>
          <w:szCs w:val="32"/>
          <w:highlight w:val="none"/>
          <w:lang w:val="en-US" w:eastAsia="zh-CN"/>
        </w:rPr>
      </w:pPr>
      <w:r>
        <w:rPr>
          <w:rFonts w:hint="eastAsia" w:ascii="楷体" w:hAnsi="楷体" w:eastAsia="楷体" w:cs="楷体_GB2312"/>
          <w:bCs/>
          <w:sz w:val="32"/>
          <w:szCs w:val="32"/>
          <w:highlight w:val="none"/>
          <w:lang w:val="en-US" w:eastAsia="zh-CN"/>
        </w:rPr>
        <w:t>（二）部门收支预决算情况</w:t>
      </w:r>
      <w:bookmarkEnd w:id="0"/>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2025年市卫健委部门（汇总）预算执行情况。市卫健委部门（汇总）财政拨款年初结转和结余11090.37万元，年初收入预算851480.28万元，其中：一般公共预算拨款收入107239.95万元、政府性基金预算财政拨款收入6603.85万元、事业收入733863.6万元、其他收入3772.88万元。年终收入预算调整为838311.87万元，其中：一般公共预算拨款收入112986.37万元、政府性基金预算财政拨款收入15521.63万元、事业收入596603.44万元、其他收入17210.73万元、使用非财政拨款结余12504.80万元、财政拨款年初结转和结余83484.90万元。年初支出预算862570.64万元，其中：基本支出427952.43万元、项目支出434618.21万元；年终支出预算调整为838311.87万元，其中：基本支出487571.42万元、项目支出343139.05万元、年末结转和结余7601.40万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市卫健委部门（汇总）决算情况。年末收入总计833786.36万元（按各分项四舍五入后合计833786.37万元），其中：财政拨款年初结转和结余83478.68万元，本年收入737802.89万元，使用非财政拨款结余12504.80万元；年末支出总计833786.36万元（按各分项四舍五入后合计833786.37万元），其中：本年支出747565.11万元，财政拨款年末结转和结余82919.93万元，使用非财政拨款结余3301.33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 w:hAnsi="楷体" w:eastAsia="楷体" w:cs="楷体_GB2312"/>
          <w:bCs/>
          <w:sz w:val="32"/>
          <w:szCs w:val="32"/>
          <w:highlight w:val="none"/>
          <w:lang w:val="en-US" w:eastAsia="zh-CN"/>
        </w:rPr>
      </w:pPr>
      <w:r>
        <w:rPr>
          <w:rFonts w:hint="eastAsia" w:ascii="楷体" w:hAnsi="楷体" w:eastAsia="楷体" w:cs="楷体_GB2312"/>
          <w:bCs/>
          <w:sz w:val="32"/>
          <w:szCs w:val="32"/>
          <w:highlight w:val="none"/>
          <w:lang w:val="en-US" w:eastAsia="zh-CN"/>
        </w:rPr>
        <w:t>（三）部门整体支出绩效目标、指标</w:t>
      </w:r>
    </w:p>
    <w:p>
      <w:pPr>
        <w:keepNext w:val="0"/>
        <w:keepLines w:val="0"/>
        <w:pageBreakBefore w:val="0"/>
        <w:widowControl w:val="0"/>
        <w:kinsoku/>
        <w:wordWrap/>
        <w:overflowPunct/>
        <w:topLinePunct w:val="0"/>
        <w:autoSpaceDE/>
        <w:autoSpaceDN/>
        <w:bidi w:val="0"/>
        <w:spacing w:before="10" w:after="10" w:line="560" w:lineRule="exact"/>
        <w:ind w:firstLine="560"/>
        <w:jc w:val="left"/>
        <w:textAlignment w:val="auto"/>
        <w:outlineLvl w:val="1"/>
        <w:rPr>
          <w:rFonts w:hint="eastAsia" w:ascii="仿宋_GB2312" w:hAnsi="仿宋_GB2312" w:eastAsia="仿宋_GB2312" w:cs="仿宋_GB2312"/>
          <w:sz w:val="32"/>
          <w:szCs w:val="32"/>
          <w:highlight w:val="none"/>
        </w:rPr>
      </w:pPr>
      <w:bookmarkStart w:id="1" w:name="_Toc_2_2_0000000001"/>
      <w:r>
        <w:rPr>
          <w:rFonts w:hint="eastAsia" w:ascii="仿宋_GB2312" w:hAnsi="仿宋_GB2312" w:eastAsia="仿宋_GB2312" w:cs="仿宋_GB2312"/>
          <w:color w:val="000000"/>
          <w:sz w:val="32"/>
          <w:szCs w:val="32"/>
          <w:highlight w:val="none"/>
          <w:lang w:val="en-US" w:eastAsia="zh-CN"/>
        </w:rPr>
        <w:t>1</w:t>
      </w:r>
      <w:r>
        <w:rPr>
          <w:rFonts w:hint="eastAsia" w:ascii="仿宋_GB2312" w:hAnsi="仿宋_GB2312" w:eastAsia="仿宋_GB2312" w:cs="仿宋_GB2312"/>
          <w:color w:val="000000"/>
          <w:sz w:val="32"/>
          <w:szCs w:val="32"/>
          <w:highlight w:val="none"/>
        </w:rPr>
        <w:t>、总体绩效目标</w:t>
      </w:r>
      <w:bookmarkEnd w:id="1"/>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uk-UA"/>
        </w:rPr>
      </w:pPr>
      <w:bookmarkStart w:id="2" w:name="_Toc_2_2_0000000002"/>
      <w:r>
        <w:rPr>
          <w:rFonts w:hint="eastAsia" w:ascii="仿宋_GB2312" w:hAnsi="仿宋_GB2312" w:eastAsia="仿宋_GB2312" w:cs="仿宋_GB2312"/>
          <w:sz w:val="32"/>
          <w:szCs w:val="32"/>
          <w:highlight w:val="none"/>
          <w:lang w:val="en-US" w:eastAsia="uk-UA"/>
        </w:rPr>
        <w:t>2025年，以习近平新时代中国特色社会主义思想为指导，深入贯彻党的二十大精神，坚持党的全面领导，坚持新时代卫生健康工作方针，以健康中国战略为统领，坚持“五位一体”总体布局，协调推进“四个全面”战略布局，坚持以人民为中心的思想，以“健康石家庄”建设为统领，以高质量发展为主线，以调查研究为抓手，持续深化医药卫生体制改革，不断完善医疗卫生服务体系，加快推进优质医疗资源扩容提质；着力提升基层卫生服务能力，保持全省特色专科创建优势，努力全方位全周期保障人民健康，推动卫生健康事业高质量发展实现新跃升，更好地将医疗资源优势转化为发展优势，为加快建设现代化、国际化美丽省会城市奠定坚实健康基础。</w:t>
      </w:r>
    </w:p>
    <w:p>
      <w:pPr>
        <w:keepNext w:val="0"/>
        <w:keepLines w:val="0"/>
        <w:pageBreakBefore w:val="0"/>
        <w:widowControl w:val="0"/>
        <w:kinsoku/>
        <w:wordWrap/>
        <w:overflowPunct/>
        <w:topLinePunct w:val="0"/>
        <w:autoSpaceDE/>
        <w:autoSpaceDN/>
        <w:bidi w:val="0"/>
        <w:spacing w:before="10" w:after="10" w:line="560" w:lineRule="exact"/>
        <w:ind w:firstLine="560"/>
        <w:jc w:val="left"/>
        <w:textAlignment w:val="auto"/>
        <w:outlineLvl w:val="1"/>
        <w:rPr>
          <w:rFonts w:hint="eastAsia" w:ascii="仿宋_GB2312" w:hAnsi="仿宋_GB2312" w:eastAsia="仿宋_GB2312" w:cs="仿宋_GB2312"/>
          <w:color w:val="000000"/>
          <w:sz w:val="32"/>
          <w:szCs w:val="32"/>
          <w:highlight w:val="none"/>
          <w:lang w:val="en-US" w:eastAsia="zh-CN"/>
        </w:rPr>
      </w:pPr>
      <w:r>
        <w:rPr>
          <w:rFonts w:hint="eastAsia" w:ascii="仿宋_GB2312" w:hAnsi="仿宋_GB2312" w:eastAsia="仿宋_GB2312" w:cs="仿宋_GB2312"/>
          <w:color w:val="000000"/>
          <w:sz w:val="32"/>
          <w:szCs w:val="32"/>
          <w:highlight w:val="none"/>
          <w:lang w:val="en-US" w:eastAsia="zh-CN"/>
        </w:rPr>
        <w:t>2</w:t>
      </w:r>
      <w:r>
        <w:rPr>
          <w:rFonts w:hint="eastAsia" w:ascii="仿宋_GB2312" w:hAnsi="仿宋_GB2312" w:eastAsia="仿宋_GB2312" w:cs="仿宋_GB2312"/>
          <w:color w:val="000000"/>
          <w:sz w:val="32"/>
          <w:szCs w:val="32"/>
          <w:highlight w:val="none"/>
          <w:lang w:val="en-US" w:eastAsia="uk-UA"/>
        </w:rPr>
        <w:t>、</w:t>
      </w:r>
      <w:r>
        <w:rPr>
          <w:rFonts w:hint="eastAsia" w:ascii="仿宋_GB2312" w:hAnsi="仿宋_GB2312" w:eastAsia="仿宋_GB2312" w:cs="仿宋_GB2312"/>
          <w:color w:val="000000"/>
          <w:sz w:val="32"/>
          <w:szCs w:val="32"/>
          <w:highlight w:val="none"/>
          <w:lang w:val="en-US" w:eastAsia="zh-CN"/>
        </w:rPr>
        <w:t>分项绩效目标</w:t>
      </w:r>
      <w:bookmarkEnd w:id="2"/>
    </w:p>
    <w:p>
      <w:pPr>
        <w:keepNext w:val="0"/>
        <w:keepLines w:val="0"/>
        <w:pageBreakBefore w:val="0"/>
        <w:widowControl w:val="0"/>
        <w:kinsoku/>
        <w:wordWrap/>
        <w:overflowPunct/>
        <w:topLinePunct w:val="0"/>
        <w:autoSpaceDE/>
        <w:autoSpaceDN/>
        <w:bidi w:val="0"/>
        <w:spacing w:before="0" w:after="0" w:line="560" w:lineRule="exact"/>
        <w:ind w:firstLine="640" w:firstLineChars="200"/>
        <w:jc w:val="left"/>
        <w:textAlignment w:val="auto"/>
        <w:outlineLvl w:val="9"/>
        <w:rPr>
          <w:rFonts w:hint="eastAsia" w:ascii="仿宋_GB2312" w:hAnsi="仿宋_GB2312" w:eastAsia="仿宋_GB2312" w:cs="仿宋_GB2312"/>
          <w:sz w:val="32"/>
          <w:szCs w:val="32"/>
          <w:highlight w:val="none"/>
          <w:lang w:val="en-US" w:eastAsia="uk-UA" w:bidi="ar-SA"/>
        </w:rPr>
      </w:pPr>
      <w:r>
        <w:rPr>
          <w:rFonts w:hint="eastAsia" w:ascii="仿宋_GB2312" w:hAnsi="仿宋_GB2312" w:eastAsia="仿宋_GB2312" w:cs="仿宋_GB2312"/>
          <w:sz w:val="32"/>
          <w:szCs w:val="32"/>
          <w:highlight w:val="none"/>
          <w:lang w:val="en-US" w:eastAsia="zh-CN" w:bidi="ar-SA"/>
        </w:rPr>
        <w:t>（1）</w:t>
      </w:r>
      <w:r>
        <w:rPr>
          <w:rFonts w:hint="eastAsia" w:ascii="仿宋_GB2312" w:hAnsi="仿宋_GB2312" w:eastAsia="仿宋_GB2312" w:cs="仿宋_GB2312"/>
          <w:sz w:val="32"/>
          <w:szCs w:val="32"/>
          <w:highlight w:val="none"/>
          <w:lang w:val="en-US" w:eastAsia="uk-UA" w:bidi="ar-SA"/>
        </w:rPr>
        <w:t>加速推进项目建设。</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val="en-US" w:eastAsia="uk-UA"/>
        </w:rPr>
      </w:pPr>
      <w:r>
        <w:rPr>
          <w:rFonts w:hint="eastAsia" w:ascii="仿宋_GB2312" w:hAnsi="仿宋_GB2312" w:eastAsia="仿宋_GB2312" w:cs="仿宋_GB2312"/>
          <w:sz w:val="32"/>
          <w:szCs w:val="32"/>
          <w:highlight w:val="none"/>
          <w:lang w:val="en-US" w:eastAsia="zh-CN"/>
        </w:rPr>
        <w:t>绩效指标：</w:t>
      </w:r>
      <w:r>
        <w:rPr>
          <w:rFonts w:hint="eastAsia" w:ascii="仿宋_GB2312" w:hAnsi="仿宋_GB2312" w:eastAsia="仿宋_GB2312" w:cs="仿宋_GB2312"/>
          <w:sz w:val="32"/>
          <w:szCs w:val="32"/>
          <w:highlight w:val="none"/>
          <w:lang w:val="en-US" w:eastAsia="uk-UA"/>
        </w:rPr>
        <w:t>加速推进中央财政支持公立医院改革与高质量发展示范项目。确保顺利通过国家、省中期评估，实现圆满收官。加速推进市级医院重点建设项目。在积极争取落实中央预算内资金和专项债券基础上，全力争取国家增量政策资金（2025年计划争取债券资金12.5亿元，其中，市中医院3.5亿元、市二院4.5亿元、市三院4.5亿元）,加速推进6个重点建设项目，北京大学人民医院石家庄医院、市第二医院新院区、市第三医院新院区、市中医院新院区等项目建设全面铺开，市第五医院应急院区竣工投用。</w:t>
      </w:r>
    </w:p>
    <w:p>
      <w:pPr>
        <w:keepNext w:val="0"/>
        <w:keepLines w:val="0"/>
        <w:pageBreakBefore w:val="0"/>
        <w:widowControl w:val="0"/>
        <w:numPr>
          <w:numId w:val="0"/>
        </w:numPr>
        <w:kinsoku/>
        <w:wordWrap/>
        <w:overflowPunct/>
        <w:topLinePunct w:val="0"/>
        <w:autoSpaceDE/>
        <w:autoSpaceDN/>
        <w:bidi w:val="0"/>
        <w:spacing w:before="0" w:after="0" w:line="560" w:lineRule="exact"/>
        <w:ind w:left="630" w:leftChars="0"/>
        <w:jc w:val="left"/>
        <w:textAlignment w:val="auto"/>
        <w:outlineLvl w:val="9"/>
        <w:rPr>
          <w:rFonts w:hint="eastAsia" w:ascii="仿宋_GB2312" w:hAnsi="仿宋_GB2312" w:eastAsia="仿宋_GB2312" w:cs="仿宋_GB2312"/>
          <w:sz w:val="32"/>
          <w:szCs w:val="32"/>
          <w:highlight w:val="none"/>
          <w:lang w:val="en-US" w:eastAsia="uk-UA" w:bidi="ar-SA"/>
        </w:rPr>
      </w:pPr>
      <w:r>
        <w:rPr>
          <w:rFonts w:hint="eastAsia" w:ascii="仿宋_GB2312" w:hAnsi="仿宋_GB2312" w:eastAsia="仿宋_GB2312" w:cs="仿宋_GB2312"/>
          <w:sz w:val="32"/>
          <w:szCs w:val="32"/>
          <w:highlight w:val="none"/>
          <w:lang w:val="en-US" w:eastAsia="zh-CN" w:bidi="ar-SA"/>
        </w:rPr>
        <w:t>（2）</w:t>
      </w:r>
      <w:r>
        <w:rPr>
          <w:rFonts w:hint="eastAsia" w:ascii="仿宋_GB2312" w:hAnsi="仿宋_GB2312" w:eastAsia="仿宋_GB2312" w:cs="仿宋_GB2312"/>
          <w:sz w:val="32"/>
          <w:szCs w:val="32"/>
          <w:highlight w:val="none"/>
          <w:lang w:val="en-US" w:eastAsia="uk-UA" w:bidi="ar-SA"/>
        </w:rPr>
        <w:t>深化京津冀医疗卫生合作。</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val="en-US" w:eastAsia="uk-UA"/>
        </w:rPr>
      </w:pPr>
      <w:r>
        <w:rPr>
          <w:rFonts w:hint="eastAsia" w:ascii="仿宋_GB2312" w:hAnsi="仿宋_GB2312" w:eastAsia="仿宋_GB2312" w:cs="仿宋_GB2312"/>
          <w:sz w:val="32"/>
          <w:szCs w:val="32"/>
          <w:highlight w:val="none"/>
          <w:lang w:val="en-US" w:eastAsia="zh-CN"/>
        </w:rPr>
        <w:t>绩效指标：</w:t>
      </w:r>
      <w:r>
        <w:rPr>
          <w:rFonts w:hint="eastAsia" w:ascii="仿宋_GB2312" w:hAnsi="仿宋_GB2312" w:eastAsia="仿宋_GB2312" w:cs="仿宋_GB2312"/>
          <w:sz w:val="32"/>
          <w:szCs w:val="32"/>
          <w:highlight w:val="none"/>
          <w:lang w:val="en-US" w:eastAsia="uk-UA"/>
        </w:rPr>
        <w:t>深入推进京津冀医联体建设，丰富京津冀医疗卫生合作“项目库”，年内力争增加2个高质量合作项目。持续拓展合作深度广度，全力推动国家区域医疗中心建设，鼓励支持市中医院与天津中医一附院、市六院与首都儿研所、市二院与北大口腔医院、市三院与北京安贞医院、市妇产医院与北京协和医院等开展高水平、深层次合作，持续引进一批专家、拓展一批专（学）科、新增一批技术、修订一批技术、举办一批论坛、培养一批骨干，进一步提升市级医院医疗服务能力和管理水平。</w:t>
      </w:r>
    </w:p>
    <w:p>
      <w:pPr>
        <w:keepNext w:val="0"/>
        <w:keepLines w:val="0"/>
        <w:pageBreakBefore w:val="0"/>
        <w:widowControl w:val="0"/>
        <w:numPr>
          <w:numId w:val="0"/>
        </w:numPr>
        <w:kinsoku/>
        <w:wordWrap/>
        <w:overflowPunct/>
        <w:topLinePunct w:val="0"/>
        <w:autoSpaceDE/>
        <w:autoSpaceDN/>
        <w:bidi w:val="0"/>
        <w:spacing w:before="0" w:after="0" w:line="560" w:lineRule="exact"/>
        <w:ind w:left="630" w:leftChars="0"/>
        <w:jc w:val="left"/>
        <w:textAlignment w:val="auto"/>
        <w:outlineLvl w:val="9"/>
        <w:rPr>
          <w:rFonts w:hint="eastAsia" w:ascii="仿宋_GB2312" w:hAnsi="仿宋_GB2312" w:eastAsia="仿宋_GB2312" w:cs="仿宋_GB2312"/>
          <w:sz w:val="32"/>
          <w:szCs w:val="32"/>
          <w:highlight w:val="none"/>
          <w:lang w:val="en-US" w:eastAsia="uk-UA" w:bidi="ar-SA"/>
        </w:rPr>
      </w:pPr>
      <w:r>
        <w:rPr>
          <w:rFonts w:hint="eastAsia" w:ascii="仿宋_GB2312" w:hAnsi="仿宋_GB2312" w:eastAsia="仿宋_GB2312" w:cs="仿宋_GB2312"/>
          <w:sz w:val="32"/>
          <w:szCs w:val="32"/>
          <w:highlight w:val="none"/>
          <w:lang w:val="en-US" w:eastAsia="zh-CN" w:bidi="ar-SA"/>
        </w:rPr>
        <w:t>（3）</w:t>
      </w:r>
      <w:r>
        <w:rPr>
          <w:rFonts w:hint="eastAsia" w:ascii="仿宋_GB2312" w:hAnsi="仿宋_GB2312" w:eastAsia="仿宋_GB2312" w:cs="仿宋_GB2312"/>
          <w:sz w:val="32"/>
          <w:szCs w:val="32"/>
          <w:highlight w:val="none"/>
          <w:lang w:val="en-US" w:eastAsia="uk-UA" w:bidi="ar-SA"/>
        </w:rPr>
        <w:t>全面启动中医药传承创新发展试验区建设。</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val="en-US" w:eastAsia="uk-UA"/>
        </w:rPr>
      </w:pPr>
      <w:r>
        <w:rPr>
          <w:rFonts w:hint="eastAsia" w:ascii="仿宋_GB2312" w:hAnsi="仿宋_GB2312" w:eastAsia="仿宋_GB2312" w:cs="仿宋_GB2312"/>
          <w:sz w:val="32"/>
          <w:szCs w:val="32"/>
          <w:highlight w:val="none"/>
          <w:lang w:val="en-US" w:eastAsia="zh-CN"/>
        </w:rPr>
        <w:t>绩效指标：</w:t>
      </w:r>
      <w:r>
        <w:rPr>
          <w:rFonts w:hint="eastAsia" w:ascii="仿宋_GB2312" w:hAnsi="仿宋_GB2312" w:eastAsia="仿宋_GB2312" w:cs="仿宋_GB2312"/>
          <w:sz w:val="32"/>
          <w:szCs w:val="32"/>
          <w:highlight w:val="none"/>
          <w:lang w:val="en-US" w:eastAsia="uk-UA"/>
        </w:rPr>
        <w:t>2024年，被确定为国家中医药传承创新发展试验区后，一直在修改完善实施方案，呈报国家中医药局审定，目前还有收到正式批复。按照工作安排，2025年将制定出台具体工作方案和措施，建立部门协调联动机制，开展共享中药房、一堂一特色、中药调剂鉴别指导中心试点建设，扎实推进各项任务目标落地落实。持续提升基层中医药服务能力，依托市级中医适宜技术推广中心强化专业培训，高标准完成100家高水平国医堂建设任务，建立健全中医药人才流动和培养机制，从全市三级中医医院和综合医院选派市级中医专家，对口帮扶6家县级公立中医医院（元氏、井陉、赞皇、行唐、晋州、藁城县中医院），为县级公立中医医院培养一批继承人和业务骨干。</w:t>
      </w:r>
    </w:p>
    <w:p>
      <w:pPr>
        <w:keepNext w:val="0"/>
        <w:keepLines w:val="0"/>
        <w:pageBreakBefore w:val="0"/>
        <w:widowControl w:val="0"/>
        <w:numPr>
          <w:numId w:val="0"/>
        </w:numPr>
        <w:kinsoku/>
        <w:wordWrap/>
        <w:overflowPunct/>
        <w:topLinePunct w:val="0"/>
        <w:autoSpaceDE/>
        <w:autoSpaceDN/>
        <w:bidi w:val="0"/>
        <w:spacing w:before="0" w:after="0" w:line="560" w:lineRule="exact"/>
        <w:ind w:left="630" w:leftChars="0"/>
        <w:jc w:val="left"/>
        <w:textAlignment w:val="auto"/>
        <w:outlineLvl w:val="9"/>
        <w:rPr>
          <w:rFonts w:hint="eastAsia" w:ascii="仿宋_GB2312" w:hAnsi="仿宋_GB2312" w:eastAsia="仿宋_GB2312" w:cs="仿宋_GB2312"/>
          <w:sz w:val="32"/>
          <w:szCs w:val="32"/>
          <w:highlight w:val="none"/>
          <w:lang w:val="en-US" w:eastAsia="uk-UA" w:bidi="ar-SA"/>
        </w:rPr>
      </w:pPr>
      <w:r>
        <w:rPr>
          <w:rFonts w:hint="eastAsia" w:ascii="仿宋_GB2312" w:hAnsi="仿宋_GB2312" w:eastAsia="仿宋_GB2312" w:cs="仿宋_GB2312"/>
          <w:sz w:val="32"/>
          <w:szCs w:val="32"/>
          <w:highlight w:val="none"/>
          <w:lang w:val="en-US" w:eastAsia="zh-CN" w:bidi="ar-SA"/>
        </w:rPr>
        <w:t>（4）</w:t>
      </w:r>
      <w:r>
        <w:rPr>
          <w:rFonts w:hint="eastAsia" w:ascii="仿宋_GB2312" w:hAnsi="仿宋_GB2312" w:eastAsia="仿宋_GB2312" w:cs="仿宋_GB2312"/>
          <w:sz w:val="32"/>
          <w:szCs w:val="32"/>
          <w:highlight w:val="none"/>
          <w:lang w:val="en-US" w:eastAsia="uk-UA" w:bidi="ar-SA"/>
        </w:rPr>
        <w:t>持续健全基层医疗卫生服务体系。</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val="en-US" w:eastAsia="uk-UA"/>
        </w:rPr>
      </w:pPr>
      <w:r>
        <w:rPr>
          <w:rFonts w:hint="eastAsia" w:ascii="仿宋_GB2312" w:hAnsi="仿宋_GB2312" w:eastAsia="仿宋_GB2312" w:cs="仿宋_GB2312"/>
          <w:sz w:val="32"/>
          <w:szCs w:val="32"/>
          <w:highlight w:val="none"/>
          <w:lang w:val="en-US" w:eastAsia="zh-CN"/>
        </w:rPr>
        <w:t>绩效指标：</w:t>
      </w:r>
      <w:r>
        <w:rPr>
          <w:rFonts w:hint="eastAsia" w:ascii="仿宋_GB2312" w:hAnsi="仿宋_GB2312" w:eastAsia="仿宋_GB2312" w:cs="仿宋_GB2312"/>
          <w:sz w:val="32"/>
          <w:szCs w:val="32"/>
          <w:highlight w:val="none"/>
          <w:lang w:val="en-US" w:eastAsia="uk-UA"/>
        </w:rPr>
        <w:t>完善医共体长效运行机制，完善医共体人力资源、财务管理、医疗质控、医保管理、信息数据等管理中心建设，确保各中心实现实质化运行。正式上线县域医共体“全员工分制”绩效管理系统，加快形成利益共同体，提高紧密型县域医共体建设质效。筑牢基层服务网底，新增不少于5个推荐标准机构、3家社区医院、5个省级特色专科，推动6-8个重点中心卫生院打造县域医疗卫生次中心，逐步达到二级医院水平。持续加强首席专家工作室建设，继续组织开展基层医生岗位练兵和技能竞赛。推广基层医疗卫生机构慢性病长处方服务，在全市150家乡镇卫生院和40家社区卫生服务中心，根据自身服务能力为适宜在基层医疗卫生机构治疗的慢性病患者提供高血压、糖尿病等慢性病长处方服务，并持续做好用药指导、跟踪随访、健康教育等工作。启用新建的全市家庭医生签约服务信息系统、基本公共卫生服务信息系统，全面提升基本公共卫生项目服务质量。</w:t>
      </w:r>
    </w:p>
    <w:p>
      <w:pPr>
        <w:keepNext w:val="0"/>
        <w:keepLines w:val="0"/>
        <w:pageBreakBefore w:val="0"/>
        <w:widowControl w:val="0"/>
        <w:numPr>
          <w:numId w:val="0"/>
        </w:numPr>
        <w:kinsoku/>
        <w:wordWrap/>
        <w:overflowPunct/>
        <w:topLinePunct w:val="0"/>
        <w:autoSpaceDE/>
        <w:autoSpaceDN/>
        <w:bidi w:val="0"/>
        <w:spacing w:before="0" w:after="0" w:line="560" w:lineRule="exact"/>
        <w:ind w:left="630" w:leftChars="0"/>
        <w:jc w:val="left"/>
        <w:textAlignment w:val="auto"/>
        <w:outlineLvl w:val="9"/>
        <w:rPr>
          <w:rFonts w:hint="eastAsia" w:ascii="仿宋_GB2312" w:hAnsi="仿宋_GB2312" w:eastAsia="仿宋_GB2312" w:cs="仿宋_GB2312"/>
          <w:sz w:val="32"/>
          <w:szCs w:val="32"/>
          <w:highlight w:val="none"/>
          <w:lang w:val="en-US" w:eastAsia="uk-UA" w:bidi="ar-SA"/>
        </w:rPr>
      </w:pPr>
      <w:r>
        <w:rPr>
          <w:rFonts w:hint="eastAsia" w:ascii="仿宋_GB2312" w:hAnsi="仿宋_GB2312" w:eastAsia="仿宋_GB2312" w:cs="仿宋_GB2312"/>
          <w:sz w:val="32"/>
          <w:szCs w:val="32"/>
          <w:highlight w:val="none"/>
          <w:lang w:val="en-US" w:eastAsia="zh-CN" w:bidi="ar-SA"/>
        </w:rPr>
        <w:t>（5）</w:t>
      </w:r>
      <w:r>
        <w:rPr>
          <w:rFonts w:hint="eastAsia" w:ascii="仿宋_GB2312" w:hAnsi="仿宋_GB2312" w:eastAsia="仿宋_GB2312" w:cs="仿宋_GB2312"/>
          <w:sz w:val="32"/>
          <w:szCs w:val="32"/>
          <w:highlight w:val="none"/>
          <w:lang w:val="en-US" w:eastAsia="uk-UA" w:bidi="ar-SA"/>
        </w:rPr>
        <w:t>扎实做好惠民实事。</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val="en-US" w:eastAsia="uk-UA"/>
        </w:rPr>
      </w:pPr>
      <w:r>
        <w:rPr>
          <w:rFonts w:hint="eastAsia" w:ascii="仿宋_GB2312" w:hAnsi="仿宋_GB2312" w:eastAsia="仿宋_GB2312" w:cs="仿宋_GB2312"/>
          <w:sz w:val="32"/>
          <w:szCs w:val="32"/>
          <w:highlight w:val="none"/>
          <w:lang w:val="en-US" w:eastAsia="zh-CN"/>
        </w:rPr>
        <w:t>绩效指标：</w:t>
      </w:r>
      <w:r>
        <w:rPr>
          <w:rFonts w:hint="eastAsia" w:ascii="仿宋_GB2312" w:hAnsi="仿宋_GB2312" w:eastAsia="仿宋_GB2312" w:cs="仿宋_GB2312"/>
          <w:sz w:val="32"/>
          <w:szCs w:val="32"/>
          <w:highlight w:val="none"/>
          <w:lang w:val="en-US" w:eastAsia="uk-UA"/>
        </w:rPr>
        <w:t>完善生育支持政策体系，推动建设生育友好型社会。一是大力发展普惠托育，打造嵌入式社区托育点10个、培育10家合格普惠性托育机构，培育“石惠托”托育品牌，持续扩大普惠托育服务供给。二是大力提升妇幼健康服务水平。支持赵县妇幼保健院争创三级妇幼保健院，支持藁城区妇幼保健院争创二级妇幼保健院，力争90%的县级妇幼保健机构达到标准化要求。持续做好14周岁女孩免费接种HPV疫苗、孕妇产前基因免费筛查、妇女“两癌”免费筛查，努力维护妇女儿童健康。三是持续提升老年健康服务水平。深化医养结合，创建不少于3家标准化社区医养结合服务中心。稳步扩大安宁疗护试点，到2025年底前，每个县（市、区）至少有1家市级或省级安宁疗护试点。</w:t>
      </w:r>
    </w:p>
    <w:p>
      <w:pPr>
        <w:keepNext w:val="0"/>
        <w:keepLines w:val="0"/>
        <w:pageBreakBefore w:val="0"/>
        <w:widowControl w:val="0"/>
        <w:numPr>
          <w:numId w:val="0"/>
        </w:numPr>
        <w:kinsoku/>
        <w:wordWrap/>
        <w:overflowPunct/>
        <w:topLinePunct w:val="0"/>
        <w:autoSpaceDE/>
        <w:autoSpaceDN/>
        <w:bidi w:val="0"/>
        <w:spacing w:before="0" w:after="0" w:line="560" w:lineRule="exact"/>
        <w:ind w:left="630" w:leftChars="0"/>
        <w:jc w:val="left"/>
        <w:textAlignment w:val="auto"/>
        <w:outlineLvl w:val="9"/>
        <w:rPr>
          <w:rFonts w:hint="eastAsia" w:ascii="仿宋_GB2312" w:hAnsi="仿宋_GB2312" w:eastAsia="仿宋_GB2312" w:cs="仿宋_GB2312"/>
          <w:sz w:val="32"/>
          <w:szCs w:val="32"/>
          <w:highlight w:val="none"/>
          <w:lang w:val="en-US" w:eastAsia="uk-UA" w:bidi="ar-SA"/>
        </w:rPr>
      </w:pPr>
      <w:r>
        <w:rPr>
          <w:rFonts w:hint="eastAsia" w:ascii="仿宋_GB2312" w:hAnsi="仿宋_GB2312" w:eastAsia="仿宋_GB2312" w:cs="仿宋_GB2312"/>
          <w:sz w:val="32"/>
          <w:szCs w:val="32"/>
          <w:highlight w:val="none"/>
          <w:lang w:val="en-US" w:eastAsia="zh-CN" w:bidi="ar-SA"/>
        </w:rPr>
        <w:t>（6）</w:t>
      </w:r>
      <w:r>
        <w:rPr>
          <w:rFonts w:hint="eastAsia" w:ascii="仿宋_GB2312" w:hAnsi="仿宋_GB2312" w:eastAsia="仿宋_GB2312" w:cs="仿宋_GB2312"/>
          <w:sz w:val="32"/>
          <w:szCs w:val="32"/>
          <w:highlight w:val="none"/>
          <w:lang w:val="en-US" w:eastAsia="uk-UA" w:bidi="ar-SA"/>
        </w:rPr>
        <w:t>持续提升公共卫生服务水平。</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val="en-US" w:eastAsia="uk-UA"/>
        </w:rPr>
      </w:pPr>
      <w:r>
        <w:rPr>
          <w:rFonts w:hint="eastAsia" w:ascii="仿宋_GB2312" w:hAnsi="仿宋_GB2312" w:eastAsia="仿宋_GB2312" w:cs="仿宋_GB2312"/>
          <w:sz w:val="32"/>
          <w:szCs w:val="32"/>
          <w:highlight w:val="none"/>
          <w:lang w:val="en-US" w:eastAsia="zh-CN"/>
        </w:rPr>
        <w:t>绩效指标：</w:t>
      </w:r>
      <w:r>
        <w:rPr>
          <w:rFonts w:hint="eastAsia" w:ascii="仿宋_GB2312" w:hAnsi="仿宋_GB2312" w:eastAsia="仿宋_GB2312" w:cs="仿宋_GB2312"/>
          <w:sz w:val="32"/>
          <w:szCs w:val="32"/>
          <w:highlight w:val="none"/>
          <w:lang w:val="en-US" w:eastAsia="uk-UA"/>
        </w:rPr>
        <w:t>持续推动传染病智能监测预警前置软件部署，推动传染病医防协同医防融合、医疗机构疾控监督员等各类试点建设，持续抓好新冠、流感等呼吸道传染病和艾滋病、结核病等重大传染病防控，巩固地方病防治成果，减少重大传染病发生和流行。加强预防接种服务能力建设，在每个县（市、区）至少建立1家24小时狂犬病预防处置门诊和1家规范化操作实践培训基地，在全市设立1家特殊健康状态儿童预防接种门诊，提供更优质更全面的接种服务。</w:t>
      </w:r>
    </w:p>
    <w:p>
      <w:pPr>
        <w:keepNext w:val="0"/>
        <w:keepLines w:val="0"/>
        <w:pageBreakBefore w:val="0"/>
        <w:widowControl w:val="0"/>
        <w:numPr>
          <w:numId w:val="0"/>
        </w:numPr>
        <w:kinsoku/>
        <w:wordWrap/>
        <w:overflowPunct/>
        <w:topLinePunct w:val="0"/>
        <w:autoSpaceDE/>
        <w:autoSpaceDN/>
        <w:bidi w:val="0"/>
        <w:spacing w:before="0" w:after="0" w:line="560" w:lineRule="exact"/>
        <w:ind w:left="630" w:leftChars="0"/>
        <w:jc w:val="left"/>
        <w:textAlignment w:val="auto"/>
        <w:outlineLvl w:val="9"/>
        <w:rPr>
          <w:rFonts w:hint="eastAsia" w:ascii="仿宋_GB2312" w:hAnsi="仿宋_GB2312" w:eastAsia="仿宋_GB2312" w:cs="仿宋_GB2312"/>
          <w:sz w:val="32"/>
          <w:szCs w:val="32"/>
          <w:highlight w:val="none"/>
          <w:lang w:val="en-US" w:eastAsia="uk-UA" w:bidi="ar-SA"/>
        </w:rPr>
      </w:pPr>
      <w:r>
        <w:rPr>
          <w:rFonts w:hint="eastAsia" w:ascii="仿宋_GB2312" w:hAnsi="仿宋_GB2312" w:eastAsia="仿宋_GB2312" w:cs="仿宋_GB2312"/>
          <w:sz w:val="32"/>
          <w:szCs w:val="32"/>
          <w:highlight w:val="none"/>
          <w:lang w:val="en-US" w:eastAsia="zh-CN" w:bidi="ar-SA"/>
        </w:rPr>
        <w:t>（7）</w:t>
      </w:r>
      <w:r>
        <w:rPr>
          <w:rFonts w:hint="eastAsia" w:ascii="仿宋_GB2312" w:hAnsi="仿宋_GB2312" w:eastAsia="仿宋_GB2312" w:cs="仿宋_GB2312"/>
          <w:sz w:val="32"/>
          <w:szCs w:val="32"/>
          <w:highlight w:val="none"/>
          <w:lang w:val="en-US" w:eastAsia="uk-UA" w:bidi="ar-SA"/>
        </w:rPr>
        <w:t>强化行业系统治理。</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val="en-US" w:eastAsia="uk-UA"/>
        </w:rPr>
      </w:pPr>
      <w:r>
        <w:rPr>
          <w:rFonts w:hint="eastAsia" w:ascii="仿宋_GB2312" w:hAnsi="仿宋_GB2312" w:eastAsia="仿宋_GB2312" w:cs="仿宋_GB2312"/>
          <w:sz w:val="32"/>
          <w:szCs w:val="32"/>
          <w:highlight w:val="none"/>
          <w:lang w:val="en-US" w:eastAsia="zh-CN"/>
        </w:rPr>
        <w:t>绩效指标：</w:t>
      </w:r>
      <w:r>
        <w:rPr>
          <w:rFonts w:hint="eastAsia" w:ascii="仿宋_GB2312" w:hAnsi="仿宋_GB2312" w:eastAsia="仿宋_GB2312" w:cs="仿宋_GB2312"/>
          <w:sz w:val="32"/>
          <w:szCs w:val="32"/>
          <w:highlight w:val="none"/>
          <w:lang w:val="en-US" w:eastAsia="uk-UA"/>
        </w:rPr>
        <w:t xml:space="preserve">一是持续提升医疗服务质量。严格落实医疗质量安全核心制度，持续完善质控体系，开展大型医院巡查，不断规范医疗服务及收费行为，加强医疗技术临床应用事中事后监管，提升监管工作效能。二是持续改善医疗服务。积极推广一站式综合服务中心、慢病诊疗中心、日间诊疗、多学科诊疗（MDT）、药师门诊、康复门诊、门诊护理服务、日间护理、疼痛护理、“云上护理”等服务，持续改善患者就医感受。三是加快卫生健康信息化建设。在全省率先建成标准化市级卫生健康信息平台，完善领导驾驶舱、居民电子健康档案管理、医院运营数据分析等服务模块，持续开展“公立医疗机构经济管理年”活动，更好护航卫生健康事业高质量发展。 </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ascii="黑体" w:hAnsi="黑体" w:eastAsia="黑体"/>
          <w:sz w:val="32"/>
          <w:szCs w:val="32"/>
          <w:highlight w:val="none"/>
        </w:rPr>
      </w:pPr>
      <w:r>
        <w:rPr>
          <w:rFonts w:hint="eastAsia" w:ascii="黑体" w:hAnsi="黑体" w:eastAsia="黑体"/>
          <w:sz w:val="32"/>
          <w:szCs w:val="32"/>
          <w:highlight w:val="none"/>
        </w:rPr>
        <w:t>二、自评工作开展情况</w:t>
      </w:r>
    </w:p>
    <w:p>
      <w:pPr>
        <w:keepNext w:val="0"/>
        <w:keepLines w:val="0"/>
        <w:pageBreakBefore w:val="0"/>
        <w:widowControl w:val="0"/>
        <w:kinsoku/>
        <w:wordWrap/>
        <w:overflowPunct/>
        <w:topLinePunct w:val="0"/>
        <w:autoSpaceDE/>
        <w:autoSpaceDN/>
        <w:bidi w:val="0"/>
        <w:spacing w:line="560" w:lineRule="exact"/>
        <w:textAlignment w:val="auto"/>
        <w:rPr>
          <w:rFonts w:ascii="楷体" w:hAnsi="楷体" w:eastAsia="楷体" w:cs="楷体_GB2312"/>
          <w:sz w:val="32"/>
          <w:szCs w:val="32"/>
          <w:highlight w:val="none"/>
        </w:rPr>
      </w:pPr>
      <w:r>
        <w:rPr>
          <w:rFonts w:hint="eastAsia" w:ascii="仿宋" w:hAnsi="仿宋" w:eastAsia="仿宋" w:cs="楷体_GB2312"/>
          <w:b/>
          <w:bCs/>
          <w:sz w:val="32"/>
          <w:szCs w:val="32"/>
          <w:highlight w:val="none"/>
        </w:rPr>
        <w:t xml:space="preserve">    </w:t>
      </w:r>
      <w:r>
        <w:rPr>
          <w:rFonts w:hint="eastAsia" w:ascii="楷体" w:hAnsi="楷体" w:eastAsia="楷体" w:cs="楷体_GB2312"/>
          <w:bCs/>
          <w:sz w:val="32"/>
          <w:szCs w:val="32"/>
          <w:highlight w:val="none"/>
        </w:rPr>
        <w:t>（一）自评的组织工作</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color w:val="auto"/>
          <w:kern w:val="0"/>
          <w:sz w:val="32"/>
          <w:szCs w:val="32"/>
          <w:highlight w:val="none"/>
          <w:lang w:val="en-US" w:eastAsia="zh-CN"/>
        </w:rPr>
        <w:t>我委高度重视此次年度预算绩效评价工作，成立了绩效评价工作组，由</w:t>
      </w:r>
      <w:r>
        <w:rPr>
          <w:rFonts w:hint="eastAsia" w:ascii="仿宋_GB2312" w:hAnsi="仿宋_GB2312" w:eastAsia="仿宋_GB2312" w:cs="仿宋_GB2312"/>
          <w:sz w:val="32"/>
          <w:szCs w:val="32"/>
          <w:highlight w:val="none"/>
          <w:lang w:val="en-US" w:eastAsia="zh-CN"/>
        </w:rPr>
        <w:t>石家庄市卫健委副主任</w:t>
      </w:r>
      <w:r>
        <w:rPr>
          <w:rFonts w:hint="eastAsia" w:ascii="仿宋_GB2312" w:hAnsi="仿宋_GB2312" w:eastAsia="仿宋_GB2312" w:cs="仿宋_GB2312"/>
          <w:color w:val="auto"/>
          <w:kern w:val="0"/>
          <w:sz w:val="32"/>
          <w:szCs w:val="32"/>
          <w:highlight w:val="none"/>
          <w:lang w:val="en-US" w:eastAsia="zh-CN"/>
        </w:rPr>
        <w:t>于江海任绩效评价组组长，</w:t>
      </w:r>
      <w:r>
        <w:rPr>
          <w:rFonts w:hint="eastAsia" w:ascii="仿宋_GB2312" w:hAnsi="仿宋_GB2312" w:eastAsia="仿宋_GB2312" w:cs="仿宋_GB2312"/>
          <w:sz w:val="32"/>
          <w:szCs w:val="32"/>
          <w:highlight w:val="none"/>
        </w:rPr>
        <w:t>成员包括</w:t>
      </w:r>
      <w:r>
        <w:rPr>
          <w:rFonts w:hint="eastAsia" w:ascii="仿宋_GB2312" w:hAnsi="仿宋_GB2312" w:eastAsia="仿宋_GB2312" w:cs="仿宋_GB2312"/>
          <w:sz w:val="32"/>
          <w:szCs w:val="32"/>
          <w:highlight w:val="none"/>
          <w:lang w:val="en-US" w:eastAsia="zh-CN"/>
        </w:rPr>
        <w:t>杨伟娟、</w:t>
      </w:r>
      <w:r>
        <w:rPr>
          <w:rFonts w:hint="eastAsia" w:ascii="仿宋_GB2312" w:hAnsi="仿宋_GB2312" w:eastAsia="仿宋_GB2312" w:cs="仿宋_GB2312"/>
          <w:color w:val="auto"/>
          <w:kern w:val="0"/>
          <w:sz w:val="32"/>
          <w:szCs w:val="32"/>
          <w:highlight w:val="none"/>
          <w:lang w:val="en-US" w:eastAsia="zh-CN"/>
        </w:rPr>
        <w:t>刘萱瑶、孟伟及项目主管部门相关负责人。</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按照通知要求，评</w:t>
      </w:r>
      <w:bookmarkStart w:id="3" w:name="_Hlk43651802"/>
      <w:r>
        <w:rPr>
          <w:rFonts w:hint="eastAsia" w:ascii="仿宋_GB2312" w:hAnsi="仿宋_GB2312" w:eastAsia="仿宋_GB2312" w:cs="仿宋_GB2312"/>
          <w:sz w:val="32"/>
          <w:szCs w:val="32"/>
          <w:highlight w:val="none"/>
        </w:rPr>
        <w:t>价工作组制定自评工作方案，明确评价内容、评价程序及时间安排。组织相关人员召开专题会议，传达自评价工作要求和部署各项工作安排。全面收集评价所需基础信息资料并对资料进行分类整理、审查和分析</w:t>
      </w:r>
      <w:bookmarkEnd w:id="3"/>
      <w:r>
        <w:rPr>
          <w:rFonts w:hint="eastAsia" w:ascii="仿宋_GB2312" w:hAnsi="仿宋_GB2312" w:eastAsia="仿宋_GB2312" w:cs="仿宋_GB2312"/>
          <w:sz w:val="32"/>
          <w:szCs w:val="32"/>
          <w:highlight w:val="none"/>
        </w:rPr>
        <w:t>。</w:t>
      </w:r>
    </w:p>
    <w:p>
      <w:pPr>
        <w:keepNext w:val="0"/>
        <w:keepLines w:val="0"/>
        <w:pageBreakBefore w:val="0"/>
        <w:widowControl w:val="0"/>
        <w:numPr>
          <w:ilvl w:val="0"/>
          <w:numId w:val="1"/>
        </w:numPr>
        <w:kinsoku/>
        <w:wordWrap/>
        <w:overflowPunct/>
        <w:topLinePunct w:val="0"/>
        <w:autoSpaceDE/>
        <w:autoSpaceDN/>
        <w:bidi w:val="0"/>
        <w:spacing w:line="560" w:lineRule="exact"/>
        <w:textAlignment w:val="auto"/>
        <w:rPr>
          <w:rFonts w:ascii="楷体" w:hAnsi="楷体" w:eastAsia="楷体" w:cs="楷体_GB2312"/>
          <w:bCs/>
          <w:sz w:val="32"/>
          <w:szCs w:val="32"/>
          <w:highlight w:val="none"/>
        </w:rPr>
      </w:pPr>
      <w:r>
        <w:rPr>
          <w:rFonts w:hint="eastAsia" w:ascii="楷体" w:hAnsi="楷体" w:eastAsia="楷体" w:cs="楷体_GB2312"/>
          <w:bCs/>
          <w:sz w:val="32"/>
          <w:szCs w:val="32"/>
          <w:highlight w:val="none"/>
        </w:rPr>
        <w:t>自评的方法和过程</w:t>
      </w:r>
    </w:p>
    <w:p>
      <w:pPr>
        <w:keepNext w:val="0"/>
        <w:keepLines w:val="0"/>
        <w:pageBreakBefore w:val="0"/>
        <w:widowControl w:val="0"/>
        <w:numPr>
          <w:ilvl w:val="0"/>
          <w:numId w:val="0"/>
        </w:numPr>
        <w:kinsoku/>
        <w:wordWrap/>
        <w:overflowPunct/>
        <w:topLinePunct w:val="0"/>
        <w:autoSpaceDE/>
        <w:autoSpaceDN/>
        <w:bidi w:val="0"/>
        <w:spacing w:line="560" w:lineRule="exact"/>
        <w:ind w:left="0" w:right="0" w:rightChars="0" w:firstLine="640" w:firstLineChars="200"/>
        <w:textAlignment w:val="auto"/>
        <w:outlineLvl w:val="9"/>
        <w:rPr>
          <w:rFonts w:hint="eastAsia" w:ascii="仿宋_GB2312" w:hAnsi="仿宋_GB2312" w:eastAsia="仿宋_GB2312" w:cs="仿宋_GB2312"/>
          <w:sz w:val="32"/>
          <w:szCs w:val="32"/>
          <w:highlight w:val="none"/>
        </w:rPr>
      </w:pPr>
      <w:bookmarkStart w:id="4" w:name="_Toc25386"/>
      <w:r>
        <w:rPr>
          <w:rFonts w:hint="eastAsia" w:ascii="仿宋_GB2312" w:hAnsi="仿宋_GB2312" w:eastAsia="仿宋_GB2312" w:cs="仿宋_GB2312"/>
          <w:sz w:val="32"/>
          <w:szCs w:val="32"/>
          <w:highlight w:val="none"/>
        </w:rPr>
        <w:t>自评的方法</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1</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科学公正原则</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此次绩效自评运用科学合理的方法，按照规范的程序，对我</w:t>
      </w:r>
      <w:r>
        <w:rPr>
          <w:rFonts w:hint="eastAsia" w:ascii="仿宋_GB2312" w:hAnsi="仿宋_GB2312" w:eastAsia="仿宋_GB2312" w:cs="仿宋_GB2312"/>
          <w:sz w:val="32"/>
          <w:szCs w:val="32"/>
          <w:highlight w:val="none"/>
          <w:lang w:eastAsia="zh-CN"/>
        </w:rPr>
        <w:t>委</w:t>
      </w:r>
      <w:r>
        <w:rPr>
          <w:rFonts w:hint="eastAsia" w:ascii="仿宋_GB2312" w:hAnsi="仿宋_GB2312" w:eastAsia="仿宋_GB2312" w:cs="仿宋_GB2312"/>
          <w:sz w:val="32"/>
          <w:szCs w:val="32"/>
          <w:highlight w:val="none"/>
        </w:rPr>
        <w:t>部门整体预算资金使用绩效进行客观、公正的反映。</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2</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统筹兼顾原则</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单位自评、部门自评和财政自评应职责明确，各有侧重，相互衔接，绩效自评结果将上报财政部门作为财政自评参考依据。</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3</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激励约束原则</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此次绩效自评结果与预算安排、政策调整、改进管理实质性挂钩，体现奖优罚劣和激励相容导向，有效安排、低效压减、无效问责。</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4</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公开透明原则</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此次绩效自评结果应依法依规在政府门户网站进行公开，并自觉接受社会监督。</w:t>
      </w:r>
    </w:p>
    <w:bookmarkEnd w:id="4"/>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sz w:val="32"/>
          <w:szCs w:val="32"/>
          <w:highlight w:val="none"/>
        </w:rPr>
      </w:pPr>
      <w:r>
        <w:rPr>
          <w:rFonts w:hint="eastAsia" w:ascii="仿宋_GB2312" w:hAnsi="仿宋_GB2312" w:eastAsia="仿宋_GB2312" w:cs="仿宋_GB2312"/>
          <w:sz w:val="32"/>
          <w:szCs w:val="32"/>
          <w:highlight w:val="none"/>
        </w:rPr>
        <w:t>自评的</w:t>
      </w:r>
      <w:r>
        <w:rPr>
          <w:rFonts w:hint="eastAsia" w:ascii="仿宋_GB2312" w:hAnsi="仿宋_GB2312" w:eastAsia="仿宋_GB2312" w:cs="仿宋_GB2312"/>
          <w:sz w:val="32"/>
          <w:szCs w:val="32"/>
          <w:highlight w:val="none"/>
          <w:lang w:val="en-US" w:eastAsia="zh-CN"/>
        </w:rPr>
        <w:t>过程：</w:t>
      </w:r>
      <w:r>
        <w:rPr>
          <w:rFonts w:hint="eastAsia" w:ascii="仿宋_GB2312" w:hAnsi="仿宋_GB2312" w:eastAsia="仿宋_GB2312" w:cs="仿宋_GB2312"/>
          <w:sz w:val="32"/>
          <w:szCs w:val="32"/>
          <w:highlight w:val="none"/>
        </w:rPr>
        <w:t>本次绩效自评将资金使用产出及效果与年初指标值相比较，完成相应指标值的</w:t>
      </w:r>
      <w:r>
        <w:rPr>
          <w:rFonts w:hint="eastAsia" w:ascii="仿宋_GB2312" w:hAnsi="仿宋_GB2312" w:eastAsia="仿宋_GB2312" w:cs="仿宋_GB2312"/>
          <w:sz w:val="32"/>
          <w:szCs w:val="32"/>
          <w:highlight w:val="none"/>
          <w:lang w:val="en-US" w:eastAsia="zh-CN"/>
        </w:rPr>
        <w:t>赋全部分值</w:t>
      </w:r>
      <w:r>
        <w:rPr>
          <w:rFonts w:hint="eastAsia" w:ascii="仿宋_GB2312" w:hAnsi="仿宋_GB2312" w:eastAsia="仿宋_GB2312" w:cs="仿宋_GB2312"/>
          <w:sz w:val="32"/>
          <w:szCs w:val="32"/>
          <w:highlight w:val="none"/>
        </w:rPr>
        <w:t>；对完成值</w:t>
      </w:r>
      <w:r>
        <w:rPr>
          <w:rFonts w:hint="eastAsia" w:ascii="仿宋_GB2312" w:hAnsi="仿宋_GB2312" w:eastAsia="仿宋_GB2312" w:cs="仿宋_GB2312"/>
          <w:sz w:val="32"/>
          <w:szCs w:val="32"/>
          <w:highlight w:val="none"/>
          <w:lang w:eastAsia="zh-CN"/>
        </w:rPr>
        <w:t>低</w:t>
      </w:r>
      <w:r>
        <w:rPr>
          <w:rFonts w:hint="eastAsia" w:ascii="仿宋_GB2312" w:hAnsi="仿宋_GB2312" w:eastAsia="仿宋_GB2312" w:cs="仿宋_GB2312"/>
          <w:sz w:val="32"/>
          <w:szCs w:val="32"/>
          <w:highlight w:val="none"/>
        </w:rPr>
        <w:t>于指标值较多的，分析其形成原因，针对评价过程中发现的问题进一步提出相关意见建议，为以后年度</w:t>
      </w:r>
      <w:r>
        <w:rPr>
          <w:rFonts w:hint="eastAsia" w:ascii="仿宋_GB2312" w:hAnsi="仿宋_GB2312" w:eastAsia="仿宋_GB2312" w:cs="仿宋_GB2312"/>
          <w:sz w:val="32"/>
          <w:szCs w:val="32"/>
          <w:highlight w:val="none"/>
          <w:lang w:eastAsia="zh-CN"/>
        </w:rPr>
        <w:t>我委</w:t>
      </w:r>
      <w:r>
        <w:rPr>
          <w:rFonts w:hint="eastAsia" w:ascii="仿宋_GB2312" w:hAnsi="仿宋_GB2312" w:eastAsia="仿宋_GB2312" w:cs="仿宋_GB2312"/>
          <w:sz w:val="32"/>
          <w:szCs w:val="32"/>
          <w:highlight w:val="none"/>
        </w:rPr>
        <w:t>履行部门职责作出更好的预算管理和资金安排。</w:t>
      </w:r>
    </w:p>
    <w:p>
      <w:pPr>
        <w:keepNext w:val="0"/>
        <w:keepLines w:val="0"/>
        <w:pageBreakBefore w:val="0"/>
        <w:widowControl w:val="0"/>
        <w:kinsoku/>
        <w:wordWrap/>
        <w:overflowPunct/>
        <w:topLinePunct w:val="0"/>
        <w:autoSpaceDE/>
        <w:autoSpaceDN/>
        <w:bidi w:val="0"/>
        <w:spacing w:line="560" w:lineRule="exact"/>
        <w:textAlignment w:val="auto"/>
        <w:rPr>
          <w:rFonts w:ascii="黑体" w:hAnsi="黑体" w:eastAsia="黑体"/>
          <w:b/>
          <w:bCs/>
          <w:sz w:val="32"/>
          <w:szCs w:val="32"/>
          <w:highlight w:val="none"/>
        </w:rPr>
      </w:pPr>
      <w:r>
        <w:rPr>
          <w:rFonts w:hint="eastAsia" w:ascii="黑体" w:hAnsi="黑体" w:eastAsia="黑体"/>
          <w:sz w:val="32"/>
          <w:szCs w:val="32"/>
          <w:highlight w:val="none"/>
        </w:rPr>
        <w:t xml:space="preserve">    三、部门整体支出绩效目标实现情况及指标分析</w:t>
      </w:r>
    </w:p>
    <w:p>
      <w:pPr>
        <w:keepNext w:val="0"/>
        <w:keepLines w:val="0"/>
        <w:pageBreakBefore w:val="0"/>
        <w:widowControl w:val="0"/>
        <w:numPr>
          <w:ilvl w:val="0"/>
          <w:numId w:val="2"/>
        </w:numPr>
        <w:kinsoku/>
        <w:wordWrap/>
        <w:overflowPunct/>
        <w:topLinePunct w:val="0"/>
        <w:autoSpaceDE/>
        <w:autoSpaceDN/>
        <w:bidi w:val="0"/>
        <w:spacing w:line="560" w:lineRule="exact"/>
        <w:ind w:firstLine="640" w:firstLineChars="200"/>
        <w:textAlignment w:val="auto"/>
        <w:rPr>
          <w:rFonts w:ascii="楷体" w:hAnsi="楷体" w:eastAsia="楷体" w:cs="楷体_GB2312"/>
          <w:bCs/>
          <w:sz w:val="32"/>
          <w:szCs w:val="32"/>
          <w:highlight w:val="none"/>
        </w:rPr>
      </w:pPr>
      <w:r>
        <w:rPr>
          <w:rFonts w:hint="eastAsia" w:ascii="楷体" w:hAnsi="楷体" w:eastAsia="楷体" w:cs="楷体_GB2312"/>
          <w:bCs/>
          <w:sz w:val="32"/>
          <w:szCs w:val="32"/>
          <w:highlight w:val="none"/>
        </w:rPr>
        <w:t>总体绩效目标实现情况</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val="en-US" w:eastAsia="uk-UA"/>
        </w:rPr>
      </w:pPr>
      <w:r>
        <w:rPr>
          <w:rFonts w:hint="eastAsia" w:ascii="仿宋_GB2312" w:hAnsi="仿宋_GB2312" w:eastAsia="仿宋_GB2312" w:cs="仿宋_GB2312"/>
          <w:sz w:val="32"/>
          <w:szCs w:val="32"/>
          <w:highlight w:val="none"/>
          <w:lang w:val="en-US" w:eastAsia="uk-UA"/>
        </w:rPr>
        <w:t>2025年，坚持以习近平新时代中国特色社会主义思想为指导，深入贯彻党的二十大精神，坚持和加强党的全面领导，全面落实新时代卫生健康工作方针，以健康中国战略为统领，统筹推进“五位一体”总体布局和“四个全面”战略布局，始终坚持以人民为中心的发展思想，紧扣“健康石家庄”建设任务，以高质量发展为主线，以调查研究为抓手，持续深化医药卫生体制改革，不断完善医疗卫生服务体系，扎实推进优质医疗资源扩容提质，基层卫生服务能力稳步提升，全省特色专科创建优势持续巩固，全方位全周期保障人民健康取得新成效，全市卫生健康事业高质量发展实现新跃升，医疗资源优势进一步转化为发展优势，为加快建设现代化、国际化美丽省会城市提供了坚实健康保障。</w:t>
      </w:r>
    </w:p>
    <w:p>
      <w:pPr>
        <w:keepNext w:val="0"/>
        <w:keepLines w:val="0"/>
        <w:pageBreakBefore w:val="0"/>
        <w:widowControl w:val="0"/>
        <w:kinsoku/>
        <w:wordWrap/>
        <w:overflowPunct/>
        <w:topLinePunct w:val="0"/>
        <w:autoSpaceDE/>
        <w:autoSpaceDN/>
        <w:bidi w:val="0"/>
        <w:spacing w:line="560" w:lineRule="exact"/>
        <w:textAlignment w:val="auto"/>
        <w:rPr>
          <w:rFonts w:ascii="楷体" w:hAnsi="楷体" w:eastAsia="楷体"/>
          <w:bCs/>
          <w:sz w:val="32"/>
          <w:szCs w:val="32"/>
          <w:highlight w:val="none"/>
        </w:rPr>
      </w:pPr>
      <w:r>
        <w:rPr>
          <w:rFonts w:hint="eastAsia" w:ascii="仿宋" w:hAnsi="仿宋" w:eastAsia="仿宋" w:cs="楷体_GB2312"/>
          <w:b/>
          <w:bCs/>
          <w:sz w:val="32"/>
          <w:szCs w:val="32"/>
          <w:highlight w:val="none"/>
        </w:rPr>
        <w:t xml:space="preserve">    </w:t>
      </w:r>
      <w:r>
        <w:rPr>
          <w:rFonts w:hint="eastAsia" w:ascii="楷体" w:hAnsi="楷体" w:eastAsia="楷体" w:cs="楷体_GB2312"/>
          <w:bCs/>
          <w:sz w:val="32"/>
          <w:szCs w:val="32"/>
          <w:highlight w:val="none"/>
        </w:rPr>
        <w:t>（二）分项绩效目标实现情况及指标分析</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1.重点项目建设加速推进</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中央财政支持公立医院改革与高质量发展示范项目有序实施，各项任务圆满收官。市级医院重点项目建设取得突破性进展，积极争取中央预算内资金、专项债券及国家增量政策资金。北京大学人民医院石家庄医院、市第二医院新院区、市第三医院新院区、市中医院新院区等6个重点项目全面铺开建设，市第五医院应急院区按期竣工并投入使用。</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2.京津冀医疗卫生合作持续深化</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京津冀医联体建设深入推进，医疗卫生合作“项目库”不断丰富。国家区域医疗中心建设扎实推进，市中医院与天津中医一附院、市六院与首都儿研所，一批知名专家成功引进，一批重点专（学）科加快拓展，一批新技术新项目落地开展，一批学术论坛顺利举办，一批业务骨干得到系统培养，市级医院医疗服务能力和管理水平显著提升。</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3.中医药传承创新发展试验区建设全面启动</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国家中医药传承创新发展试验区实施方案经修改完善并获国家中医药局正式批复，2025年制定出台具体工作方案和配套措施，建立健全部门协调联动机制。共享中药房、一堂一特色、中药调剂鉴别指导中心等试点建设有序开展，各项任务落地见效。基层中医药服务能力持续提升，依托市级中医适宜技术推广中心开展系列专业培训，高标准建设100家高水平国医堂。从全市三级中医医院和综合医院选派市级中医专家，为县级中医医疗机构培养了一批学术继承人和业务骨干。</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4.基层医疗卫生服务体系不断健全</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医共体长效运行机制持续完善，人力资源、财务、医疗质控、医保、信息数据等管理中心实现实质化运行。县域医共体“全员工分制”绩效管理系统正式上线运行，医共体利益共同体加快形成，紧密型县域医共体建设质效稳步提升。基层服务网底持续筑牢，新增推荐标准机构、社区医院、省级特色专科均超额完成目标任务，6—8个重点中心卫生院完成县域医疗卫生次中心打造，逐步达到二级医院服务水平。首席专家工作室建设持续加强，基层医生岗位练兵和技能竞赛常态化开展。慢性病长处方服务全面推广，150家乡镇卫生院、40家社区卫生服务中心为高血压、糖尿病等慢性病患者提供长处方及用药指导、随访管理、健康宣教等延续性服务。全市家庭医生签约服务信息系统、基本公共卫生服务信息系统建成启用，基本公共卫生服务质量全面提升。</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5.惠民实事项目扎实落地</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生育支持政策体系不断完善，生育友好型社会建设稳步推进。普惠托育服务供给持续扩大，培育合格普惠性托育机构，“石惠托”托育品牌影响力逐步提升。妇幼健康服务能力显著增强，赵县妇幼保健院成功争创三级妇幼保健院，藁城区妇幼保健院达到二级妇幼保健院标准，90%以上县级妇幼保健机构实现标准化建设。14周岁女孩HPV疫苗免费接种、孕妇产前基因免费筛查、妇女“两癌”免费筛查等民生项目全面落实，妇女儿童健康保障水平持续提高。老年健康服务提质增效，医养结合深入推进，建成标准化社区医养结合服务中心3家以上，安宁疗护试点范围稳步扩大，各县（市、区）均至少设立1家市级或省级安宁疗护试点机构。</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6.公共卫生服务能力持续提升</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传染病智能监测预警前置软件全面部署应用，传染病医防协同、医防融合及医疗机构疾控监督员等试点建设成效明显。新冠、流感等呼吸道传染病和艾滋病、结核病等重大传染病防控措施精准落实，地方病防治成果持续巩固，重大传染病发生与流行风险有效降低。预防接种服务能力不断加强，各县（市、区）均建成1家24小时狂犬病预防处置门诊和1家规范化操作实践培训基地，全市设立特殊健康状态儿童预防接种门诊，预防接种服务更加优质规范。</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7.行业系统治理效能不断增强</w:t>
      </w:r>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医疗服务质量持续提升，医疗质量安全核心制度严格落实，质控体系不断完善，大型医院巡查深入开展，医疗服务及收费行为进一步规范，医疗技术临床应用事中事后监管持续强化。医疗服务模式持续优化，一站式综合服务中心、慢病诊疗中心、日间诊疗、多学科诊疗（MDT）、药师门诊、康复门诊、“云上护理”等便民服务全面推广，群众就医体验持续改善。卫生健康信息化建设走在全省前列，标准化市级卫生健康信息平台建成投用，领导驾驶舱、居民电子健康档案管理、医院运营数据分析等功能模块不断完善。“公立医疗机构经济管理年”活动深入开展，为全市卫生健康事业高质量发展提供了有力支撑。</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黑体" w:hAnsi="黑体" w:eastAsia="黑体"/>
          <w:sz w:val="32"/>
          <w:szCs w:val="32"/>
          <w:highlight w:val="none"/>
        </w:rPr>
      </w:pPr>
      <w:r>
        <w:rPr>
          <w:rFonts w:hint="eastAsia" w:ascii="黑体" w:hAnsi="黑体" w:eastAsia="黑体"/>
          <w:sz w:val="32"/>
          <w:szCs w:val="32"/>
          <w:highlight w:val="none"/>
        </w:rPr>
        <w:t>四、评价结论和评价等级</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sz w:val="32"/>
          <w:szCs w:val="32"/>
          <w:highlight w:val="none"/>
        </w:rPr>
      </w:pPr>
      <w:r>
        <w:rPr>
          <w:rFonts w:hint="eastAsia" w:ascii="仿宋" w:hAnsi="仿宋" w:eastAsia="仿宋"/>
          <w:sz w:val="32"/>
          <w:szCs w:val="32"/>
          <w:highlight w:val="none"/>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highlight w:val="none"/>
        </w:rPr>
        <w:t>≥</w:t>
      </w:r>
      <w:r>
        <w:rPr>
          <w:rFonts w:hint="eastAsia" w:ascii="仿宋" w:hAnsi="仿宋" w:eastAsia="仿宋"/>
          <w:sz w:val="32"/>
          <w:szCs w:val="32"/>
          <w:highlight w:val="none"/>
        </w:rPr>
        <w:t>85分为优秀；75</w:t>
      </w:r>
      <w:r>
        <w:rPr>
          <w:rFonts w:ascii="仿宋" w:hAnsi="仿宋" w:eastAsia="仿宋" w:cs="Arial"/>
          <w:sz w:val="32"/>
          <w:szCs w:val="32"/>
          <w:highlight w:val="none"/>
        </w:rPr>
        <w:t>≤</w:t>
      </w:r>
      <w:r>
        <w:rPr>
          <w:rFonts w:hint="eastAsia" w:ascii="仿宋" w:hAnsi="仿宋" w:eastAsia="仿宋"/>
          <w:sz w:val="32"/>
          <w:szCs w:val="32"/>
          <w:highlight w:val="none"/>
        </w:rPr>
        <w:t>得分＜85分为良好；60</w:t>
      </w:r>
      <w:r>
        <w:rPr>
          <w:rFonts w:ascii="仿宋" w:hAnsi="仿宋" w:eastAsia="仿宋" w:cs="Arial"/>
          <w:sz w:val="32"/>
          <w:szCs w:val="32"/>
          <w:highlight w:val="none"/>
        </w:rPr>
        <w:t>≤</w:t>
      </w:r>
      <w:r>
        <w:rPr>
          <w:rFonts w:hint="eastAsia" w:ascii="仿宋" w:hAnsi="仿宋" w:eastAsia="仿宋"/>
          <w:sz w:val="32"/>
          <w:szCs w:val="32"/>
          <w:highlight w:val="none"/>
        </w:rPr>
        <w:t>得分＜75分为一般；得分＜60分为较差。</w:t>
      </w:r>
    </w:p>
    <w:p>
      <w:pPr>
        <w:keepNext w:val="0"/>
        <w:keepLines w:val="0"/>
        <w:pageBreakBefore w:val="0"/>
        <w:widowControl w:val="0"/>
        <w:kinsoku/>
        <w:wordWrap/>
        <w:overflowPunct/>
        <w:topLinePunct w:val="0"/>
        <w:autoSpaceDE/>
        <w:autoSpaceDN/>
        <w:bidi w:val="0"/>
        <w:adjustRightInd/>
        <w:snapToGrid w:val="0"/>
        <w:spacing w:line="560" w:lineRule="exact"/>
        <w:ind w:left="0" w:firstLine="640" w:firstLineChars="200"/>
        <w:textAlignment w:val="auto"/>
        <w:rPr>
          <w:rFonts w:hint="eastAsia" w:ascii="仿宋_GB2312" w:hAnsi="仿宋_GB2312" w:eastAsia="仿宋_GB2312" w:cs="仿宋_GB2312"/>
          <w:b w:val="0"/>
          <w:bCs w:val="0"/>
          <w:kern w:val="2"/>
          <w:sz w:val="32"/>
          <w:szCs w:val="32"/>
          <w:highlight w:val="none"/>
          <w:lang w:val="en-US" w:eastAsia="zh-CN" w:bidi="ar-SA"/>
        </w:rPr>
      </w:pPr>
      <w:r>
        <w:rPr>
          <w:rFonts w:hint="eastAsia" w:ascii="仿宋_GB2312" w:hAnsi="仿宋_GB2312" w:eastAsia="仿宋_GB2312" w:cs="仿宋_GB2312"/>
          <w:b w:val="0"/>
          <w:bCs w:val="0"/>
          <w:kern w:val="2"/>
          <w:sz w:val="32"/>
          <w:szCs w:val="32"/>
          <w:highlight w:val="none"/>
          <w:lang w:val="en-US" w:eastAsia="zh-CN" w:bidi="ar-SA"/>
        </w:rPr>
        <w:t>我部门2025年度部门整体绩效自评平均得分</w:t>
      </w:r>
      <w:r>
        <w:rPr>
          <w:rFonts w:hint="eastAsia" w:ascii="仿宋_GB2312" w:hAnsi="仿宋_GB2312" w:eastAsia="仿宋_GB2312" w:cs="仿宋_GB2312"/>
          <w:sz w:val="32"/>
          <w:szCs w:val="32"/>
          <w:highlight w:val="none"/>
          <w:lang w:val="en-US" w:eastAsia="zh-CN"/>
        </w:rPr>
        <w:t>87.85</w:t>
      </w:r>
      <w:r>
        <w:rPr>
          <w:rFonts w:hint="eastAsia" w:ascii="仿宋_GB2312" w:hAnsi="仿宋_GB2312" w:eastAsia="仿宋_GB2312" w:cs="仿宋_GB2312"/>
          <w:b w:val="0"/>
          <w:bCs w:val="0"/>
          <w:kern w:val="2"/>
          <w:sz w:val="32"/>
          <w:szCs w:val="32"/>
          <w:highlight w:val="none"/>
          <w:lang w:val="en-US" w:eastAsia="zh-CN" w:bidi="ar-SA"/>
        </w:rPr>
        <w:t>分，评价等级为“优”。</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黑体" w:hAnsi="黑体" w:eastAsia="黑体"/>
          <w:sz w:val="32"/>
          <w:szCs w:val="32"/>
          <w:highlight w:val="none"/>
        </w:rPr>
      </w:pPr>
      <w:r>
        <w:rPr>
          <w:rFonts w:hint="eastAsia" w:ascii="黑体" w:hAnsi="黑体" w:eastAsia="黑体"/>
          <w:sz w:val="32"/>
          <w:szCs w:val="32"/>
          <w:highlight w:val="none"/>
        </w:rPr>
        <w:t>五、存在的问题及改进措施</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 w:hAnsi="楷体" w:eastAsia="楷体"/>
          <w:bCs/>
          <w:sz w:val="32"/>
          <w:szCs w:val="32"/>
          <w:highlight w:val="none"/>
        </w:rPr>
      </w:pPr>
      <w:r>
        <w:rPr>
          <w:rFonts w:hint="eastAsia" w:ascii="楷体" w:hAnsi="楷体" w:eastAsia="楷体"/>
          <w:bCs/>
          <w:sz w:val="32"/>
          <w:szCs w:val="32"/>
          <w:highlight w:val="none"/>
        </w:rPr>
        <w:t>（一）存在的主要问题</w:t>
      </w:r>
    </w:p>
    <w:p>
      <w:pPr>
        <w:pStyle w:val="3"/>
        <w:keepNext w:val="0"/>
        <w:keepLines w:val="0"/>
        <w:pageBreakBefore w:val="0"/>
        <w:widowControl w:val="0"/>
        <w:kinsoku/>
        <w:wordWrap/>
        <w:overflowPunct/>
        <w:topLinePunct w:val="0"/>
        <w:autoSpaceDE/>
        <w:autoSpaceDN/>
        <w:bidi w:val="0"/>
        <w:spacing w:line="560" w:lineRule="exact"/>
        <w:ind w:left="0" w:firstLine="640"/>
        <w:textAlignment w:val="auto"/>
        <w:rPr>
          <w:highlight w:val="none"/>
        </w:rPr>
      </w:pPr>
      <w:r>
        <w:rPr>
          <w:rFonts w:hint="eastAsia" w:ascii="仿宋_GB2312" w:hAnsi="仿宋_GB2312" w:eastAsia="仿宋_GB2312" w:cs="仿宋_GB2312"/>
          <w:bCs/>
          <w:sz w:val="32"/>
          <w:szCs w:val="32"/>
          <w:highlight w:val="none"/>
          <w:lang w:val="en-US" w:eastAsia="zh-CN"/>
        </w:rPr>
        <w:t>个别</w:t>
      </w:r>
      <w:r>
        <w:rPr>
          <w:rFonts w:hint="eastAsia" w:ascii="仿宋_GB2312" w:hAnsi="仿宋_GB2312" w:eastAsia="仿宋_GB2312" w:cs="仿宋_GB2312"/>
          <w:bCs/>
          <w:sz w:val="32"/>
          <w:szCs w:val="32"/>
          <w:highlight w:val="none"/>
        </w:rPr>
        <w:t>绩效目标不够完善，不能完整清晰体现工作活动的产出和效果，依据绩效目标所设置的绩效指标不够细化，不能完整清晰的反映活动目标完成情况。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highlight w:val="none"/>
        </w:rPr>
      </w:pPr>
      <w:r>
        <w:rPr>
          <w:rFonts w:hint="eastAsia" w:ascii="楷体" w:hAnsi="楷体" w:eastAsia="楷体"/>
          <w:bCs/>
          <w:sz w:val="32"/>
          <w:szCs w:val="32"/>
          <w:highlight w:val="none"/>
        </w:rPr>
        <w:t>（二）针对问题提出具体的改进措施或建议</w:t>
      </w:r>
    </w:p>
    <w:p>
      <w:pPr>
        <w:pStyle w:val="3"/>
        <w:keepNext w:val="0"/>
        <w:keepLines w:val="0"/>
        <w:pageBreakBefore w:val="0"/>
        <w:widowControl w:val="0"/>
        <w:kinsoku/>
        <w:wordWrap/>
        <w:overflowPunct/>
        <w:topLinePunct w:val="0"/>
        <w:autoSpaceDE/>
        <w:autoSpaceDN/>
        <w:bidi w:val="0"/>
        <w:spacing w:line="560" w:lineRule="exact"/>
        <w:ind w:left="0" w:firstLine="643"/>
        <w:textAlignment w:val="auto"/>
        <w:outlineLvl w:val="2"/>
        <w:rPr>
          <w:rFonts w:hint="eastAsia" w:ascii="仿宋_GB2312" w:hAnsi="仿宋_GB2312" w:eastAsia="仿宋_GB2312" w:cs="仿宋_GB2312"/>
          <w:bCs/>
          <w:sz w:val="32"/>
          <w:szCs w:val="32"/>
          <w:highlight w:val="none"/>
        </w:rPr>
      </w:pPr>
      <w:bookmarkStart w:id="5" w:name="_Toc70582283"/>
      <w:r>
        <w:rPr>
          <w:rFonts w:hint="eastAsia" w:ascii="仿宋_GB2312" w:hAnsi="仿宋_GB2312" w:eastAsia="仿宋_GB2312" w:cs="仿宋_GB2312"/>
          <w:b/>
          <w:bCs/>
          <w:sz w:val="32"/>
          <w:szCs w:val="32"/>
          <w:highlight w:val="none"/>
        </w:rPr>
        <w:t>科学设定绩效目标和指标</w:t>
      </w:r>
      <w:bookmarkEnd w:id="5"/>
      <w:r>
        <w:rPr>
          <w:rFonts w:hint="eastAsia" w:ascii="仿宋_GB2312" w:hAnsi="仿宋_GB2312" w:eastAsia="仿宋_GB2312" w:cs="仿宋_GB2312"/>
          <w:b/>
          <w:bCs/>
          <w:sz w:val="32"/>
          <w:szCs w:val="32"/>
          <w:highlight w:val="none"/>
          <w:lang w:val="en-US" w:eastAsia="zh-CN"/>
        </w:rPr>
        <w:t>:</w:t>
      </w:r>
      <w:r>
        <w:rPr>
          <w:rFonts w:hint="eastAsia" w:ascii="仿宋_GB2312" w:hAnsi="仿宋_GB2312" w:eastAsia="仿宋_GB2312" w:cs="仿宋_GB2312"/>
          <w:bCs/>
          <w:sz w:val="32"/>
          <w:szCs w:val="32"/>
          <w:highlight w:val="none"/>
        </w:rPr>
        <w:t>预算部门应加强绩效目标的设定，将绩效目标做实，做到项目绩效目标全覆盖，最终实现部门整体绩效目标全覆盖，同时在设定绩效指标值注意细化量化，便于对项目进行监控和考核。在实际操作中，应建立全面规范的绩效指标体系，依据部门职责和年度工作重点，设定科学、合理、可行的年度绩效目标、绩效指标。</w:t>
      </w:r>
    </w:p>
    <w:p>
      <w:pPr>
        <w:adjustRightInd w:val="0"/>
        <w:snapToGrid w:val="0"/>
        <w:spacing w:line="560" w:lineRule="exact"/>
        <w:ind w:firstLine="640" w:firstLineChars="200"/>
        <w:rPr>
          <w:rFonts w:ascii="黑体" w:hAnsi="黑体" w:eastAsia="黑体"/>
          <w:sz w:val="32"/>
          <w:szCs w:val="32"/>
        </w:rPr>
      </w:pPr>
    </w:p>
    <w:p>
      <w:pPr>
        <w:spacing w:line="560" w:lineRule="exact"/>
        <w:rPr>
          <w:rFonts w:ascii="仿宋" w:hAnsi="仿宋" w:eastAsia="仿宋"/>
        </w:rPr>
      </w:pPr>
      <w:bookmarkStart w:id="6" w:name="_GoBack"/>
      <w:bookmarkEnd w:id="6"/>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 w:name="方正魏碑简体">
    <w:panose1 w:val="02000000000000000000"/>
    <w:charset w:val="86"/>
    <w:family w:val="auto"/>
    <w:pitch w:val="default"/>
    <w:sig w:usb0="A00002BF" w:usb1="184F6CFA" w:usb2="00000012" w:usb3="00000000" w:csb0="00040001" w:csb1="00000000"/>
  </w:font>
  <w:font w:name="方正楷体简体">
    <w:panose1 w:val="02000000000000000000"/>
    <w:charset w:val="86"/>
    <w:family w:val="auto"/>
    <w:pitch w:val="default"/>
    <w:sig w:usb0="A00002BF" w:usb1="184F6CFA" w:usb2="00000012" w:usb3="00000000" w:csb0="00040001" w:csb1="00000000"/>
  </w:font>
  <w:font w:name="方正小标宋_GBK">
    <w:panose1 w:val="02000000000000000000"/>
    <w:charset w:val="86"/>
    <w:family w:val="auto"/>
    <w:pitch w:val="default"/>
    <w:sig w:usb0="A00002BF" w:usb1="38CF7CFA" w:usb2="00082016" w:usb3="00000000" w:csb0="00040001" w:csb1="00000000"/>
  </w:font>
  <w:font w:name="新宋体">
    <w:panose1 w:val="02010609030101010101"/>
    <w:charset w:val="86"/>
    <w:family w:val="auto"/>
    <w:pitch w:val="default"/>
    <w:sig w:usb0="00000203" w:usb1="288F0000" w:usb2="0000000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1FF12C8"/>
    <w:rsid w:val="1AAF0063"/>
    <w:rsid w:val="1B740D26"/>
    <w:rsid w:val="1BE140DE"/>
    <w:rsid w:val="1E542E40"/>
    <w:rsid w:val="248C197D"/>
    <w:rsid w:val="252959AF"/>
    <w:rsid w:val="277A6671"/>
    <w:rsid w:val="292D35B7"/>
    <w:rsid w:val="33EB6CFF"/>
    <w:rsid w:val="35A12947"/>
    <w:rsid w:val="37387040"/>
    <w:rsid w:val="3B625C0A"/>
    <w:rsid w:val="3CEE1963"/>
    <w:rsid w:val="436B78D3"/>
    <w:rsid w:val="4C9C27FE"/>
    <w:rsid w:val="502A44B1"/>
    <w:rsid w:val="512260B4"/>
    <w:rsid w:val="52BD6ACB"/>
    <w:rsid w:val="55537534"/>
    <w:rsid w:val="561A74F1"/>
    <w:rsid w:val="58B17416"/>
    <w:rsid w:val="597244E8"/>
    <w:rsid w:val="5EB71C30"/>
    <w:rsid w:val="66AF0CE5"/>
    <w:rsid w:val="68AC2130"/>
    <w:rsid w:val="6AC537CF"/>
    <w:rsid w:val="6E5B14A6"/>
    <w:rsid w:val="711B255E"/>
    <w:rsid w:val="7A3C7113"/>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Normal Indent"/>
    <w:basedOn w:val="1"/>
    <w:unhideWhenUsed/>
    <w:qFormat/>
    <w:uiPriority w:val="99"/>
    <w:pPr>
      <w:ind w:firstLine="420" w:firstLineChars="200"/>
    </w:pPr>
  </w:style>
  <w:style w:type="paragraph" w:styleId="4">
    <w:name w:val="annotation text"/>
    <w:basedOn w:val="1"/>
    <w:qFormat/>
    <w:uiPriority w:val="0"/>
    <w:pPr>
      <w:jc w:val="left"/>
    </w:pPr>
  </w:style>
  <w:style w:type="paragraph" w:styleId="5">
    <w:name w:val="Body Text Indent"/>
    <w:basedOn w:val="1"/>
    <w:next w:val="6"/>
    <w:qFormat/>
    <w:uiPriority w:val="0"/>
    <w:pPr>
      <w:ind w:firstLine="540"/>
    </w:pPr>
    <w:rPr>
      <w:sz w:val="30"/>
    </w:rPr>
  </w:style>
  <w:style w:type="paragraph" w:styleId="6">
    <w:name w:val="Body Text First Indent 2"/>
    <w:basedOn w:val="5"/>
    <w:next w:val="1"/>
    <w:qFormat/>
    <w:uiPriority w:val="0"/>
    <w:pPr>
      <w:ind w:firstLine="420" w:firstLineChars="200"/>
    </w:p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8">
    <w:name w:val="footnote text"/>
    <w:basedOn w:val="1"/>
    <w:next w:val="6"/>
    <w:qFormat/>
    <w:uiPriority w:val="0"/>
    <w:pPr>
      <w:snapToGrid w:val="0"/>
      <w:jc w:val="left"/>
    </w:pPr>
    <w:rPr>
      <w:sz w:val="18"/>
      <w:szCs w:val="18"/>
    </w:rPr>
  </w:style>
  <w:style w:type="paragraph" w:customStyle="1" w:styleId="1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573</Words>
  <Characters>590</Characters>
  <Lines>4</Lines>
  <Paragraphs>1</Paragraphs>
  <TotalTime>6</TotalTime>
  <ScaleCrop>false</ScaleCrop>
  <LinksUpToDate>false</LinksUpToDate>
  <CharactersWithSpaces>612</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天亮一起追太阳</cp:lastModifiedBy>
  <cp:lastPrinted>2026-03-03T01:23:00Z</cp:lastPrinted>
  <dcterms:modified xsi:type="dcterms:W3CDTF">2026-04-23T06:17:37Z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