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321石家庄市投资促进局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2132.46</w:t>
            </w:r>
          </w:p>
        </w:tc>
        <w:tc>
          <w:tcPr>
            <w:tcW w:w="4535" w:type="dxa"/>
            <w:vAlign w:val="center"/>
          </w:tcPr>
          <w:p>
            <w:pPr>
              <w:pStyle w:val="13"/>
            </w:pPr>
            <w:r>
              <w:t>一、一般公共服务支出</w:t>
            </w:r>
          </w:p>
        </w:tc>
        <w:tc>
          <w:tcPr>
            <w:tcW w:w="2126" w:type="dxa"/>
            <w:vAlign w:val="center"/>
          </w:tcPr>
          <w:p>
            <w:pPr>
              <w:pStyle w:val="12"/>
            </w:pPr>
            <w:r>
              <w:t>1822.92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2132.46</w:t>
            </w:r>
          </w:p>
        </w:tc>
        <w:tc>
          <w:tcPr>
            <w:tcW w:w="4535" w:type="dxa"/>
            <w:vAlign w:val="center"/>
          </w:tcPr>
          <w:p>
            <w:pPr>
              <w:pStyle w:val="15"/>
            </w:pPr>
            <w:r>
              <w:t>本年支出合计</w:t>
            </w:r>
          </w:p>
        </w:tc>
        <w:tc>
          <w:tcPr>
            <w:tcW w:w="2126" w:type="dxa"/>
            <w:vAlign w:val="center"/>
          </w:tcPr>
          <w:p>
            <w:pPr>
              <w:pStyle w:val="16"/>
            </w:pPr>
            <w:r>
              <w:t>2132.46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2132.46</w:t>
            </w:r>
          </w:p>
        </w:tc>
        <w:tc>
          <w:tcPr>
            <w:tcW w:w="4535" w:type="dxa"/>
            <w:vAlign w:val="center"/>
          </w:tcPr>
          <w:p>
            <w:pPr>
              <w:pStyle w:val="15"/>
            </w:pPr>
            <w:r>
              <w:t>支出总计</w:t>
            </w:r>
          </w:p>
        </w:tc>
        <w:tc>
          <w:tcPr>
            <w:tcW w:w="2126" w:type="dxa"/>
            <w:vAlign w:val="center"/>
          </w:tcPr>
          <w:p>
            <w:pPr>
              <w:pStyle w:val="16"/>
            </w:pPr>
            <w:r>
              <w:t>2132.46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321石家庄市投资促进局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2132.46</w:t>
            </w:r>
          </w:p>
        </w:tc>
        <w:tc>
          <w:tcPr>
            <w:tcW w:w="1134" w:type="dxa"/>
            <w:vAlign w:val="center"/>
          </w:tcPr>
          <w:p>
            <w:pPr>
              <w:pStyle w:val="16"/>
            </w:pPr>
            <w:r>
              <w:t>2132.46</w:t>
            </w:r>
          </w:p>
        </w:tc>
        <w:tc>
          <w:tcPr>
            <w:tcW w:w="1134" w:type="dxa"/>
            <w:vAlign w:val="center"/>
          </w:tcPr>
          <w:p>
            <w:pPr>
              <w:pStyle w:val="16"/>
            </w:pPr>
            <w:r>
              <w:t>2132.46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2011301</w:t>
            </w:r>
          </w:p>
        </w:tc>
        <w:tc>
          <w:tcPr>
            <w:tcW w:w="1559" w:type="dxa"/>
            <w:vAlign w:val="center"/>
          </w:tcPr>
          <w:p>
            <w:pPr>
              <w:pStyle w:val="13"/>
            </w:pPr>
            <w:r>
              <w:t>行政运行</w:t>
            </w:r>
          </w:p>
        </w:tc>
        <w:tc>
          <w:tcPr>
            <w:tcW w:w="1134" w:type="dxa"/>
            <w:vAlign w:val="center"/>
          </w:tcPr>
          <w:p>
            <w:pPr>
              <w:pStyle w:val="12"/>
            </w:pPr>
            <w:r>
              <w:t>750.95</w:t>
            </w:r>
          </w:p>
        </w:tc>
        <w:tc>
          <w:tcPr>
            <w:tcW w:w="1134" w:type="dxa"/>
            <w:vAlign w:val="center"/>
          </w:tcPr>
          <w:p>
            <w:pPr>
              <w:pStyle w:val="12"/>
            </w:pPr>
            <w:r>
              <w:t>750.95</w:t>
            </w:r>
          </w:p>
        </w:tc>
        <w:tc>
          <w:tcPr>
            <w:tcW w:w="1134" w:type="dxa"/>
            <w:vAlign w:val="center"/>
          </w:tcPr>
          <w:p>
            <w:pPr>
              <w:pStyle w:val="12"/>
            </w:pPr>
            <w:r>
              <w:t>750.95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2011302</w:t>
            </w:r>
          </w:p>
        </w:tc>
        <w:tc>
          <w:tcPr>
            <w:tcW w:w="1559" w:type="dxa"/>
            <w:vAlign w:val="center"/>
          </w:tcPr>
          <w:p>
            <w:pPr>
              <w:pStyle w:val="13"/>
            </w:pPr>
            <w:r>
              <w:t>一般行政管理事务</w:t>
            </w:r>
          </w:p>
        </w:tc>
        <w:tc>
          <w:tcPr>
            <w:tcW w:w="1134" w:type="dxa"/>
            <w:vAlign w:val="center"/>
          </w:tcPr>
          <w:p>
            <w:pPr>
              <w:pStyle w:val="12"/>
            </w:pPr>
            <w:r>
              <w:t>29.08</w:t>
            </w:r>
          </w:p>
        </w:tc>
        <w:tc>
          <w:tcPr>
            <w:tcW w:w="1134" w:type="dxa"/>
            <w:vAlign w:val="center"/>
          </w:tcPr>
          <w:p>
            <w:pPr>
              <w:pStyle w:val="12"/>
            </w:pPr>
            <w:r>
              <w:t>29.08</w:t>
            </w:r>
          </w:p>
        </w:tc>
        <w:tc>
          <w:tcPr>
            <w:tcW w:w="1134" w:type="dxa"/>
            <w:vAlign w:val="center"/>
          </w:tcPr>
          <w:p>
            <w:pPr>
              <w:pStyle w:val="12"/>
            </w:pPr>
            <w:r>
              <w:t>29.08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2011350</w:t>
            </w:r>
          </w:p>
        </w:tc>
        <w:tc>
          <w:tcPr>
            <w:tcW w:w="1559" w:type="dxa"/>
            <w:vAlign w:val="center"/>
          </w:tcPr>
          <w:p>
            <w:pPr>
              <w:pStyle w:val="13"/>
            </w:pPr>
            <w:r>
              <w:t>事业运行</w:t>
            </w:r>
          </w:p>
        </w:tc>
        <w:tc>
          <w:tcPr>
            <w:tcW w:w="1134" w:type="dxa"/>
            <w:vAlign w:val="center"/>
          </w:tcPr>
          <w:p>
            <w:pPr>
              <w:pStyle w:val="12"/>
            </w:pPr>
            <w:r>
              <w:t>177.89</w:t>
            </w:r>
          </w:p>
        </w:tc>
        <w:tc>
          <w:tcPr>
            <w:tcW w:w="1134" w:type="dxa"/>
            <w:vAlign w:val="center"/>
          </w:tcPr>
          <w:p>
            <w:pPr>
              <w:pStyle w:val="12"/>
            </w:pPr>
            <w:r>
              <w:t>177.89</w:t>
            </w:r>
          </w:p>
        </w:tc>
        <w:tc>
          <w:tcPr>
            <w:tcW w:w="1134" w:type="dxa"/>
            <w:vAlign w:val="center"/>
          </w:tcPr>
          <w:p>
            <w:pPr>
              <w:pStyle w:val="12"/>
            </w:pPr>
            <w:r>
              <w:t>177.89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170.64</w:t>
            </w:r>
          </w:p>
        </w:tc>
        <w:tc>
          <w:tcPr>
            <w:tcW w:w="1134" w:type="dxa"/>
            <w:vAlign w:val="center"/>
          </w:tcPr>
          <w:p>
            <w:pPr>
              <w:pStyle w:val="12"/>
            </w:pPr>
            <w:r>
              <w:t>170.64</w:t>
            </w:r>
          </w:p>
        </w:tc>
        <w:tc>
          <w:tcPr>
            <w:tcW w:w="1134" w:type="dxa"/>
            <w:vAlign w:val="center"/>
          </w:tcPr>
          <w:p>
            <w:pPr>
              <w:pStyle w:val="12"/>
            </w:pPr>
            <w:r>
              <w:t>170.64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167.69</w:t>
            </w:r>
          </w:p>
        </w:tc>
        <w:tc>
          <w:tcPr>
            <w:tcW w:w="1134" w:type="dxa"/>
            <w:vAlign w:val="center"/>
          </w:tcPr>
          <w:p>
            <w:pPr>
              <w:pStyle w:val="12"/>
            </w:pPr>
            <w:r>
              <w:t>167.69</w:t>
            </w:r>
          </w:p>
        </w:tc>
        <w:tc>
          <w:tcPr>
            <w:tcW w:w="1134" w:type="dxa"/>
            <w:vAlign w:val="center"/>
          </w:tcPr>
          <w:p>
            <w:pPr>
              <w:pStyle w:val="12"/>
            </w:pPr>
            <w:r>
              <w:t>167.69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71.30</w:t>
            </w:r>
          </w:p>
        </w:tc>
        <w:tc>
          <w:tcPr>
            <w:tcW w:w="1134" w:type="dxa"/>
            <w:vAlign w:val="center"/>
          </w:tcPr>
          <w:p>
            <w:pPr>
              <w:pStyle w:val="12"/>
            </w:pPr>
            <w:r>
              <w:t>71.30</w:t>
            </w:r>
          </w:p>
        </w:tc>
        <w:tc>
          <w:tcPr>
            <w:tcW w:w="1134" w:type="dxa"/>
            <w:vAlign w:val="center"/>
          </w:tcPr>
          <w:p>
            <w:pPr>
              <w:pStyle w:val="12"/>
            </w:pPr>
            <w:r>
              <w:t>71.30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96.39</w:t>
            </w:r>
          </w:p>
        </w:tc>
        <w:tc>
          <w:tcPr>
            <w:tcW w:w="1134" w:type="dxa"/>
            <w:vAlign w:val="center"/>
          </w:tcPr>
          <w:p>
            <w:pPr>
              <w:pStyle w:val="12"/>
            </w:pPr>
            <w:r>
              <w:t>96.39</w:t>
            </w:r>
          </w:p>
        </w:tc>
        <w:tc>
          <w:tcPr>
            <w:tcW w:w="1134" w:type="dxa"/>
            <w:vAlign w:val="center"/>
          </w:tcPr>
          <w:p>
            <w:pPr>
              <w:pStyle w:val="12"/>
            </w:pPr>
            <w:r>
              <w:t>96.39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6.62</w:t>
            </w:r>
          </w:p>
        </w:tc>
        <w:tc>
          <w:tcPr>
            <w:tcW w:w="1134" w:type="dxa"/>
            <w:vAlign w:val="center"/>
          </w:tcPr>
          <w:p>
            <w:pPr>
              <w:pStyle w:val="12"/>
            </w:pPr>
            <w:r>
              <w:t>6.62</w:t>
            </w:r>
          </w:p>
        </w:tc>
        <w:tc>
          <w:tcPr>
            <w:tcW w:w="1134" w:type="dxa"/>
            <w:vAlign w:val="center"/>
          </w:tcPr>
          <w:p>
            <w:pPr>
              <w:pStyle w:val="12"/>
            </w:pPr>
            <w:r>
              <w:t>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12.58</w:t>
            </w:r>
          </w:p>
        </w:tc>
        <w:tc>
          <w:tcPr>
            <w:tcW w:w="1134" w:type="dxa"/>
            <w:vAlign w:val="center"/>
          </w:tcPr>
          <w:p>
            <w:pPr>
              <w:pStyle w:val="12"/>
            </w:pPr>
            <w:r>
              <w:t>12.58</w:t>
            </w:r>
          </w:p>
        </w:tc>
        <w:tc>
          <w:tcPr>
            <w:tcW w:w="1134" w:type="dxa"/>
            <w:vAlign w:val="center"/>
          </w:tcPr>
          <w:p>
            <w:pPr>
              <w:pStyle w:val="12"/>
            </w:pPr>
            <w:r>
              <w:t>12.58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6.24</w:t>
            </w:r>
          </w:p>
        </w:tc>
        <w:tc>
          <w:tcPr>
            <w:tcW w:w="1134" w:type="dxa"/>
            <w:vAlign w:val="center"/>
          </w:tcPr>
          <w:p>
            <w:pPr>
              <w:pStyle w:val="12"/>
            </w:pPr>
            <w:r>
              <w:t>6.24</w:t>
            </w:r>
          </w:p>
        </w:tc>
        <w:tc>
          <w:tcPr>
            <w:tcW w:w="1134" w:type="dxa"/>
            <w:vAlign w:val="center"/>
          </w:tcPr>
          <w:p>
            <w:pPr>
              <w:pStyle w:val="12"/>
            </w:pPr>
            <w:r>
              <w:t>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2132.46</w:t>
            </w:r>
          </w:p>
        </w:tc>
        <w:tc>
          <w:tcPr>
            <w:tcW w:w="1361" w:type="dxa"/>
            <w:vAlign w:val="center"/>
          </w:tcPr>
          <w:p>
            <w:pPr>
              <w:pStyle w:val="16"/>
            </w:pPr>
            <w:r>
              <w:t>1238.38</w:t>
            </w:r>
          </w:p>
        </w:tc>
        <w:tc>
          <w:tcPr>
            <w:tcW w:w="1361" w:type="dxa"/>
            <w:vAlign w:val="center"/>
          </w:tcPr>
          <w:p>
            <w:pPr>
              <w:pStyle w:val="16"/>
            </w:pPr>
            <w:r>
              <w:t>894.08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1822.92</w:t>
            </w:r>
          </w:p>
        </w:tc>
        <w:tc>
          <w:tcPr>
            <w:tcW w:w="1361" w:type="dxa"/>
            <w:vAlign w:val="center"/>
          </w:tcPr>
          <w:p>
            <w:pPr>
              <w:pStyle w:val="12"/>
            </w:pPr>
            <w:r>
              <w:t>928.84</w:t>
            </w:r>
          </w:p>
        </w:tc>
        <w:tc>
          <w:tcPr>
            <w:tcW w:w="1361" w:type="dxa"/>
            <w:vAlign w:val="center"/>
          </w:tcPr>
          <w:p>
            <w:pPr>
              <w:pStyle w:val="12"/>
            </w:pPr>
            <w:r>
              <w:t>894.08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1822.92</w:t>
            </w:r>
          </w:p>
        </w:tc>
        <w:tc>
          <w:tcPr>
            <w:tcW w:w="1361" w:type="dxa"/>
            <w:vAlign w:val="center"/>
          </w:tcPr>
          <w:p>
            <w:pPr>
              <w:pStyle w:val="12"/>
            </w:pPr>
            <w:r>
              <w:t>928.84</w:t>
            </w:r>
          </w:p>
        </w:tc>
        <w:tc>
          <w:tcPr>
            <w:tcW w:w="1361" w:type="dxa"/>
            <w:vAlign w:val="center"/>
          </w:tcPr>
          <w:p>
            <w:pPr>
              <w:pStyle w:val="12"/>
            </w:pPr>
            <w:r>
              <w:t>894.08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2011301</w:t>
            </w:r>
          </w:p>
        </w:tc>
        <w:tc>
          <w:tcPr>
            <w:tcW w:w="4535" w:type="dxa"/>
            <w:vAlign w:val="center"/>
          </w:tcPr>
          <w:p>
            <w:pPr>
              <w:pStyle w:val="13"/>
            </w:pPr>
            <w:r>
              <w:t>行政运行</w:t>
            </w:r>
          </w:p>
        </w:tc>
        <w:tc>
          <w:tcPr>
            <w:tcW w:w="1361" w:type="dxa"/>
            <w:vAlign w:val="center"/>
          </w:tcPr>
          <w:p>
            <w:pPr>
              <w:pStyle w:val="12"/>
            </w:pPr>
            <w:r>
              <w:t>750.95</w:t>
            </w:r>
          </w:p>
        </w:tc>
        <w:tc>
          <w:tcPr>
            <w:tcW w:w="1361" w:type="dxa"/>
            <w:vAlign w:val="center"/>
          </w:tcPr>
          <w:p>
            <w:pPr>
              <w:pStyle w:val="12"/>
            </w:pPr>
            <w:r>
              <w:t>750.95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2011302</w:t>
            </w:r>
          </w:p>
        </w:tc>
        <w:tc>
          <w:tcPr>
            <w:tcW w:w="4535" w:type="dxa"/>
            <w:vAlign w:val="center"/>
          </w:tcPr>
          <w:p>
            <w:pPr>
              <w:pStyle w:val="13"/>
            </w:pPr>
            <w:r>
              <w:t>一般行政管理事务</w:t>
            </w:r>
          </w:p>
        </w:tc>
        <w:tc>
          <w:tcPr>
            <w:tcW w:w="1361" w:type="dxa"/>
            <w:vAlign w:val="center"/>
          </w:tcPr>
          <w:p>
            <w:pPr>
              <w:pStyle w:val="12"/>
            </w:pPr>
            <w:r>
              <w:t>29.08</w:t>
            </w:r>
          </w:p>
        </w:tc>
        <w:tc>
          <w:tcPr>
            <w:tcW w:w="1361" w:type="dxa"/>
            <w:vAlign w:val="center"/>
          </w:tcPr>
          <w:p>
            <w:pPr>
              <w:pStyle w:val="12"/>
            </w:pPr>
          </w:p>
        </w:tc>
        <w:tc>
          <w:tcPr>
            <w:tcW w:w="1361" w:type="dxa"/>
            <w:vAlign w:val="center"/>
          </w:tcPr>
          <w:p>
            <w:pPr>
              <w:pStyle w:val="12"/>
            </w:pPr>
            <w:r>
              <w:t>29.08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2011350</w:t>
            </w:r>
          </w:p>
        </w:tc>
        <w:tc>
          <w:tcPr>
            <w:tcW w:w="4535" w:type="dxa"/>
            <w:vAlign w:val="center"/>
          </w:tcPr>
          <w:p>
            <w:pPr>
              <w:pStyle w:val="13"/>
            </w:pPr>
            <w:r>
              <w:t>事业运行</w:t>
            </w:r>
          </w:p>
        </w:tc>
        <w:tc>
          <w:tcPr>
            <w:tcW w:w="1361" w:type="dxa"/>
            <w:vAlign w:val="center"/>
          </w:tcPr>
          <w:p>
            <w:pPr>
              <w:pStyle w:val="12"/>
            </w:pPr>
            <w:r>
              <w:t>177.89</w:t>
            </w:r>
          </w:p>
        </w:tc>
        <w:tc>
          <w:tcPr>
            <w:tcW w:w="1361" w:type="dxa"/>
            <w:vAlign w:val="center"/>
          </w:tcPr>
          <w:p>
            <w:pPr>
              <w:pStyle w:val="12"/>
            </w:pPr>
            <w:r>
              <w:t>177.89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170.64</w:t>
            </w:r>
          </w:p>
        </w:tc>
        <w:tc>
          <w:tcPr>
            <w:tcW w:w="1361" w:type="dxa"/>
            <w:vAlign w:val="center"/>
          </w:tcPr>
          <w:p>
            <w:pPr>
              <w:pStyle w:val="12"/>
            </w:pPr>
            <w:r>
              <w:t>170.64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167.69</w:t>
            </w:r>
          </w:p>
        </w:tc>
        <w:tc>
          <w:tcPr>
            <w:tcW w:w="1361" w:type="dxa"/>
            <w:vAlign w:val="center"/>
          </w:tcPr>
          <w:p>
            <w:pPr>
              <w:pStyle w:val="12"/>
            </w:pPr>
            <w:r>
              <w:t>167.69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71.30</w:t>
            </w:r>
          </w:p>
        </w:tc>
        <w:tc>
          <w:tcPr>
            <w:tcW w:w="1361" w:type="dxa"/>
            <w:vAlign w:val="center"/>
          </w:tcPr>
          <w:p>
            <w:pPr>
              <w:pStyle w:val="12"/>
            </w:pPr>
            <w:r>
              <w:t>71.30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96.39</w:t>
            </w:r>
          </w:p>
        </w:tc>
        <w:tc>
          <w:tcPr>
            <w:tcW w:w="1361" w:type="dxa"/>
            <w:vAlign w:val="center"/>
          </w:tcPr>
          <w:p>
            <w:pPr>
              <w:pStyle w:val="12"/>
            </w:pPr>
            <w:r>
              <w:t>96.39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50.24</w:t>
            </w:r>
          </w:p>
        </w:tc>
        <w:tc>
          <w:tcPr>
            <w:tcW w:w="1361" w:type="dxa"/>
            <w:vAlign w:val="center"/>
          </w:tcPr>
          <w:p>
            <w:pPr>
              <w:pStyle w:val="12"/>
            </w:pPr>
            <w:r>
              <w:t>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50.24</w:t>
            </w:r>
          </w:p>
        </w:tc>
        <w:tc>
          <w:tcPr>
            <w:tcW w:w="1361" w:type="dxa"/>
            <w:vAlign w:val="center"/>
          </w:tcPr>
          <w:p>
            <w:pPr>
              <w:pStyle w:val="12"/>
            </w:pPr>
            <w:r>
              <w:t>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24.80</w:t>
            </w:r>
          </w:p>
        </w:tc>
        <w:tc>
          <w:tcPr>
            <w:tcW w:w="1361" w:type="dxa"/>
            <w:vAlign w:val="center"/>
          </w:tcPr>
          <w:p>
            <w:pPr>
              <w:pStyle w:val="12"/>
            </w:pPr>
            <w:r>
              <w:t>24.80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6.62</w:t>
            </w:r>
          </w:p>
        </w:tc>
        <w:tc>
          <w:tcPr>
            <w:tcW w:w="1361" w:type="dxa"/>
            <w:vAlign w:val="center"/>
          </w:tcPr>
          <w:p>
            <w:pPr>
              <w:pStyle w:val="12"/>
            </w:pPr>
            <w:r>
              <w:t>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12.58</w:t>
            </w:r>
          </w:p>
        </w:tc>
        <w:tc>
          <w:tcPr>
            <w:tcW w:w="1361" w:type="dxa"/>
            <w:vAlign w:val="center"/>
          </w:tcPr>
          <w:p>
            <w:pPr>
              <w:pStyle w:val="12"/>
            </w:pPr>
            <w:r>
              <w:t>12.58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2101199</w:t>
            </w:r>
          </w:p>
        </w:tc>
        <w:tc>
          <w:tcPr>
            <w:tcW w:w="4535" w:type="dxa"/>
            <w:vAlign w:val="center"/>
          </w:tcPr>
          <w:p>
            <w:pPr>
              <w:pStyle w:val="13"/>
            </w:pPr>
            <w:r>
              <w:t>其他行政事业单位医疗支出</w:t>
            </w:r>
          </w:p>
        </w:tc>
        <w:tc>
          <w:tcPr>
            <w:tcW w:w="1361" w:type="dxa"/>
            <w:vAlign w:val="center"/>
          </w:tcPr>
          <w:p>
            <w:pPr>
              <w:pStyle w:val="12"/>
            </w:pPr>
            <w:r>
              <w:t>6.24</w:t>
            </w:r>
          </w:p>
        </w:tc>
        <w:tc>
          <w:tcPr>
            <w:tcW w:w="1361" w:type="dxa"/>
            <w:vAlign w:val="center"/>
          </w:tcPr>
          <w:p>
            <w:pPr>
              <w:pStyle w:val="12"/>
            </w:pPr>
            <w:r>
              <w:t>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2132.46</w:t>
            </w:r>
          </w:p>
        </w:tc>
        <w:tc>
          <w:tcPr>
            <w:tcW w:w="3402" w:type="dxa"/>
            <w:vAlign w:val="center"/>
          </w:tcPr>
          <w:p>
            <w:pPr>
              <w:pStyle w:val="13"/>
            </w:pPr>
            <w:r>
              <w:t>一、一般公共服务支出</w:t>
            </w:r>
          </w:p>
        </w:tc>
        <w:tc>
          <w:tcPr>
            <w:tcW w:w="1474" w:type="dxa"/>
            <w:vAlign w:val="center"/>
          </w:tcPr>
          <w:p>
            <w:pPr>
              <w:pStyle w:val="12"/>
            </w:pPr>
            <w:r>
              <w:t>1822.92</w:t>
            </w:r>
          </w:p>
        </w:tc>
        <w:tc>
          <w:tcPr>
            <w:tcW w:w="1474" w:type="dxa"/>
            <w:vAlign w:val="center"/>
          </w:tcPr>
          <w:p>
            <w:pPr>
              <w:pStyle w:val="12"/>
            </w:pPr>
            <w:r>
              <w:t>1822.92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170.64</w:t>
            </w:r>
          </w:p>
        </w:tc>
        <w:tc>
          <w:tcPr>
            <w:tcW w:w="1474" w:type="dxa"/>
            <w:vAlign w:val="center"/>
          </w:tcPr>
          <w:p>
            <w:pPr>
              <w:pStyle w:val="12"/>
            </w:pPr>
            <w:r>
              <w:t>170.64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50.24</w:t>
            </w:r>
          </w:p>
        </w:tc>
        <w:tc>
          <w:tcPr>
            <w:tcW w:w="1474" w:type="dxa"/>
            <w:vAlign w:val="center"/>
          </w:tcPr>
          <w:p>
            <w:pPr>
              <w:pStyle w:val="12"/>
            </w:pPr>
            <w:r>
              <w:t>50.24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88.66</w:t>
            </w:r>
          </w:p>
        </w:tc>
        <w:tc>
          <w:tcPr>
            <w:tcW w:w="1474" w:type="dxa"/>
            <w:vAlign w:val="center"/>
          </w:tcPr>
          <w:p>
            <w:pPr>
              <w:pStyle w:val="12"/>
            </w:pPr>
            <w:r>
              <w:t>88.66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2132.46</w:t>
            </w:r>
          </w:p>
        </w:tc>
        <w:tc>
          <w:tcPr>
            <w:tcW w:w="3402" w:type="dxa"/>
            <w:vAlign w:val="center"/>
          </w:tcPr>
          <w:p>
            <w:pPr>
              <w:pStyle w:val="15"/>
            </w:pPr>
            <w:r>
              <w:t>本年支出合计</w:t>
            </w:r>
          </w:p>
        </w:tc>
        <w:tc>
          <w:tcPr>
            <w:tcW w:w="1474" w:type="dxa"/>
            <w:vAlign w:val="center"/>
          </w:tcPr>
          <w:p>
            <w:pPr>
              <w:pStyle w:val="16"/>
            </w:pPr>
            <w:r>
              <w:t>2132.46</w:t>
            </w:r>
          </w:p>
        </w:tc>
        <w:tc>
          <w:tcPr>
            <w:tcW w:w="1474" w:type="dxa"/>
            <w:vAlign w:val="center"/>
          </w:tcPr>
          <w:p>
            <w:pPr>
              <w:pStyle w:val="16"/>
            </w:pPr>
            <w:r>
              <w:t>2132.46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2132.46</w:t>
            </w:r>
          </w:p>
        </w:tc>
        <w:tc>
          <w:tcPr>
            <w:tcW w:w="3402" w:type="dxa"/>
            <w:vAlign w:val="center"/>
          </w:tcPr>
          <w:p>
            <w:pPr>
              <w:pStyle w:val="15"/>
            </w:pPr>
            <w:r>
              <w:t>支出总计</w:t>
            </w:r>
          </w:p>
        </w:tc>
        <w:tc>
          <w:tcPr>
            <w:tcW w:w="1474" w:type="dxa"/>
            <w:vAlign w:val="center"/>
          </w:tcPr>
          <w:p>
            <w:pPr>
              <w:pStyle w:val="16"/>
            </w:pPr>
            <w:r>
              <w:t>2132.46</w:t>
            </w:r>
          </w:p>
        </w:tc>
        <w:tc>
          <w:tcPr>
            <w:tcW w:w="1474" w:type="dxa"/>
            <w:vAlign w:val="center"/>
          </w:tcPr>
          <w:p>
            <w:pPr>
              <w:pStyle w:val="16"/>
            </w:pPr>
            <w:r>
              <w:t>2132.46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2132.46</w:t>
            </w:r>
          </w:p>
        </w:tc>
        <w:tc>
          <w:tcPr>
            <w:tcW w:w="2551" w:type="dxa"/>
            <w:vAlign w:val="center"/>
          </w:tcPr>
          <w:p>
            <w:pPr>
              <w:pStyle w:val="16"/>
            </w:pPr>
            <w:r>
              <w:t>1238.38</w:t>
            </w:r>
          </w:p>
        </w:tc>
        <w:tc>
          <w:tcPr>
            <w:tcW w:w="2551" w:type="dxa"/>
            <w:vAlign w:val="center"/>
          </w:tcPr>
          <w:p>
            <w:pPr>
              <w:pStyle w:val="16"/>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1822.92</w:t>
            </w:r>
          </w:p>
        </w:tc>
        <w:tc>
          <w:tcPr>
            <w:tcW w:w="2551" w:type="dxa"/>
            <w:vAlign w:val="center"/>
          </w:tcPr>
          <w:p>
            <w:pPr>
              <w:pStyle w:val="12"/>
            </w:pPr>
            <w:r>
              <w:t>928.84</w:t>
            </w:r>
          </w:p>
        </w:tc>
        <w:tc>
          <w:tcPr>
            <w:tcW w:w="2551" w:type="dxa"/>
            <w:vAlign w:val="center"/>
          </w:tcPr>
          <w:p>
            <w:pPr>
              <w:pStyle w:val="12"/>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1822.92</w:t>
            </w:r>
          </w:p>
        </w:tc>
        <w:tc>
          <w:tcPr>
            <w:tcW w:w="2551" w:type="dxa"/>
            <w:vAlign w:val="center"/>
          </w:tcPr>
          <w:p>
            <w:pPr>
              <w:pStyle w:val="12"/>
            </w:pPr>
            <w:r>
              <w:t>928.84</w:t>
            </w:r>
          </w:p>
        </w:tc>
        <w:tc>
          <w:tcPr>
            <w:tcW w:w="2551" w:type="dxa"/>
            <w:vAlign w:val="center"/>
          </w:tcPr>
          <w:p>
            <w:pPr>
              <w:pStyle w:val="12"/>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2011301</w:t>
            </w:r>
          </w:p>
        </w:tc>
        <w:tc>
          <w:tcPr>
            <w:tcW w:w="4535" w:type="dxa"/>
            <w:vAlign w:val="center"/>
          </w:tcPr>
          <w:p>
            <w:pPr>
              <w:pStyle w:val="13"/>
            </w:pPr>
            <w:r>
              <w:t>行政运行</w:t>
            </w:r>
          </w:p>
        </w:tc>
        <w:tc>
          <w:tcPr>
            <w:tcW w:w="2551" w:type="dxa"/>
            <w:vAlign w:val="center"/>
          </w:tcPr>
          <w:p>
            <w:pPr>
              <w:pStyle w:val="12"/>
            </w:pPr>
            <w:r>
              <w:t>750.95</w:t>
            </w:r>
          </w:p>
        </w:tc>
        <w:tc>
          <w:tcPr>
            <w:tcW w:w="2551" w:type="dxa"/>
            <w:vAlign w:val="center"/>
          </w:tcPr>
          <w:p>
            <w:pPr>
              <w:pStyle w:val="12"/>
            </w:pPr>
            <w:r>
              <w:t>750.95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2011302</w:t>
            </w:r>
          </w:p>
        </w:tc>
        <w:tc>
          <w:tcPr>
            <w:tcW w:w="4535" w:type="dxa"/>
            <w:vAlign w:val="center"/>
          </w:tcPr>
          <w:p>
            <w:pPr>
              <w:pStyle w:val="13"/>
            </w:pPr>
            <w:r>
              <w:t>一般行政管理事务</w:t>
            </w:r>
          </w:p>
        </w:tc>
        <w:tc>
          <w:tcPr>
            <w:tcW w:w="2551" w:type="dxa"/>
            <w:vAlign w:val="center"/>
          </w:tcPr>
          <w:p>
            <w:pPr>
              <w:pStyle w:val="12"/>
            </w:pPr>
            <w:r>
              <w:t>29.08</w:t>
            </w:r>
          </w:p>
        </w:tc>
        <w:tc>
          <w:tcPr>
            <w:tcW w:w="2551" w:type="dxa"/>
            <w:vAlign w:val="center"/>
          </w:tcPr>
          <w:p>
            <w:pPr>
              <w:pStyle w:val="12"/>
            </w:pPr>
          </w:p>
        </w:tc>
        <w:tc>
          <w:tcPr>
            <w:tcW w:w="2551" w:type="dxa"/>
            <w:vAlign w:val="center"/>
          </w:tcPr>
          <w:p>
            <w:pPr>
              <w:pStyle w:val="12"/>
            </w:pPr>
            <w:r>
              <w:t>29.08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865.00</w:t>
            </w:r>
          </w:p>
        </w:tc>
        <w:tc>
          <w:tcPr>
            <w:tcW w:w="2551" w:type="dxa"/>
            <w:vAlign w:val="center"/>
          </w:tcPr>
          <w:p>
            <w:pPr>
              <w:pStyle w:val="12"/>
            </w:pPr>
          </w:p>
        </w:tc>
        <w:tc>
          <w:tcPr>
            <w:tcW w:w="2551" w:type="dxa"/>
            <w:vAlign w:val="center"/>
          </w:tcPr>
          <w:p>
            <w:pPr>
              <w:pStyle w:val="12"/>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2011350</w:t>
            </w:r>
          </w:p>
        </w:tc>
        <w:tc>
          <w:tcPr>
            <w:tcW w:w="4535" w:type="dxa"/>
            <w:vAlign w:val="center"/>
          </w:tcPr>
          <w:p>
            <w:pPr>
              <w:pStyle w:val="13"/>
            </w:pPr>
            <w:r>
              <w:t>事业运行</w:t>
            </w:r>
          </w:p>
        </w:tc>
        <w:tc>
          <w:tcPr>
            <w:tcW w:w="2551" w:type="dxa"/>
            <w:vAlign w:val="center"/>
          </w:tcPr>
          <w:p>
            <w:pPr>
              <w:pStyle w:val="12"/>
            </w:pPr>
            <w:r>
              <w:t>177.89</w:t>
            </w:r>
          </w:p>
        </w:tc>
        <w:tc>
          <w:tcPr>
            <w:tcW w:w="2551" w:type="dxa"/>
            <w:vAlign w:val="center"/>
          </w:tcPr>
          <w:p>
            <w:pPr>
              <w:pStyle w:val="12"/>
            </w:pPr>
            <w:r>
              <w:t>177.89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170.64</w:t>
            </w:r>
          </w:p>
        </w:tc>
        <w:tc>
          <w:tcPr>
            <w:tcW w:w="2551" w:type="dxa"/>
            <w:vAlign w:val="center"/>
          </w:tcPr>
          <w:p>
            <w:pPr>
              <w:pStyle w:val="12"/>
            </w:pPr>
            <w:r>
              <w:t>170.64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167.69</w:t>
            </w:r>
          </w:p>
        </w:tc>
        <w:tc>
          <w:tcPr>
            <w:tcW w:w="2551" w:type="dxa"/>
            <w:vAlign w:val="center"/>
          </w:tcPr>
          <w:p>
            <w:pPr>
              <w:pStyle w:val="12"/>
            </w:pPr>
            <w:r>
              <w:t>167.69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71.30</w:t>
            </w:r>
          </w:p>
        </w:tc>
        <w:tc>
          <w:tcPr>
            <w:tcW w:w="2551" w:type="dxa"/>
            <w:vAlign w:val="center"/>
          </w:tcPr>
          <w:p>
            <w:pPr>
              <w:pStyle w:val="12"/>
            </w:pPr>
            <w:r>
              <w:t>71.30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96.39</w:t>
            </w:r>
          </w:p>
        </w:tc>
        <w:tc>
          <w:tcPr>
            <w:tcW w:w="2551" w:type="dxa"/>
            <w:vAlign w:val="center"/>
          </w:tcPr>
          <w:p>
            <w:pPr>
              <w:pStyle w:val="12"/>
            </w:pPr>
            <w:r>
              <w:t>96.39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50.24</w:t>
            </w:r>
          </w:p>
        </w:tc>
        <w:tc>
          <w:tcPr>
            <w:tcW w:w="2551" w:type="dxa"/>
            <w:vAlign w:val="center"/>
          </w:tcPr>
          <w:p>
            <w:pPr>
              <w:pStyle w:val="12"/>
            </w:pPr>
            <w:r>
              <w:t>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50.24</w:t>
            </w:r>
          </w:p>
        </w:tc>
        <w:tc>
          <w:tcPr>
            <w:tcW w:w="2551" w:type="dxa"/>
            <w:vAlign w:val="center"/>
          </w:tcPr>
          <w:p>
            <w:pPr>
              <w:pStyle w:val="12"/>
            </w:pPr>
            <w:r>
              <w:t>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6.62</w:t>
            </w:r>
          </w:p>
        </w:tc>
        <w:tc>
          <w:tcPr>
            <w:tcW w:w="2551" w:type="dxa"/>
            <w:vAlign w:val="center"/>
          </w:tcPr>
          <w:p>
            <w:pPr>
              <w:pStyle w:val="12"/>
            </w:pPr>
            <w:r>
              <w:t>6.62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12.58</w:t>
            </w:r>
          </w:p>
        </w:tc>
        <w:tc>
          <w:tcPr>
            <w:tcW w:w="2551" w:type="dxa"/>
            <w:vAlign w:val="center"/>
          </w:tcPr>
          <w:p>
            <w:pPr>
              <w:pStyle w:val="12"/>
            </w:pPr>
            <w:r>
              <w:t>12.58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6.24</w:t>
            </w:r>
          </w:p>
        </w:tc>
        <w:tc>
          <w:tcPr>
            <w:tcW w:w="2551" w:type="dxa"/>
            <w:vAlign w:val="center"/>
          </w:tcPr>
          <w:p>
            <w:pPr>
              <w:pStyle w:val="12"/>
            </w:pPr>
            <w:r>
              <w:t>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1238.38</w:t>
            </w:r>
          </w:p>
        </w:tc>
        <w:tc>
          <w:tcPr>
            <w:tcW w:w="2551" w:type="dxa"/>
            <w:vAlign w:val="center"/>
          </w:tcPr>
          <w:p>
            <w:pPr>
              <w:pStyle w:val="16"/>
            </w:pPr>
            <w:r>
              <w:t>1124.97</w:t>
            </w:r>
          </w:p>
        </w:tc>
        <w:tc>
          <w:tcPr>
            <w:tcW w:w="2551" w:type="dxa"/>
            <w:vAlign w:val="center"/>
          </w:tcPr>
          <w:p>
            <w:pPr>
              <w:pStyle w:val="16"/>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1001.81</w:t>
            </w:r>
          </w:p>
        </w:tc>
        <w:tc>
          <w:tcPr>
            <w:tcW w:w="2551" w:type="dxa"/>
            <w:vAlign w:val="center"/>
          </w:tcPr>
          <w:p>
            <w:pPr>
              <w:pStyle w:val="12"/>
            </w:pPr>
            <w:r>
              <w:t>1001.81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260.62</w:t>
            </w:r>
          </w:p>
        </w:tc>
        <w:tc>
          <w:tcPr>
            <w:tcW w:w="2551" w:type="dxa"/>
            <w:vAlign w:val="center"/>
          </w:tcPr>
          <w:p>
            <w:pPr>
              <w:pStyle w:val="12"/>
            </w:pPr>
            <w:r>
              <w:t>260.62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185.63</w:t>
            </w:r>
          </w:p>
        </w:tc>
        <w:tc>
          <w:tcPr>
            <w:tcW w:w="2551" w:type="dxa"/>
            <w:vAlign w:val="center"/>
          </w:tcPr>
          <w:p>
            <w:pPr>
              <w:pStyle w:val="12"/>
            </w:pPr>
            <w:r>
              <w:t>185.63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191.70</w:t>
            </w:r>
          </w:p>
        </w:tc>
        <w:tc>
          <w:tcPr>
            <w:tcW w:w="2551" w:type="dxa"/>
            <w:vAlign w:val="center"/>
          </w:tcPr>
          <w:p>
            <w:pPr>
              <w:pStyle w:val="12"/>
            </w:pPr>
            <w:r>
              <w:t>191.70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99.09</w:t>
            </w:r>
          </w:p>
        </w:tc>
        <w:tc>
          <w:tcPr>
            <w:tcW w:w="2551" w:type="dxa"/>
            <w:vAlign w:val="center"/>
          </w:tcPr>
          <w:p>
            <w:pPr>
              <w:pStyle w:val="12"/>
            </w:pPr>
            <w:r>
              <w:t>99.09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96.39</w:t>
            </w:r>
          </w:p>
        </w:tc>
        <w:tc>
          <w:tcPr>
            <w:tcW w:w="2551" w:type="dxa"/>
            <w:vAlign w:val="center"/>
          </w:tcPr>
          <w:p>
            <w:pPr>
              <w:pStyle w:val="12"/>
            </w:pPr>
            <w:r>
              <w:t>96.39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31.42</w:t>
            </w:r>
          </w:p>
        </w:tc>
        <w:tc>
          <w:tcPr>
            <w:tcW w:w="2551" w:type="dxa"/>
            <w:vAlign w:val="center"/>
          </w:tcPr>
          <w:p>
            <w:pPr>
              <w:pStyle w:val="12"/>
            </w:pPr>
            <w:r>
              <w:t>31.42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12.58</w:t>
            </w:r>
          </w:p>
        </w:tc>
        <w:tc>
          <w:tcPr>
            <w:tcW w:w="2551" w:type="dxa"/>
            <w:vAlign w:val="center"/>
          </w:tcPr>
          <w:p>
            <w:pPr>
              <w:pStyle w:val="12"/>
            </w:pPr>
            <w:r>
              <w:t>12.58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9.19</w:t>
            </w:r>
          </w:p>
        </w:tc>
        <w:tc>
          <w:tcPr>
            <w:tcW w:w="2551" w:type="dxa"/>
            <w:vAlign w:val="center"/>
          </w:tcPr>
          <w:p>
            <w:pPr>
              <w:pStyle w:val="12"/>
            </w:pPr>
            <w:r>
              <w:t>9.19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26.53</w:t>
            </w:r>
          </w:p>
        </w:tc>
        <w:tc>
          <w:tcPr>
            <w:tcW w:w="2551" w:type="dxa"/>
            <w:vAlign w:val="center"/>
          </w:tcPr>
          <w:p>
            <w:pPr>
              <w:pStyle w:val="12"/>
            </w:pPr>
            <w:r>
              <w:t>26.53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113.41</w:t>
            </w:r>
          </w:p>
        </w:tc>
        <w:tc>
          <w:tcPr>
            <w:tcW w:w="2551" w:type="dxa"/>
            <w:vAlign w:val="center"/>
          </w:tcPr>
          <w:p>
            <w:pPr>
              <w:pStyle w:val="12"/>
            </w:pPr>
          </w:p>
        </w:tc>
        <w:tc>
          <w:tcPr>
            <w:tcW w:w="2551" w:type="dxa"/>
            <w:vAlign w:val="center"/>
          </w:tcPr>
          <w:p>
            <w:pPr>
              <w:pStyle w:val="12"/>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11.90</w:t>
            </w:r>
          </w:p>
        </w:tc>
        <w:tc>
          <w:tcPr>
            <w:tcW w:w="2551" w:type="dxa"/>
            <w:vAlign w:val="center"/>
          </w:tcPr>
          <w:p>
            <w:pPr>
              <w:pStyle w:val="12"/>
            </w:pPr>
          </w:p>
        </w:tc>
        <w:tc>
          <w:tcPr>
            <w:tcW w:w="2551" w:type="dxa"/>
            <w:vAlign w:val="center"/>
          </w:tcPr>
          <w:p>
            <w:pPr>
              <w:pStyle w:val="12"/>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28.60</w:t>
            </w:r>
          </w:p>
        </w:tc>
        <w:tc>
          <w:tcPr>
            <w:tcW w:w="2551" w:type="dxa"/>
            <w:vAlign w:val="center"/>
          </w:tcPr>
          <w:p>
            <w:pPr>
              <w:pStyle w:val="12"/>
            </w:pPr>
          </w:p>
        </w:tc>
        <w:tc>
          <w:tcPr>
            <w:tcW w:w="2551" w:type="dxa"/>
            <w:vAlign w:val="center"/>
          </w:tcPr>
          <w:p>
            <w:pPr>
              <w:pStyle w:val="12"/>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12.80</w:t>
            </w:r>
          </w:p>
        </w:tc>
        <w:tc>
          <w:tcPr>
            <w:tcW w:w="2551" w:type="dxa"/>
            <w:vAlign w:val="center"/>
          </w:tcPr>
          <w:p>
            <w:pPr>
              <w:pStyle w:val="12"/>
            </w:pPr>
          </w:p>
        </w:tc>
        <w:tc>
          <w:tcPr>
            <w:tcW w:w="2551" w:type="dxa"/>
            <w:vAlign w:val="center"/>
          </w:tcPr>
          <w:p>
            <w:pPr>
              <w:pStyle w:val="12"/>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9.08</w:t>
            </w:r>
          </w:p>
        </w:tc>
        <w:tc>
          <w:tcPr>
            <w:tcW w:w="2551" w:type="dxa"/>
            <w:vAlign w:val="center"/>
          </w:tcPr>
          <w:p>
            <w:pPr>
              <w:pStyle w:val="12"/>
            </w:pPr>
          </w:p>
        </w:tc>
        <w:tc>
          <w:tcPr>
            <w:tcW w:w="2551" w:type="dxa"/>
            <w:vAlign w:val="center"/>
          </w:tcPr>
          <w:p>
            <w:pPr>
              <w:pStyle w:val="12"/>
            </w:pPr>
            <w:r>
              <w:t>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w:t>
            </w:r>
          </w:p>
        </w:tc>
        <w:tc>
          <w:tcPr>
            <w:tcW w:w="2551" w:type="dxa"/>
            <w:vAlign w:val="center"/>
          </w:tcPr>
          <w:p>
            <w:pPr>
              <w:pStyle w:val="12"/>
            </w:pPr>
          </w:p>
        </w:tc>
        <w:tc>
          <w:tcPr>
            <w:tcW w:w="2551" w:type="dxa"/>
            <w:vAlign w:val="center"/>
          </w:tcPr>
          <w:p>
            <w:pPr>
              <w:pStyle w:val="12"/>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32.30</w:t>
            </w:r>
          </w:p>
        </w:tc>
        <w:tc>
          <w:tcPr>
            <w:tcW w:w="2551" w:type="dxa"/>
            <w:vAlign w:val="center"/>
          </w:tcPr>
          <w:p>
            <w:pPr>
              <w:pStyle w:val="12"/>
            </w:pPr>
          </w:p>
        </w:tc>
        <w:tc>
          <w:tcPr>
            <w:tcW w:w="2551" w:type="dxa"/>
            <w:vAlign w:val="center"/>
          </w:tcPr>
          <w:p>
            <w:pPr>
              <w:pStyle w:val="12"/>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10.77</w:t>
            </w:r>
          </w:p>
        </w:tc>
        <w:tc>
          <w:tcPr>
            <w:tcW w:w="2551" w:type="dxa"/>
            <w:vAlign w:val="center"/>
          </w:tcPr>
          <w:p>
            <w:pPr>
              <w:pStyle w:val="12"/>
            </w:pPr>
          </w:p>
        </w:tc>
        <w:tc>
          <w:tcPr>
            <w:tcW w:w="2551" w:type="dxa"/>
            <w:vAlign w:val="center"/>
          </w:tcPr>
          <w:p>
            <w:pPr>
              <w:pStyle w:val="12"/>
            </w:pPr>
            <w:r>
              <w:t>10.77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123.16</w:t>
            </w:r>
          </w:p>
        </w:tc>
        <w:tc>
          <w:tcPr>
            <w:tcW w:w="2551" w:type="dxa"/>
            <w:vAlign w:val="center"/>
          </w:tcPr>
          <w:p>
            <w:pPr>
              <w:pStyle w:val="12"/>
            </w:pPr>
            <w:r>
              <w:t>123.16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71.30</w:t>
            </w:r>
          </w:p>
        </w:tc>
        <w:tc>
          <w:tcPr>
            <w:tcW w:w="2551" w:type="dxa"/>
            <w:vAlign w:val="center"/>
          </w:tcPr>
          <w:p>
            <w:pPr>
              <w:pStyle w:val="12"/>
            </w:pPr>
            <w:r>
              <w:t>71.30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1.86</w:t>
            </w:r>
          </w:p>
        </w:tc>
        <w:tc>
          <w:tcPr>
            <w:tcW w:w="2551" w:type="dxa"/>
            <w:vAlign w:val="center"/>
          </w:tcPr>
          <w:p>
            <w:pPr>
              <w:pStyle w:val="12"/>
            </w:pPr>
            <w:r>
              <w:t>1.86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4.64</w:t>
            </w:r>
          </w:p>
        </w:tc>
        <w:tc>
          <w:tcPr>
            <w:tcW w:w="2381" w:type="dxa"/>
            <w:vAlign w:val="center"/>
          </w:tcPr>
          <w:p>
            <w:pPr>
              <w:pStyle w:val="16"/>
            </w:pPr>
            <w:r>
              <w:t>4.64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3.88</w:t>
            </w:r>
          </w:p>
        </w:tc>
        <w:tc>
          <w:tcPr>
            <w:tcW w:w="2381" w:type="dxa"/>
            <w:vAlign w:val="center"/>
          </w:tcPr>
          <w:p>
            <w:pPr>
              <w:pStyle w:val="12"/>
            </w:pPr>
            <w:r>
              <w:t>3.88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3.88</w:t>
            </w:r>
          </w:p>
        </w:tc>
        <w:tc>
          <w:tcPr>
            <w:tcW w:w="2381" w:type="dxa"/>
            <w:vAlign w:val="center"/>
          </w:tcPr>
          <w:p>
            <w:pPr>
              <w:pStyle w:val="12"/>
            </w:pPr>
            <w:r>
              <w:t>3.88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0.76</w:t>
            </w:r>
          </w:p>
        </w:tc>
        <w:tc>
          <w:tcPr>
            <w:tcW w:w="2381" w:type="dxa"/>
            <w:vAlign w:val="center"/>
          </w:tcPr>
          <w:p>
            <w:pPr>
              <w:pStyle w:val="12"/>
            </w:pPr>
            <w:r>
              <w:t>0.76</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石家庄市投资促进局2026年部门预算信息公开情况说明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石家庄市投资促进局2026年部门预算信息公开情况说明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按照《中华人民共和国预算法》、《地方预决算公开操作规程》和《关于进一步推进预算公开工作的实施意见》规定，现将石家庄市投资促进局2026年部门预算公开如下：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（一）负责拟订招商引资、利用外资、区域协作、开发区管理中长期发展规划、年度计划并组织实施；研究拟订投资促进政策，组织起草投资促进方面地方性法规、政府规章草案。</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（二）负责建立投资促进工作体系、工作机制，对利用国内外资金和经济技术合作、开发区发展情况进行统计、汇总、分析。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（三）负责促进资金、技术、人才、项目引进和产业对接，争取招商引资相关政策、资金和项目支持。</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（五）负责国（境）内外重大投资促进活动的谋划、方案制定和组织实施；牵头组织专业性、行业性投资促进活动；指导协调各县(市、区)和各级各类开发区(园区）开展招商活动。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（七）负责对国（境）内外重要客户的联络拓展、重要团组和客户来访考察、洽谈的组织。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（八）组织和促进委托招商、代理招商、中介招商、专业招商、网上招商等多种形式的招商活动，制订并落实奖励政策；加强招商引资专业人才队伍建设。</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（九）负责引进央企资金、项目及各项合作，促进合作项目的建设，负责为央企服务工作；负责外商投资项目建设的跟踪、协调和服务工作，负责引进资金到位统计工作。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负责指导全市经济技术交流与区域经济技术合作工作；负责区域间资金、项目、人才、科研成果及产业合作工作，开展与省外重点大专院校、科研院所合作；负责市所、市校科研合作开发资金的监督管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负责经济开发区（园区）管理工作，负责经济开发区（园区）建立、升级、扩区工作，指导经济开发区（园区）建设、招商引资和体制、机制创新，负责对经济开发区(园区）招商引资工作的调度和绩效评估、考核认定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（十二）完成市委、市政府交办的其他任务。</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三）有关职责分工。与市市场监督管理局的有关职责分工。市投促局负责指导外商投资项目核准和备案工作，指导、监督、检查外商投资企业设立及变更的备案工作。市市场监督管理局负责外商投资企业注册登记、监督管理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石家庄市投资促进局本级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石家庄市投资促进服务中心（石家庄市外商投资企业投诉服务中心）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按照预算管理有关规定，目前我市部门预算的编制实行综合预算管理，即全部收入和支出都反映在预算中。石家</w:t>
      </w:r>
      <w:r>
        <w:rPr>
          <w:rFonts w:hint="eastAsia" w:ascii="Times New Roman" w:hAnsi="Times New Roman" w:eastAsia="方正仿宋_GBK" w:cs="Times New Roman"/>
          <w:color w:val="000000"/>
          <w:sz w:val="28"/>
          <w:lang w:eastAsia="zh-CN"/>
        </w:rPr>
        <w:t>庄</w:t>
      </w:r>
      <w:r>
        <w:rPr>
          <w:rFonts w:hint="eastAsia" w:ascii="Times New Roman" w:hAnsi="Times New Roman" w:eastAsia="方正仿宋_GBK" w:cs="Times New Roman"/>
          <w:color w:val="000000"/>
          <w:sz w:val="28"/>
        </w:rPr>
        <w:t>市投资促进局局机关及所属事业单位的收支包含在部门预算中。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年预算收入2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万元，其中：一般公共预算收入2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万元，基金预算收入0万元，国有资本经营预算收入0万元，财政专户核拨收入0万元，其他来源收入0万元。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收支预算总表支出栏、基本支出表、项目支出表按经济分类和支出功能分类科目编制，反映石家庄市投资促进局年度部门预算中支出预算的总体情况。202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年部门支出预算为2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1238.38</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1124.97</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113.41</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894.08</w:t>
      </w:r>
      <w:r>
        <w:rPr>
          <w:rFonts w:hint="eastAsia" w:ascii="Times New Roman" w:hAnsi="Times New Roman" w:eastAsia="方正仿宋_GBK" w:cs="Times New Roman"/>
          <w:color w:val="000000"/>
          <w:sz w:val="28"/>
        </w:rPr>
        <w:t>万元，主要为：招商引资经费</w:t>
      </w:r>
      <w:r>
        <w:rPr>
          <w:rFonts w:hint="eastAsia" w:ascii="Times New Roman" w:hAnsi="Times New Roman" w:eastAsia="方正仿宋_GBK" w:cs="Times New Roman"/>
          <w:color w:val="000000"/>
          <w:sz w:val="28"/>
          <w:lang w:val="en-US" w:eastAsia="zh-CN"/>
        </w:rPr>
        <w:t>865</w:t>
      </w:r>
      <w:r>
        <w:rPr>
          <w:rFonts w:hint="eastAsia" w:ascii="Times New Roman" w:hAnsi="Times New Roman" w:eastAsia="方正仿宋_GBK" w:cs="Times New Roman"/>
          <w:color w:val="000000"/>
          <w:sz w:val="28"/>
        </w:rPr>
        <w:t>万元；开发区管理经费</w:t>
      </w:r>
      <w:r>
        <w:rPr>
          <w:rFonts w:hint="eastAsia" w:ascii="Times New Roman" w:hAnsi="Times New Roman" w:eastAsia="方正仿宋_GBK" w:cs="Times New Roman"/>
          <w:color w:val="000000"/>
          <w:sz w:val="28"/>
          <w:lang w:val="en-US" w:eastAsia="zh-CN"/>
        </w:rPr>
        <w:t>7</w:t>
      </w:r>
      <w:r>
        <w:rPr>
          <w:rFonts w:hint="eastAsia" w:ascii="Times New Roman" w:hAnsi="Times New Roman" w:eastAsia="方正仿宋_GBK" w:cs="Times New Roman"/>
          <w:color w:val="000000"/>
          <w:sz w:val="28"/>
        </w:rPr>
        <w:t xml:space="preserve"> 万元；党组织活动经费</w:t>
      </w:r>
      <w:r>
        <w:rPr>
          <w:rFonts w:hint="eastAsia" w:ascii="Times New Roman" w:hAnsi="Times New Roman" w:eastAsia="方正仿宋_GBK" w:cs="Times New Roman"/>
          <w:color w:val="000000"/>
          <w:sz w:val="28"/>
          <w:lang w:val="en-US" w:eastAsia="zh-CN"/>
        </w:rPr>
        <w:t>3.79</w:t>
      </w:r>
      <w:r>
        <w:rPr>
          <w:rFonts w:hint="eastAsia" w:ascii="Times New Roman" w:hAnsi="Times New Roman" w:eastAsia="方正仿宋_GBK" w:cs="Times New Roman"/>
          <w:color w:val="000000"/>
          <w:sz w:val="28"/>
        </w:rPr>
        <w:t xml:space="preserve"> 万元；法律顾问经费</w:t>
      </w:r>
      <w:r>
        <w:rPr>
          <w:rFonts w:hint="eastAsia" w:ascii="Times New Roman" w:hAnsi="Times New Roman" w:eastAsia="方正仿宋_GBK" w:cs="Times New Roman"/>
          <w:color w:val="000000"/>
          <w:sz w:val="28"/>
          <w:lang w:val="en-US" w:eastAsia="zh-CN"/>
        </w:rPr>
        <w:t>2.7</w:t>
      </w:r>
      <w:r>
        <w:rPr>
          <w:rFonts w:hint="eastAsia" w:ascii="Times New Roman" w:hAnsi="Times New Roman" w:eastAsia="方正仿宋_GBK" w:cs="Times New Roman"/>
          <w:color w:val="000000"/>
          <w:sz w:val="28"/>
        </w:rPr>
        <w:t>万元；文件资料印刷费</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万元；业务培训费</w:t>
      </w:r>
      <w:r>
        <w:rPr>
          <w:rFonts w:hint="eastAsia" w:ascii="Times New Roman" w:hAnsi="Times New Roman" w:eastAsia="方正仿宋_GBK" w:cs="Times New Roman"/>
          <w:color w:val="000000"/>
          <w:sz w:val="28"/>
          <w:lang w:val="en-US" w:eastAsia="zh-CN"/>
        </w:rPr>
        <w:t>6.78</w:t>
      </w:r>
      <w:r>
        <w:rPr>
          <w:rFonts w:hint="eastAsia" w:ascii="Times New Roman" w:hAnsi="Times New Roman" w:eastAsia="方正仿宋_GBK" w:cs="Times New Roman"/>
          <w:color w:val="000000"/>
          <w:sz w:val="28"/>
        </w:rPr>
        <w:t>万元；办公设备购置</w:t>
      </w:r>
      <w:r>
        <w:rPr>
          <w:rFonts w:hint="eastAsia" w:ascii="Times New Roman" w:hAnsi="Times New Roman" w:eastAsia="方正仿宋_GBK" w:cs="Times New Roman"/>
          <w:color w:val="000000"/>
          <w:sz w:val="28"/>
          <w:lang w:val="en-US" w:eastAsia="zh-CN"/>
        </w:rPr>
        <w:t>2.21</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委托业务</w:t>
      </w:r>
      <w:r>
        <w:rPr>
          <w:rFonts w:hint="eastAsia" w:ascii="Times New Roman" w:hAnsi="Times New Roman" w:eastAsia="方正仿宋_GBK" w:cs="Times New Roman"/>
          <w:color w:val="000000"/>
          <w:sz w:val="28"/>
        </w:rPr>
        <w:t>费</w:t>
      </w:r>
      <w:r>
        <w:rPr>
          <w:rFonts w:hint="eastAsia" w:ascii="Times New Roman" w:hAnsi="Times New Roman" w:eastAsia="方正仿宋_GBK" w:cs="Times New Roman"/>
          <w:color w:val="000000"/>
          <w:sz w:val="28"/>
          <w:lang w:val="en-US" w:eastAsia="zh-CN"/>
        </w:rPr>
        <w:t>4.6</w:t>
      </w:r>
      <w:r>
        <w:rPr>
          <w:rFonts w:hint="eastAsia" w:ascii="Times New Roman" w:hAnsi="Times New Roman" w:eastAsia="方正仿宋_GBK" w:cs="Times New Roman"/>
          <w:color w:val="000000"/>
          <w:sz w:val="28"/>
        </w:rPr>
        <w:t>万元；其他支出0 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pPr>
        <w:spacing w:before="0" w:after="0" w:line="500" w:lineRule="exact"/>
        <w:ind w:firstLine="560"/>
        <w:jc w:val="left"/>
        <w:outlineLvl w:val="9"/>
        <w:rPr>
          <w:rFonts w:hint="eastAsia" w:ascii="MicrosoftYaHei" w:hAnsi="MicrosoftYaHei" w:eastAsia="MicrosoftYaHei"/>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年部门预算收支安排2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122.65</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74.49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人员</w:t>
      </w:r>
      <w:r>
        <w:rPr>
          <w:rFonts w:hint="eastAsia" w:ascii="Times New Roman" w:hAnsi="Times New Roman" w:eastAsia="方正仿宋_GBK" w:cs="Times New Roman"/>
          <w:color w:val="000000"/>
          <w:sz w:val="28"/>
        </w:rPr>
        <w:t>经费增加</w:t>
      </w:r>
      <w:r>
        <w:rPr>
          <w:rFonts w:hint="eastAsia" w:ascii="Times New Roman" w:hAnsi="Times New Roman" w:eastAsia="方正仿宋_GBK" w:cs="Times New Roman"/>
          <w:color w:val="000000"/>
          <w:sz w:val="28"/>
          <w:lang w:val="en-US" w:eastAsia="zh-CN"/>
        </w:rPr>
        <w:t>80.1</w:t>
      </w:r>
      <w:r>
        <w:rPr>
          <w:rFonts w:hint="eastAsia" w:ascii="Times New Roman" w:hAnsi="Times New Roman" w:eastAsia="方正仿宋_GBK" w:cs="Times New Roman"/>
          <w:color w:val="000000"/>
          <w:sz w:val="28"/>
        </w:rPr>
        <w:t>万元，公用经费增加</w:t>
      </w:r>
      <w:r>
        <w:rPr>
          <w:rFonts w:hint="eastAsia" w:ascii="Times New Roman" w:hAnsi="Times New Roman" w:eastAsia="方正仿宋_GBK" w:cs="Times New Roman"/>
          <w:color w:val="000000"/>
          <w:sz w:val="28"/>
          <w:lang w:val="en-US" w:eastAsia="zh-CN"/>
        </w:rPr>
        <w:t>5.61</w:t>
      </w:r>
      <w:r>
        <w:rPr>
          <w:rFonts w:hint="eastAsia" w:ascii="Times New Roman" w:hAnsi="Times New Roman" w:eastAsia="方正仿宋_GBK" w:cs="Times New Roman"/>
          <w:color w:val="000000"/>
          <w:sz w:val="28"/>
        </w:rPr>
        <w:t>万元，主要是较202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年增加石家庄市投资促进服务中心人员</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人，导致人员经费和日常公用经费变化；项目支出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48.16</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eastAsia="zh-CN"/>
        </w:rPr>
        <w:t>新增“香港周”招商活动</w:t>
      </w:r>
      <w:r>
        <w:rPr>
          <w:rFonts w:hint="eastAsia" w:ascii="Times New Roman" w:hAnsi="Times New Roman" w:eastAsia="方正仿宋_GBK" w:cs="Times New Roman"/>
          <w:color w:val="000000"/>
          <w:sz w:val="28"/>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年，我部门机关运行经费共计安排</w:t>
      </w:r>
      <w:r>
        <w:rPr>
          <w:rFonts w:hint="eastAsia" w:ascii="Times New Roman" w:hAnsi="Times New Roman" w:eastAsia="方正仿宋_GBK" w:cs="Times New Roman"/>
          <w:color w:val="000000"/>
          <w:sz w:val="28"/>
          <w:lang w:val="en-US" w:eastAsia="zh-CN"/>
        </w:rPr>
        <w:t>113.41</w:t>
      </w:r>
      <w:r>
        <w:rPr>
          <w:rFonts w:hint="eastAsia" w:ascii="Times New Roman" w:hAnsi="Times New Roman" w:eastAsia="方正仿宋_GBK" w:cs="Times New Roman"/>
          <w:color w:val="000000"/>
          <w:sz w:val="28"/>
        </w:rPr>
        <w:t>万元，主要用于保证机关正常运转的办公费、邮电费、差旅费、会议费、公务车运行维护费等支出。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年度，我部门财政拨款“三公”经费预算安排4.</w:t>
      </w:r>
      <w:r>
        <w:rPr>
          <w:rFonts w:hint="eastAsia" w:eastAsia="方正仿宋_GBK" w:cs="Times New Roman"/>
          <w:color w:val="000000"/>
          <w:sz w:val="28"/>
          <w:lang w:val="en-US" w:eastAsia="zh-CN"/>
        </w:rPr>
        <w:t>64</w:t>
      </w:r>
      <w:r>
        <w:rPr>
          <w:rFonts w:hint="eastAsia" w:ascii="Times New Roman" w:hAnsi="Times New Roman" w:eastAsia="方正仿宋_GBK" w:cs="Times New Roman"/>
          <w:color w:val="000000"/>
          <w:sz w:val="28"/>
        </w:rPr>
        <w:t>万元，其中：因公出国（境）费0 万元，与上年度持平；公务用车购置及运维费</w:t>
      </w:r>
      <w:r>
        <w:rPr>
          <w:rFonts w:hint="eastAsia" w:eastAsia="方正仿宋_GBK" w:cs="Times New Roman"/>
          <w:color w:val="000000"/>
          <w:sz w:val="28"/>
          <w:lang w:val="en-US" w:eastAsia="zh-CN"/>
        </w:rPr>
        <w:t>3.88</w:t>
      </w:r>
      <w:r>
        <w:rPr>
          <w:rFonts w:hint="eastAsia" w:ascii="Times New Roman" w:hAnsi="Times New Roman" w:eastAsia="方正仿宋_GBK" w:cs="Times New Roman"/>
          <w:color w:val="000000"/>
          <w:sz w:val="28"/>
        </w:rPr>
        <w:t>万元（其中：公务用车购置费0 万元，公务用车运行维护费</w:t>
      </w:r>
      <w:r>
        <w:rPr>
          <w:rFonts w:hint="eastAsia" w:eastAsia="方正仿宋_GBK" w:cs="Times New Roman"/>
          <w:color w:val="000000"/>
          <w:sz w:val="28"/>
          <w:lang w:val="en-US" w:eastAsia="zh-CN"/>
        </w:rPr>
        <w:t>3.88</w:t>
      </w:r>
      <w:r>
        <w:rPr>
          <w:rFonts w:hint="eastAsia" w:ascii="Times New Roman" w:hAnsi="Times New Roman" w:eastAsia="方正仿宋_GBK" w:cs="Times New Roman"/>
          <w:color w:val="000000"/>
          <w:sz w:val="28"/>
        </w:rPr>
        <w:t>万元)，较上年度</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0.12</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响应财政过紧日子厉行勤俭节约</w:t>
      </w:r>
      <w:r>
        <w:rPr>
          <w:rFonts w:hint="eastAsia" w:ascii="Times New Roman" w:hAnsi="Times New Roman" w:eastAsia="方正仿宋_GBK" w:cs="Times New Roman"/>
          <w:color w:val="000000"/>
          <w:sz w:val="28"/>
        </w:rPr>
        <w:t>；公务接待费0.76 万元，与上年度持平。202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年度，我部门财政拨款“三公”经费预算安排</w:t>
      </w:r>
      <w:r>
        <w:rPr>
          <w:rFonts w:hint="eastAsia" w:eastAsia="方正仿宋_GBK" w:cs="Times New Roman"/>
          <w:color w:val="000000"/>
          <w:sz w:val="28"/>
          <w:lang w:val="en-US" w:eastAsia="zh-CN"/>
        </w:rPr>
        <w:t>4.76</w:t>
      </w:r>
      <w:r>
        <w:rPr>
          <w:rFonts w:hint="eastAsia" w:ascii="Times New Roman" w:hAnsi="Times New Roman" w:eastAsia="方正仿宋_GBK" w:cs="Times New Roman"/>
          <w:color w:val="000000"/>
          <w:sz w:val="28"/>
        </w:rPr>
        <w:t xml:space="preserve"> 万元，202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 xml:space="preserve"> 年度“三公”经费较202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年度</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1</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万元，主要是石家庄市投资促进服务中心公车运维费</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1</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一、总体绩效目标</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坚持以习近平新时代中国特色社会主义思想为指导，深入学习贯彻党的二十大和二十届历次全会精神，全面贯彻落实省委、市委经济工作会议全会及经济工作会议要求，始终牢固树立“项目为王”理念，聚焦五大主导产业和特色产业集群，聚焦招商引资主责主业，不断优化外商投资服务，持续提升开发区能级，推动全市投资促进工作取得新进展、新成效。2026年确保全市签约项目500个以上；持续提升开发区能级，2026年全市经开区营业收入同比增长5%；持续优化外商投资服务，2026年全年新设或增资外商投资企业40家以上。</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二、分项绩效目标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（一）开展重点招商活动，凝聚招商强大合力,加快项目签约落地。</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在长三角、珠三角、京津地区举办、参加产业招商对接洽谈活动，与世界500强和大型央企开展对接洽谈活动，促进招商引资和项目落地。围绕五大主导产业，组织举办招商活动，有效宣传推介石家庄投资环境和投资项目，实现一批项目签约。</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通过组织参加国内外重大招商活动，对接拜访客商200人以上，举办重点招商活动6次以上，深入开展以商招商、基金招商、驻外招商，探索开展场景招商，持续推广石家庄市招商投资影响力，大力推介宣传石家庄投资环境，精准对接世界500强、行业领军企业、大院大所专家和知名企业家，签约内、外资项目。依据《石家庄市招商大使聘请管理办法》，选聘第二批石家庄市招商大使，发挥招商大使作用，大力开展“跟着企业家去招商”活动，充分调动产业领军人才、企业家参与招商引资的积极性、主动性。稳步推进驻外招商工作，依据《驻外招商人员选拔管理办法（试行）》，营造人人参与招商的浓厚氛围，选优配强工作队伍，分别充实北京、上海、深圳、成渝驻外招商工作组，市县联合常态化开展驻外招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（二）充分发挥开发区经济建设主阵地作用，不断提升全市开发区整体竞争力。</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加强培训力度，为开发区赋能；组织开发区参加各类招商活动，提升开发区招商能力；加快推进“开发区+公司”“四个平台”“标准地+承诺制”“区域评估”等重点改革措施。支持开发区做大做强，每个开发区聚焦1-2个主导产业，支持引导有条件的开发区通过调区扩区、托管等方式，集中要素资源做大做强核心区域，加快完善基础配套设施，提升开发区综合承载能力。</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绩效指标：全市经开区营业收入同比增长6%。</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（三）多渠道抓好利用外资，引进境外资金</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绩效目标：推动新设外资企业注册资本到位、现有外资企业增资扩股、优势企业境外上市融资、境外投资者股权并购等，促进利用外资平稳发展。</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绩效指标：全年新设或增资外资企业40家以上。</w:t>
      </w:r>
    </w:p>
    <w:p>
      <w:pPr>
        <w:spacing w:before="0" w:after="0" w:line="500" w:lineRule="exact"/>
        <w:ind w:firstLine="560"/>
        <w:jc w:val="left"/>
        <w:outlineLvl w:val="9"/>
        <w:rPr>
          <w:rFonts w:hint="eastAsia" w:ascii="Times New Roman" w:hAnsi="Times New Roman" w:eastAsia="方正仿宋_GBK" w:cs="Times New Roman"/>
          <w:color w:val="000000"/>
          <w:sz w:val="28"/>
        </w:rPr>
      </w:pPr>
      <w:bookmarkStart w:id="20" w:name="_GoBack"/>
      <w:bookmarkEnd w:id="20"/>
      <w:r>
        <w:rPr>
          <w:rFonts w:hint="eastAsia" w:ascii="Times New Roman" w:hAnsi="Times New Roman" w:eastAsia="方正仿宋_GBK" w:cs="Times New Roman"/>
          <w:color w:val="000000"/>
          <w:sz w:val="28"/>
        </w:rPr>
        <w:t>三、工作保障措施</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强化组织领导。成立由局主要领导任组长，各分管局领导任副组长，各科室负责人为组员的预算绩效工作领导小组，围绕2025年度总体绩效目标和分类绩效目标，明确责任各科室预算绩效管理职责，实现花钱必问效，确保财务与业务工作紧密衔接，确保绩效目标如期顺利完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加强制度建设。制定完善预算绩效管理制度、搭建绩效管理运行体系，科学设定绩效目标和指标要求，细化工作方案、建立工作台账、制定资金使用和管理办法、确保资金支出有序进行，按进度具体实施，为全年预算绩效目标的实现奠定制度基础。完善财务管理制度，严格审批程序，加强固定资产登记、使用和报废处置管理，做到支出合理，物尽其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加强支出管理。以项目预算绩效为依据，根据各业务科室的年度业务活动安排，严格按照预算的相关规定和要求编制部门预算、加强沟通，提前谋划，优化支出结构，进一步提高预算的精细化、准确化，加快履行政府采购手续、确保年度支出进度达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做好绩效自评。按照市委、市政府部署安排，以加强开发区产业承载平台作用，加大精准招商力度，切实抓好以商招商，专业招商，构建要素合理配置、特色优势互补、高质量发展的区域产业布局，提升全市经济发展的整体性、协调性，加快推动经济高质量发展为目标，按要求开展上年度部门预算绩效自评和重点评价工作，对评价中发现的问题及时整改，调整优化支出结构，提高财政资金使用效益。</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（五）加强绩效运行监控。按要求开展绩效运行监控，发现问题及时采取措施，确保绩效目标如期保质实现。</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强化内部监督。进一步明确机关职能分工，优化工作流程，狠抓工作落实，加强内部监督制度建设，对绩效运行情况、重大支出决策、资产处置及其他重要经济业务事项的决策和执行进行督导，对会计资料进行内部审计，并配合做好审计、财政监督等外部监督工作，确保财政资金安全有效，最大限度发挥财政使用效益。</w:t>
      </w:r>
    </w:p>
    <w:p>
      <w:pPr>
        <w:spacing w:before="0" w:after="0" w:line="500" w:lineRule="exact"/>
        <w:ind w:firstLine="560"/>
        <w:jc w:val="left"/>
        <w:outlineLvl w:val="9"/>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color w:val="000000"/>
          <w:sz w:val="28"/>
        </w:rPr>
        <w:t>（七）加强宣传培训调研等。强化作风锤炼，提高本局工作人员业务素质；加强单位内部的协调联动，加大预算绩效工资的宣传力度，提高重视程度，强化预算绩效管理意识，促进预算绩效管理水平进一步提升，确保高质量完成年度绩效目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0" w:after="0" w:line="500" w:lineRule="exact"/>
        <w:ind w:firstLine="560"/>
        <w:jc w:val="left"/>
        <w:outlineLvl w:val="9"/>
        <w:rPr>
          <w:rFonts w:hint="eastAsia" w:ascii="Times New Roman" w:hAnsi="Times New Roman" w:eastAsia="方正仿宋_GBK" w:cs="Times New Roman"/>
          <w:color w:val="000000"/>
          <w:sz w:val="28"/>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年石家庄市投资促进局部门无专项资金预算。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13010026P009712104872</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w:t>
            </w:r>
          </w:p>
        </w:tc>
        <w:tc>
          <w:tcPr>
            <w:tcW w:w="2835" w:type="dxa"/>
            <w:vAlign w:val="center"/>
          </w:tcPr>
          <w:p>
            <w:pPr>
              <w:pStyle w:val="11"/>
            </w:pPr>
            <w:r>
              <w:t>其中：财政    资金</w:t>
            </w:r>
          </w:p>
        </w:tc>
        <w:tc>
          <w:tcPr>
            <w:tcW w:w="2551" w:type="dxa"/>
            <w:vAlign w:val="center"/>
          </w:tcPr>
          <w:p>
            <w:pPr>
              <w:pStyle w:val="13"/>
            </w:pPr>
            <w:r>
              <w:t>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通过购买办公设备，充分保障局各项工作正常平稳运转。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1.通过购买办公设备，充分保障局各项工作正常平稳运转。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购买数量</w:t>
            </w:r>
          </w:p>
        </w:tc>
        <w:tc>
          <w:tcPr>
            <w:tcW w:w="5386" w:type="dxa"/>
            <w:vAlign w:val="center"/>
          </w:tcPr>
          <w:p>
            <w:pPr>
              <w:pStyle w:val="13"/>
            </w:pPr>
            <w:r>
              <w:t>购买办公设备数量</w:t>
            </w:r>
          </w:p>
        </w:tc>
        <w:tc>
          <w:tcPr>
            <w:tcW w:w="2268" w:type="dxa"/>
            <w:vAlign w:val="center"/>
          </w:tcPr>
          <w:p>
            <w:pPr>
              <w:pStyle w:val="13"/>
            </w:pPr>
            <w:r>
              <w:t>4台</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购置验收通过率</w:t>
            </w:r>
          </w:p>
        </w:tc>
        <w:tc>
          <w:tcPr>
            <w:tcW w:w="2268" w:type="dxa"/>
            <w:vAlign w:val="center"/>
          </w:tcPr>
          <w:p>
            <w:pPr>
              <w:pStyle w:val="13"/>
            </w:pPr>
            <w:r>
              <w:t>≥100%</w:t>
            </w:r>
          </w:p>
        </w:tc>
        <w:tc>
          <w:tcPr>
            <w:tcW w:w="1276" w:type="dxa"/>
            <w:vAlign w:val="center"/>
          </w:tcPr>
          <w:p>
            <w:pPr>
              <w:pStyle w:val="13"/>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采购计划按时率</w:t>
            </w:r>
          </w:p>
        </w:tc>
        <w:tc>
          <w:tcPr>
            <w:tcW w:w="5386" w:type="dxa"/>
            <w:vAlign w:val="center"/>
          </w:tcPr>
          <w:p>
            <w:pPr>
              <w:pStyle w:val="13"/>
            </w:pPr>
            <w:r>
              <w:t>采购计划交付及时率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设备购置成本</w:t>
            </w:r>
          </w:p>
        </w:tc>
        <w:tc>
          <w:tcPr>
            <w:tcW w:w="2268" w:type="dxa"/>
            <w:vAlign w:val="center"/>
          </w:tcPr>
          <w:p>
            <w:pPr>
              <w:pStyle w:val="13"/>
            </w:pPr>
            <w:r>
              <w:t>≤1.21万元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正常运转</w:t>
            </w:r>
          </w:p>
        </w:tc>
        <w:tc>
          <w:tcPr>
            <w:tcW w:w="5386" w:type="dxa"/>
            <w:vAlign w:val="center"/>
          </w:tcPr>
          <w:p>
            <w:pPr>
              <w:pStyle w:val="13"/>
            </w:pPr>
            <w:r>
              <w:t>保障机关单位正常运转</w:t>
            </w:r>
          </w:p>
        </w:tc>
        <w:tc>
          <w:tcPr>
            <w:tcW w:w="2268" w:type="dxa"/>
            <w:vAlign w:val="center"/>
          </w:tcPr>
          <w:p>
            <w:pPr>
              <w:pStyle w:val="13"/>
            </w:pPr>
            <w:r>
              <w:t>优良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工作使用人员满意度</w:t>
            </w:r>
          </w:p>
        </w:tc>
        <w:tc>
          <w:tcPr>
            <w:tcW w:w="5386" w:type="dxa"/>
            <w:vAlign w:val="center"/>
          </w:tcPr>
          <w:p>
            <w:pPr>
              <w:pStyle w:val="13"/>
            </w:pPr>
            <w:r>
              <w:t>工作使用人员满意度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13010026P00971110461Y</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主要用于购置党员学习资料及参观学习和党建宣传。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1.主要用于购置党员学习资料及参观学习，提升党员政治觉悟和素养。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≥2次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党组织开展活动按时完成率</w:t>
            </w:r>
          </w:p>
        </w:tc>
        <w:tc>
          <w:tcPr>
            <w:tcW w:w="5386" w:type="dxa"/>
            <w:vAlign w:val="center"/>
          </w:tcPr>
          <w:p>
            <w:pPr>
              <w:pStyle w:val="13"/>
            </w:pPr>
            <w:r>
              <w:t>党组织开展活动按时完成率</w:t>
            </w:r>
          </w:p>
        </w:tc>
        <w:tc>
          <w:tcPr>
            <w:tcW w:w="2268" w:type="dxa"/>
            <w:vAlign w:val="center"/>
          </w:tcPr>
          <w:p>
            <w:pPr>
              <w:pStyle w:val="13"/>
            </w:pPr>
            <w:r>
              <w:t>≥95次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预算成本控制</w:t>
            </w:r>
          </w:p>
        </w:tc>
        <w:tc>
          <w:tcPr>
            <w:tcW w:w="2268" w:type="dxa"/>
            <w:vAlign w:val="center"/>
          </w:tcPr>
          <w:p>
            <w:pPr>
              <w:pStyle w:val="13"/>
            </w:pPr>
            <w:r>
              <w:t>≤3.5万元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党务干部培训、党员学习教育等效果</w:t>
            </w:r>
          </w:p>
        </w:tc>
        <w:tc>
          <w:tcPr>
            <w:tcW w:w="5386" w:type="dxa"/>
            <w:vAlign w:val="center"/>
          </w:tcPr>
          <w:p>
            <w:pPr>
              <w:pStyle w:val="13"/>
            </w:pPr>
            <w:r>
              <w:t>党员政治觉悟和素养提升情况</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党的政策传递顺畅度</w:t>
            </w:r>
          </w:p>
        </w:tc>
        <w:tc>
          <w:tcPr>
            <w:tcW w:w="5386" w:type="dxa"/>
            <w:vAlign w:val="center"/>
          </w:tcPr>
          <w:p>
            <w:pPr>
              <w:pStyle w:val="13"/>
            </w:pPr>
            <w:r>
              <w:t>党的政策传递顺畅度</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党员满意度</w:t>
            </w:r>
          </w:p>
        </w:tc>
        <w:tc>
          <w:tcPr>
            <w:tcW w:w="2268" w:type="dxa"/>
            <w:vAlign w:val="center"/>
          </w:tcPr>
          <w:p>
            <w:pPr>
              <w:pStyle w:val="13"/>
            </w:pPr>
            <w:r>
              <w:t>≥95%</w:t>
            </w:r>
          </w:p>
        </w:tc>
        <w:tc>
          <w:tcPr>
            <w:tcW w:w="1276" w:type="dxa"/>
            <w:vAlign w:val="center"/>
          </w:tcPr>
          <w:p>
            <w:pPr>
              <w:pStyle w:val="13"/>
            </w:pPr>
            <w:r>
              <w:t>调查问询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13010026P00924510068Q</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聘请法律顾问，为局机关提高法律咨询服务和相关合同的合法性审核等工作。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1.通过聘请法律顾问，为局机关提高法律咨询服务和相关合同的合法性审核等工作。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提供法律咨询数量</w:t>
            </w:r>
          </w:p>
        </w:tc>
        <w:tc>
          <w:tcPr>
            <w:tcW w:w="2268" w:type="dxa"/>
            <w:vAlign w:val="center"/>
          </w:tcPr>
          <w:p>
            <w:pPr>
              <w:pStyle w:val="13"/>
            </w:pPr>
            <w:r>
              <w:t>≥15件</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法律服务质量</w:t>
            </w:r>
          </w:p>
        </w:tc>
        <w:tc>
          <w:tcPr>
            <w:tcW w:w="2268" w:type="dxa"/>
            <w:vAlign w:val="center"/>
          </w:tcPr>
          <w:p>
            <w:pPr>
              <w:pStyle w:val="13"/>
            </w:pPr>
            <w:r>
              <w:t>≥95%</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提供法律咨询和审核合同的及时性</w:t>
            </w:r>
          </w:p>
        </w:tc>
        <w:tc>
          <w:tcPr>
            <w:tcW w:w="5386" w:type="dxa"/>
            <w:vAlign w:val="center"/>
          </w:tcPr>
          <w:p>
            <w:pPr>
              <w:pStyle w:val="13"/>
            </w:pPr>
            <w:r>
              <w:t>提供法律咨询和审核合同的及时性</w:t>
            </w:r>
          </w:p>
        </w:tc>
        <w:tc>
          <w:tcPr>
            <w:tcW w:w="2268" w:type="dxa"/>
            <w:vAlign w:val="center"/>
          </w:tcPr>
          <w:p>
            <w:pPr>
              <w:pStyle w:val="13"/>
            </w:pPr>
            <w:r>
              <w:t>≥95%</w:t>
            </w:r>
          </w:p>
        </w:tc>
        <w:tc>
          <w:tcPr>
            <w:tcW w:w="1276" w:type="dxa"/>
            <w:vAlign w:val="center"/>
          </w:tcPr>
          <w:p>
            <w:pPr>
              <w:pStyle w:val="13"/>
            </w:pPr>
            <w:r>
              <w:t>按照约定时间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聘请法律顾问费用</w:t>
            </w:r>
          </w:p>
        </w:tc>
        <w:tc>
          <w:tcPr>
            <w:tcW w:w="5386" w:type="dxa"/>
            <w:vAlign w:val="center"/>
          </w:tcPr>
          <w:p>
            <w:pPr>
              <w:pStyle w:val="13"/>
            </w:pPr>
            <w:r>
              <w:t>聘请法律顾问费用</w:t>
            </w:r>
          </w:p>
        </w:tc>
        <w:tc>
          <w:tcPr>
            <w:tcW w:w="2268" w:type="dxa"/>
            <w:vAlign w:val="center"/>
          </w:tcPr>
          <w:p>
            <w:pPr>
              <w:pStyle w:val="13"/>
            </w:pPr>
            <w:r>
              <w:t>≤2.7万元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履行法律监督职责专业性</w:t>
            </w:r>
          </w:p>
        </w:tc>
        <w:tc>
          <w:tcPr>
            <w:tcW w:w="5386" w:type="dxa"/>
            <w:vAlign w:val="center"/>
          </w:tcPr>
          <w:p>
            <w:pPr>
              <w:pStyle w:val="13"/>
            </w:pPr>
            <w:r>
              <w:t>履行法律监督职责专业性</w:t>
            </w:r>
          </w:p>
        </w:tc>
        <w:tc>
          <w:tcPr>
            <w:tcW w:w="2268" w:type="dxa"/>
            <w:vAlign w:val="center"/>
          </w:tcPr>
          <w:p>
            <w:pPr>
              <w:pStyle w:val="13"/>
            </w:pPr>
            <w:r>
              <w:t>维护我局合法权益</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提升局机关法律意识</w:t>
            </w:r>
          </w:p>
        </w:tc>
        <w:tc>
          <w:tcPr>
            <w:tcW w:w="5386" w:type="dxa"/>
            <w:vAlign w:val="center"/>
          </w:tcPr>
          <w:p>
            <w:pPr>
              <w:pStyle w:val="13"/>
            </w:pPr>
            <w:r>
              <w:t>提升局机关法律意识</w:t>
            </w:r>
          </w:p>
        </w:tc>
        <w:tc>
          <w:tcPr>
            <w:tcW w:w="2268" w:type="dxa"/>
            <w:vAlign w:val="center"/>
          </w:tcPr>
          <w:p>
            <w:pPr>
              <w:pStyle w:val="13"/>
            </w:pPr>
            <w:r>
              <w:t>≥90%</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工作人员服务满意度</w:t>
            </w:r>
          </w:p>
        </w:tc>
        <w:tc>
          <w:tcPr>
            <w:tcW w:w="5386" w:type="dxa"/>
            <w:vAlign w:val="center"/>
          </w:tcPr>
          <w:p>
            <w:pPr>
              <w:pStyle w:val="13"/>
            </w:pPr>
            <w:r>
              <w:t>工作人员服务满意度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13010026P009935102567</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通过印刷材料,保障局机关正常工作和较好的宣传石家庄市投资促进环境的作用。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1.通过印刷材料,保障局机关正常工作和较好的宣传石家庄市投资促进环境的作用。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计划印制数量</w:t>
            </w:r>
          </w:p>
        </w:tc>
        <w:tc>
          <w:tcPr>
            <w:tcW w:w="5386" w:type="dxa"/>
            <w:vAlign w:val="center"/>
          </w:tcPr>
          <w:p>
            <w:pPr>
              <w:pStyle w:val="13"/>
            </w:pPr>
            <w:r>
              <w:t>计划印制文件项目数量</w:t>
            </w:r>
          </w:p>
        </w:tc>
        <w:tc>
          <w:tcPr>
            <w:tcW w:w="2268" w:type="dxa"/>
            <w:vAlign w:val="center"/>
          </w:tcPr>
          <w:p>
            <w:pPr>
              <w:pStyle w:val="13"/>
            </w:pPr>
            <w:r>
              <w:t>≥30件</w:t>
            </w:r>
          </w:p>
        </w:tc>
        <w:tc>
          <w:tcPr>
            <w:tcW w:w="1276" w:type="dxa"/>
            <w:vAlign w:val="center"/>
          </w:tcPr>
          <w:p>
            <w:pPr>
              <w:pStyle w:val="13"/>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文件印刷合格率</w:t>
            </w:r>
          </w:p>
        </w:tc>
        <w:tc>
          <w:tcPr>
            <w:tcW w:w="5386" w:type="dxa"/>
            <w:vAlign w:val="center"/>
          </w:tcPr>
          <w:p>
            <w:pPr>
              <w:pStyle w:val="13"/>
            </w:pPr>
            <w:r>
              <w:t>文件印刷合格率</w:t>
            </w:r>
          </w:p>
        </w:tc>
        <w:tc>
          <w:tcPr>
            <w:tcW w:w="2268" w:type="dxa"/>
            <w:vAlign w:val="center"/>
          </w:tcPr>
          <w:p>
            <w:pPr>
              <w:pStyle w:val="13"/>
            </w:pPr>
            <w:r>
              <w:t>≥95%</w:t>
            </w:r>
          </w:p>
        </w:tc>
        <w:tc>
          <w:tcPr>
            <w:tcW w:w="1276" w:type="dxa"/>
            <w:vAlign w:val="center"/>
          </w:tcPr>
          <w:p>
            <w:pPr>
              <w:pStyle w:val="13"/>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按照工作安排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资金成本不超预算</w:t>
            </w:r>
          </w:p>
        </w:tc>
        <w:tc>
          <w:tcPr>
            <w:tcW w:w="2268" w:type="dxa"/>
            <w:vAlign w:val="center"/>
          </w:tcPr>
          <w:p>
            <w:pPr>
              <w:pStyle w:val="13"/>
            </w:pPr>
            <w:r>
              <w:t>≤2万元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有效提升</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保障机关正常办公</w:t>
            </w:r>
          </w:p>
        </w:tc>
        <w:tc>
          <w:tcPr>
            <w:tcW w:w="5386" w:type="dxa"/>
            <w:vAlign w:val="center"/>
          </w:tcPr>
          <w:p>
            <w:pPr>
              <w:pStyle w:val="13"/>
            </w:pPr>
            <w:r>
              <w:t>保障机关正常办公</w:t>
            </w:r>
          </w:p>
        </w:tc>
        <w:tc>
          <w:tcPr>
            <w:tcW w:w="2268" w:type="dxa"/>
            <w:vAlign w:val="center"/>
          </w:tcPr>
          <w:p>
            <w:pPr>
              <w:pStyle w:val="13"/>
            </w:pPr>
            <w:r>
              <w:t>≥95%</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≥95%</w:t>
            </w:r>
          </w:p>
        </w:tc>
        <w:tc>
          <w:tcPr>
            <w:tcW w:w="1276" w:type="dxa"/>
            <w:vAlign w:val="center"/>
          </w:tcPr>
          <w:p>
            <w:pPr>
              <w:pStyle w:val="13"/>
            </w:pPr>
            <w:r>
              <w:t>按照工作安排要求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13010026P00007510184A</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w:t>
            </w:r>
          </w:p>
        </w:tc>
        <w:tc>
          <w:tcPr>
            <w:tcW w:w="2835" w:type="dxa"/>
            <w:vAlign w:val="center"/>
          </w:tcPr>
          <w:p>
            <w:pPr>
              <w:pStyle w:val="11"/>
            </w:pPr>
            <w:r>
              <w:t>其中：财政    资金</w:t>
            </w:r>
          </w:p>
        </w:tc>
        <w:tc>
          <w:tcPr>
            <w:tcW w:w="2551" w:type="dxa"/>
            <w:vAlign w:val="center"/>
          </w:tcPr>
          <w:p>
            <w:pPr>
              <w:pStyle w:val="13"/>
            </w:pPr>
            <w:r>
              <w:t>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举办培训，提升市县外资工作业务水平，更好地服务外商投资企业及外资项目落地。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1.通过举办培训，提升市县外资工作业务水平，更好地服务外商投资企业及外资项目落地。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培训人次</w:t>
            </w:r>
          </w:p>
        </w:tc>
        <w:tc>
          <w:tcPr>
            <w:tcW w:w="5386" w:type="dxa"/>
            <w:vAlign w:val="center"/>
          </w:tcPr>
          <w:p>
            <w:pPr>
              <w:pStyle w:val="13"/>
            </w:pPr>
            <w:r>
              <w:t>全年培训市、县（市、区）两级负责外资工作人员人次</w:t>
            </w:r>
          </w:p>
        </w:tc>
        <w:tc>
          <w:tcPr>
            <w:tcW w:w="2268" w:type="dxa"/>
            <w:vAlign w:val="center"/>
          </w:tcPr>
          <w:p>
            <w:pPr>
              <w:pStyle w:val="13"/>
            </w:pPr>
            <w:r>
              <w:t>≥80人</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≥95%</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培训人均成本</w:t>
            </w:r>
          </w:p>
        </w:tc>
        <w:tc>
          <w:tcPr>
            <w:tcW w:w="5386" w:type="dxa"/>
            <w:vAlign w:val="center"/>
          </w:tcPr>
          <w:p>
            <w:pPr>
              <w:pStyle w:val="13"/>
            </w:pPr>
            <w:r>
              <w:t>参加培训人均成本</w:t>
            </w:r>
          </w:p>
        </w:tc>
        <w:tc>
          <w:tcPr>
            <w:tcW w:w="2268" w:type="dxa"/>
            <w:vAlign w:val="center"/>
          </w:tcPr>
          <w:p>
            <w:pPr>
              <w:pStyle w:val="13"/>
            </w:pPr>
            <w:r>
              <w:t>根据培训费管理办法</w:t>
            </w:r>
          </w:p>
        </w:tc>
        <w:tc>
          <w:tcPr>
            <w:tcW w:w="1276" w:type="dxa"/>
            <w:vAlign w:val="center"/>
          </w:tcPr>
          <w:p>
            <w:pPr>
              <w:pStyle w:val="13"/>
            </w:pPr>
            <w:r>
              <w:t>按照财政局培训费管理办法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培训效果影响程度</w:t>
            </w:r>
          </w:p>
        </w:tc>
        <w:tc>
          <w:tcPr>
            <w:tcW w:w="5386" w:type="dxa"/>
            <w:vAlign w:val="center"/>
          </w:tcPr>
          <w:p>
            <w:pPr>
              <w:pStyle w:val="13"/>
            </w:pPr>
            <w:r>
              <w:t>培训效果影响程度</w:t>
            </w:r>
          </w:p>
        </w:tc>
        <w:tc>
          <w:tcPr>
            <w:tcW w:w="2268" w:type="dxa"/>
            <w:vAlign w:val="center"/>
          </w:tcPr>
          <w:p>
            <w:pPr>
              <w:pStyle w:val="13"/>
            </w:pPr>
            <w:r>
              <w:t>≥95%</w:t>
            </w:r>
          </w:p>
        </w:tc>
        <w:tc>
          <w:tcPr>
            <w:tcW w:w="1276" w:type="dxa"/>
            <w:vAlign w:val="center"/>
          </w:tcPr>
          <w:p>
            <w:pPr>
              <w:pStyle w:val="13"/>
            </w:pPr>
            <w:r>
              <w:t>通过培训问询情况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提升业务水平</w:t>
            </w:r>
          </w:p>
        </w:tc>
        <w:tc>
          <w:tcPr>
            <w:tcW w:w="5386" w:type="dxa"/>
            <w:vAlign w:val="center"/>
          </w:tcPr>
          <w:p>
            <w:pPr>
              <w:pStyle w:val="13"/>
            </w:pPr>
            <w:r>
              <w:t>通过培训，提升市县外资工作业务水平值</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培训学员满意率</w:t>
            </w:r>
          </w:p>
        </w:tc>
        <w:tc>
          <w:tcPr>
            <w:tcW w:w="5386" w:type="dxa"/>
            <w:vAlign w:val="center"/>
          </w:tcPr>
          <w:p>
            <w:pPr>
              <w:pStyle w:val="13"/>
            </w:pPr>
            <w:r>
              <w:t>培训学员满意率</w:t>
            </w:r>
          </w:p>
        </w:tc>
        <w:tc>
          <w:tcPr>
            <w:tcW w:w="2268" w:type="dxa"/>
            <w:vAlign w:val="center"/>
          </w:tcPr>
          <w:p>
            <w:pPr>
              <w:pStyle w:val="13"/>
            </w:pPr>
            <w:r>
              <w:t>≥90%</w:t>
            </w:r>
          </w:p>
        </w:tc>
        <w:tc>
          <w:tcPr>
            <w:tcW w:w="1276" w:type="dxa"/>
            <w:vAlign w:val="center"/>
          </w:tcPr>
          <w:p>
            <w:pPr>
              <w:pStyle w:val="13"/>
            </w:pPr>
            <w:r>
              <w:t>通过培训问询情况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13010026P009880102786</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委托专家开展重点招商项目研判，提供专业性指导并出具项目建议书；委托第三方专业机构对各县（市、区）外资管理部门报送的外商投资企业和个人奖励资金申报材料进行专项审核并出具报告。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1.委托专家开展重点招商项目研判，提供专业性指导并出具项目建议书。</w:t>
            </w:r>
          </w:p>
          <w:p>
            <w:pPr>
              <w:pStyle w:val="13"/>
            </w:pPr>
            <w:r>
              <w:t>2.委托第三方专业机构对各县（市、区）外资管理部门报送的外商投资企业和个人奖励资金申报材料进行专项审核并出具报告。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委托项目数量</w:t>
            </w:r>
          </w:p>
        </w:tc>
        <w:tc>
          <w:tcPr>
            <w:tcW w:w="5386" w:type="dxa"/>
            <w:vAlign w:val="center"/>
          </w:tcPr>
          <w:p>
            <w:pPr>
              <w:pStyle w:val="13"/>
            </w:pPr>
            <w:r>
              <w:t>委托项目数量</w:t>
            </w:r>
          </w:p>
        </w:tc>
        <w:tc>
          <w:tcPr>
            <w:tcW w:w="2268" w:type="dxa"/>
            <w:vAlign w:val="center"/>
          </w:tcPr>
          <w:p>
            <w:pPr>
              <w:pStyle w:val="13"/>
            </w:pPr>
            <w:r>
              <w:t>≥2个</w:t>
            </w:r>
          </w:p>
        </w:tc>
        <w:tc>
          <w:tcPr>
            <w:tcW w:w="1276" w:type="dxa"/>
            <w:vAlign w:val="center"/>
          </w:tcPr>
          <w:p>
            <w:pPr>
              <w:pStyle w:val="13"/>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报告质量完成优良比率</w:t>
            </w:r>
          </w:p>
        </w:tc>
        <w:tc>
          <w:tcPr>
            <w:tcW w:w="5386" w:type="dxa"/>
            <w:vAlign w:val="center"/>
          </w:tcPr>
          <w:p>
            <w:pPr>
              <w:pStyle w:val="13"/>
            </w:pPr>
            <w:r>
              <w:t>报告质量完成优良比率</w:t>
            </w:r>
          </w:p>
        </w:tc>
        <w:tc>
          <w:tcPr>
            <w:tcW w:w="2268" w:type="dxa"/>
            <w:vAlign w:val="center"/>
          </w:tcPr>
          <w:p>
            <w:pPr>
              <w:pStyle w:val="13"/>
            </w:pPr>
            <w:r>
              <w:t>≥95%</w:t>
            </w:r>
          </w:p>
        </w:tc>
        <w:tc>
          <w:tcPr>
            <w:tcW w:w="1276" w:type="dxa"/>
            <w:vAlign w:val="center"/>
          </w:tcPr>
          <w:p>
            <w:pPr>
              <w:pStyle w:val="13"/>
            </w:pPr>
            <w:r>
              <w:t>委托服务按照合同规定要求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≥95%</w:t>
            </w:r>
          </w:p>
        </w:tc>
        <w:tc>
          <w:tcPr>
            <w:tcW w:w="1276" w:type="dxa"/>
            <w:vAlign w:val="center"/>
          </w:tcPr>
          <w:p>
            <w:pPr>
              <w:pStyle w:val="13"/>
            </w:pPr>
            <w:r>
              <w:t>委托服务按照合同规定时间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≤2.8万元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有价值信息采用率</w:t>
            </w:r>
          </w:p>
        </w:tc>
        <w:tc>
          <w:tcPr>
            <w:tcW w:w="5386" w:type="dxa"/>
            <w:vAlign w:val="center"/>
          </w:tcPr>
          <w:p>
            <w:pPr>
              <w:pStyle w:val="13"/>
            </w:pPr>
            <w:r>
              <w:t>有价值信息采用率</w:t>
            </w:r>
          </w:p>
        </w:tc>
        <w:tc>
          <w:tcPr>
            <w:tcW w:w="2268" w:type="dxa"/>
            <w:vAlign w:val="center"/>
          </w:tcPr>
          <w:p>
            <w:pPr>
              <w:pStyle w:val="13"/>
            </w:pPr>
            <w:r>
              <w:t>≥95%</w:t>
            </w:r>
          </w:p>
        </w:tc>
        <w:tc>
          <w:tcPr>
            <w:tcW w:w="1276" w:type="dxa"/>
            <w:vAlign w:val="center"/>
          </w:tcPr>
          <w:p>
            <w:pPr>
              <w:pStyle w:val="13"/>
            </w:pPr>
            <w:r>
              <w:t>按照合同要求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根据年度工作要求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7、开发区管理经费绩效目标表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13010026P006144100065</w:t>
            </w:r>
          </w:p>
        </w:tc>
        <w:tc>
          <w:tcPr>
            <w:tcW w:w="2835" w:type="dxa"/>
            <w:vAlign w:val="center"/>
          </w:tcPr>
          <w:p>
            <w:pPr>
              <w:pStyle w:val="11"/>
            </w:pPr>
            <w:r>
              <w:t>项目名称</w:t>
            </w:r>
          </w:p>
        </w:tc>
        <w:tc>
          <w:tcPr>
            <w:tcW w:w="6095" w:type="dxa"/>
            <w:gridSpan w:val="3"/>
            <w:vAlign w:val="center"/>
          </w:tcPr>
          <w:p>
            <w:pPr>
              <w:pStyle w:val="13"/>
            </w:pPr>
            <w:r>
              <w:t>开发区管理经费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委托第三方开展开发区“十四五”规划评估，调研数据收集等;赴开发区推动项目，组织开发区赴外地参加活动的差旅费和租车等费用;组织开展开发区相关人员业务培训.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1.委托第三方开展开发区“十四五”规划评估，调研数据收集等。</w:t>
            </w:r>
          </w:p>
          <w:p>
            <w:pPr>
              <w:pStyle w:val="13"/>
            </w:pPr>
            <w:r>
              <w:t>2.赴开发区推动项目，组织开发区赴外地参加活动的差旅费和租车等费用。</w:t>
            </w:r>
          </w:p>
          <w:p>
            <w:pPr>
              <w:pStyle w:val="13"/>
            </w:pPr>
            <w:r>
              <w:t>3.通过组织开展开发区相关人员业务培训，提高人员业务素质，提升工作水平。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参加业务培训人数</w:t>
            </w:r>
          </w:p>
        </w:tc>
        <w:tc>
          <w:tcPr>
            <w:tcW w:w="5386" w:type="dxa"/>
            <w:vAlign w:val="center"/>
          </w:tcPr>
          <w:p>
            <w:pPr>
              <w:pStyle w:val="13"/>
            </w:pPr>
            <w:r>
              <w:t>参加业务培训人数</w:t>
            </w:r>
          </w:p>
        </w:tc>
        <w:tc>
          <w:tcPr>
            <w:tcW w:w="2268" w:type="dxa"/>
            <w:vAlign w:val="center"/>
          </w:tcPr>
          <w:p>
            <w:pPr>
              <w:pStyle w:val="13"/>
            </w:pPr>
            <w:r>
              <w:t>≥60人</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业务培训合格率</w:t>
            </w:r>
          </w:p>
        </w:tc>
        <w:tc>
          <w:tcPr>
            <w:tcW w:w="5386" w:type="dxa"/>
            <w:vAlign w:val="center"/>
          </w:tcPr>
          <w:p>
            <w:pPr>
              <w:pStyle w:val="13"/>
            </w:pPr>
            <w:r>
              <w:t>业务培训合格率</w:t>
            </w:r>
          </w:p>
        </w:tc>
        <w:tc>
          <w:tcPr>
            <w:tcW w:w="2268" w:type="dxa"/>
            <w:vAlign w:val="center"/>
          </w:tcPr>
          <w:p>
            <w:pPr>
              <w:pStyle w:val="13"/>
            </w:pPr>
            <w:r>
              <w:t>≥95%</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各项工作任务完成及时</w:t>
            </w:r>
          </w:p>
        </w:tc>
        <w:tc>
          <w:tcPr>
            <w:tcW w:w="5386" w:type="dxa"/>
            <w:vAlign w:val="center"/>
          </w:tcPr>
          <w:p>
            <w:pPr>
              <w:pStyle w:val="13"/>
            </w:pPr>
            <w:r>
              <w:t>各项工作任务完成及时</w:t>
            </w:r>
          </w:p>
        </w:tc>
        <w:tc>
          <w:tcPr>
            <w:tcW w:w="2268" w:type="dxa"/>
            <w:vAlign w:val="center"/>
          </w:tcPr>
          <w:p>
            <w:pPr>
              <w:pStyle w:val="13"/>
            </w:pPr>
            <w:r>
              <w:t>≥95&amp;</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培训人均使用经费</w:t>
            </w:r>
          </w:p>
        </w:tc>
        <w:tc>
          <w:tcPr>
            <w:tcW w:w="5386" w:type="dxa"/>
            <w:vAlign w:val="center"/>
          </w:tcPr>
          <w:p>
            <w:pPr>
              <w:pStyle w:val="13"/>
            </w:pPr>
            <w:r>
              <w:t>培训人均使用经费</w:t>
            </w:r>
          </w:p>
        </w:tc>
        <w:tc>
          <w:tcPr>
            <w:tcW w:w="2268" w:type="dxa"/>
            <w:vAlign w:val="center"/>
          </w:tcPr>
          <w:p>
            <w:pPr>
              <w:pStyle w:val="13"/>
            </w:pPr>
            <w:r>
              <w:t>≤350元</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全省经开区平均营收增速</w:t>
            </w:r>
          </w:p>
        </w:tc>
        <w:tc>
          <w:tcPr>
            <w:tcW w:w="5386" w:type="dxa"/>
            <w:vAlign w:val="center"/>
          </w:tcPr>
          <w:p>
            <w:pPr>
              <w:pStyle w:val="13"/>
            </w:pPr>
            <w:r>
              <w:t>全省经开区平均营收增速</w:t>
            </w:r>
          </w:p>
        </w:tc>
        <w:tc>
          <w:tcPr>
            <w:tcW w:w="2268" w:type="dxa"/>
            <w:vAlign w:val="center"/>
          </w:tcPr>
          <w:p>
            <w:pPr>
              <w:pStyle w:val="13"/>
            </w:pPr>
            <w:r>
              <w:t>≥5%</w:t>
            </w:r>
          </w:p>
        </w:tc>
        <w:tc>
          <w:tcPr>
            <w:tcW w:w="1276" w:type="dxa"/>
            <w:vAlign w:val="center"/>
          </w:tcPr>
          <w:p>
            <w:pPr>
              <w:pStyle w:val="13"/>
            </w:pPr>
            <w:r>
              <w:t>根据往年数据统计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培训效果影响程度</w:t>
            </w:r>
          </w:p>
        </w:tc>
        <w:tc>
          <w:tcPr>
            <w:tcW w:w="5386" w:type="dxa"/>
            <w:vAlign w:val="center"/>
          </w:tcPr>
          <w:p>
            <w:pPr>
              <w:pStyle w:val="13"/>
            </w:pPr>
            <w:r>
              <w:t>培训效果影响程度</w:t>
            </w:r>
          </w:p>
        </w:tc>
        <w:tc>
          <w:tcPr>
            <w:tcW w:w="2268" w:type="dxa"/>
            <w:vAlign w:val="center"/>
          </w:tcPr>
          <w:p>
            <w:pPr>
              <w:pStyle w:val="13"/>
            </w:pPr>
            <w:r>
              <w:t>≥95%</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入园企业满意度</w:t>
            </w:r>
          </w:p>
        </w:tc>
        <w:tc>
          <w:tcPr>
            <w:tcW w:w="5386" w:type="dxa"/>
            <w:vAlign w:val="center"/>
          </w:tcPr>
          <w:p>
            <w:pPr>
              <w:pStyle w:val="13"/>
            </w:pPr>
            <w:r>
              <w:t>入园企业满意度</w:t>
            </w:r>
          </w:p>
        </w:tc>
        <w:tc>
          <w:tcPr>
            <w:tcW w:w="2268" w:type="dxa"/>
            <w:vAlign w:val="center"/>
          </w:tcPr>
          <w:p>
            <w:pPr>
              <w:pStyle w:val="13"/>
            </w:pPr>
            <w:r>
              <w:t>≥90%</w:t>
            </w:r>
          </w:p>
        </w:tc>
        <w:tc>
          <w:tcPr>
            <w:tcW w:w="1276" w:type="dxa"/>
            <w:vAlign w:val="center"/>
          </w:tcPr>
          <w:p>
            <w:pPr>
              <w:pStyle w:val="13"/>
            </w:pPr>
            <w:r>
              <w:t>实地回访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8、招商引资经费绩效目标表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13010026P00614310009A</w:t>
            </w:r>
          </w:p>
        </w:tc>
        <w:tc>
          <w:tcPr>
            <w:tcW w:w="2835" w:type="dxa"/>
            <w:vAlign w:val="center"/>
          </w:tcPr>
          <w:p>
            <w:pPr>
              <w:pStyle w:val="11"/>
            </w:pPr>
            <w:r>
              <w:t>项目名称</w:t>
            </w:r>
          </w:p>
        </w:tc>
        <w:tc>
          <w:tcPr>
            <w:tcW w:w="6095" w:type="dxa"/>
            <w:gridSpan w:val="3"/>
            <w:vAlign w:val="center"/>
          </w:tcPr>
          <w:p>
            <w:pPr>
              <w:pStyle w:val="13"/>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640.00</w:t>
            </w:r>
          </w:p>
        </w:tc>
        <w:tc>
          <w:tcPr>
            <w:tcW w:w="2835" w:type="dxa"/>
            <w:vAlign w:val="center"/>
          </w:tcPr>
          <w:p>
            <w:pPr>
              <w:pStyle w:val="11"/>
            </w:pPr>
            <w:r>
              <w:t>其中：财政    资金</w:t>
            </w:r>
          </w:p>
        </w:tc>
        <w:tc>
          <w:tcPr>
            <w:tcW w:w="2551" w:type="dxa"/>
            <w:vAlign w:val="center"/>
          </w:tcPr>
          <w:p>
            <w:pPr>
              <w:pStyle w:val="13"/>
            </w:pPr>
            <w:r>
              <w:t>640.00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举办国内（境外）招商推荐活动，委托第三方提供会务、车辆和酒店租赁等相关服务；聘请招商大使；驻外招商工作支付租赁房费、差旅费和举办招商活动等支出。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1.组织、参加招商洽谈会，举办国内（境外）招商推荐活动，委托第三方提供会务、车辆和酒店租赁等相关服务，宣传、推介石家庄招商环境等相关支出。</w:t>
            </w:r>
          </w:p>
          <w:p>
            <w:pPr>
              <w:pStyle w:val="13"/>
            </w:pPr>
            <w:r>
              <w:t>2.通过聘请招商大使宣传推介我市投资环境、提供投资信息、邀约访客，促进项目签约等。</w:t>
            </w:r>
          </w:p>
          <w:p>
            <w:pPr>
              <w:pStyle w:val="13"/>
            </w:pPr>
            <w:r>
              <w:t>3.开展驻外招商工作支付租赁房费、差旅费和举办招商活动等支出。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赴外地组织、参加招商活动、拜访客户人次数、拜访企业数量</w:t>
            </w:r>
          </w:p>
        </w:tc>
        <w:tc>
          <w:tcPr>
            <w:tcW w:w="5386" w:type="dxa"/>
            <w:vAlign w:val="center"/>
          </w:tcPr>
          <w:p>
            <w:pPr>
              <w:pStyle w:val="13"/>
            </w:pPr>
            <w:r>
              <w:t>赴外地组织、参加招商活动、拜访客户人次数、拜访企业数量</w:t>
            </w:r>
          </w:p>
        </w:tc>
        <w:tc>
          <w:tcPr>
            <w:tcW w:w="2268" w:type="dxa"/>
            <w:vAlign w:val="center"/>
          </w:tcPr>
          <w:p>
            <w:pPr>
              <w:pStyle w:val="13"/>
            </w:pPr>
            <w:r>
              <w:t>≥100家</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完成招商引资签约项目</w:t>
            </w:r>
          </w:p>
        </w:tc>
        <w:tc>
          <w:tcPr>
            <w:tcW w:w="5386" w:type="dxa"/>
            <w:vAlign w:val="center"/>
          </w:tcPr>
          <w:p>
            <w:pPr>
              <w:pStyle w:val="13"/>
            </w:pPr>
            <w:r>
              <w:t>完成招商引资签约项目</w:t>
            </w:r>
          </w:p>
        </w:tc>
        <w:tc>
          <w:tcPr>
            <w:tcW w:w="2268" w:type="dxa"/>
            <w:vAlign w:val="center"/>
          </w:tcPr>
          <w:p>
            <w:pPr>
              <w:pStyle w:val="13"/>
            </w:pPr>
            <w:r>
              <w:t>≥100%</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各项招商工作完成及时率（%）</w:t>
            </w:r>
          </w:p>
        </w:tc>
        <w:tc>
          <w:tcPr>
            <w:tcW w:w="5386" w:type="dxa"/>
            <w:vAlign w:val="center"/>
          </w:tcPr>
          <w:p>
            <w:pPr>
              <w:pStyle w:val="13"/>
            </w:pPr>
            <w:r>
              <w:t>各项招商工作完成及时率（%）</w:t>
            </w:r>
          </w:p>
        </w:tc>
        <w:tc>
          <w:tcPr>
            <w:tcW w:w="2268" w:type="dxa"/>
            <w:vAlign w:val="center"/>
          </w:tcPr>
          <w:p>
            <w:pPr>
              <w:pStyle w:val="13"/>
            </w:pPr>
            <w:r>
              <w:t>≥100%</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≤640万元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提升招商投资水平</w:t>
            </w:r>
          </w:p>
        </w:tc>
        <w:tc>
          <w:tcPr>
            <w:tcW w:w="5386" w:type="dxa"/>
            <w:vAlign w:val="center"/>
          </w:tcPr>
          <w:p>
            <w:pPr>
              <w:pStyle w:val="13"/>
            </w:pPr>
            <w:r>
              <w:t>提升招商引资精准度</w:t>
            </w:r>
          </w:p>
        </w:tc>
        <w:tc>
          <w:tcPr>
            <w:tcW w:w="2268" w:type="dxa"/>
            <w:vAlign w:val="center"/>
          </w:tcPr>
          <w:p>
            <w:pPr>
              <w:pStyle w:val="13"/>
            </w:pPr>
            <w:r>
              <w:t>有效提升</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客商和县（市、区）开发区及外资企业对我市组织招商工作满意率</w:t>
            </w:r>
          </w:p>
        </w:tc>
        <w:tc>
          <w:tcPr>
            <w:tcW w:w="2268" w:type="dxa"/>
            <w:vAlign w:val="center"/>
          </w:tcPr>
          <w:p>
            <w:pPr>
              <w:pStyle w:val="13"/>
            </w:pPr>
            <w:r>
              <w:t>≥95%</w:t>
            </w:r>
          </w:p>
        </w:tc>
        <w:tc>
          <w:tcPr>
            <w:tcW w:w="1276" w:type="dxa"/>
            <w:vAlign w:val="center"/>
          </w:tcPr>
          <w:p>
            <w:pPr>
              <w:pStyle w:val="13"/>
            </w:pPr>
            <w:r>
              <w:t>实地回访企业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9、招商引资经费-石家庄“香港周”活动绩效目标表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13010026P00614310010M</w:t>
            </w:r>
          </w:p>
        </w:tc>
        <w:tc>
          <w:tcPr>
            <w:tcW w:w="2835" w:type="dxa"/>
            <w:vAlign w:val="center"/>
          </w:tcPr>
          <w:p>
            <w:pPr>
              <w:pStyle w:val="11"/>
            </w:pPr>
            <w:r>
              <w:t>项目名称</w:t>
            </w:r>
          </w:p>
        </w:tc>
        <w:tc>
          <w:tcPr>
            <w:tcW w:w="6095" w:type="dxa"/>
            <w:gridSpan w:val="3"/>
            <w:vAlign w:val="center"/>
          </w:tcPr>
          <w:p>
            <w:pPr>
              <w:pStyle w:val="13"/>
            </w:pPr>
            <w:r>
              <w:t>招商引资经费-石家庄“香港周”活动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拜访香港重点企业，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1.通过拜访香港重点企业，推动香港企业在我市开展合作。</w:t>
            </w:r>
          </w:p>
          <w:p>
            <w:pPr>
              <w:pStyle w:val="13"/>
            </w:pPr>
            <w:r>
              <w:t>2.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推动双方加强合作，扩大石家庄市的城市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组织、参加活动人次</w:t>
            </w:r>
          </w:p>
        </w:tc>
        <w:tc>
          <w:tcPr>
            <w:tcW w:w="5386" w:type="dxa"/>
            <w:vAlign w:val="center"/>
          </w:tcPr>
          <w:p>
            <w:pPr>
              <w:pStyle w:val="13"/>
            </w:pPr>
            <w:r>
              <w:t>组织、参加活动人次</w:t>
            </w:r>
          </w:p>
        </w:tc>
        <w:tc>
          <w:tcPr>
            <w:tcW w:w="2268" w:type="dxa"/>
            <w:vAlign w:val="center"/>
          </w:tcPr>
          <w:p>
            <w:pPr>
              <w:pStyle w:val="13"/>
            </w:pPr>
            <w:r>
              <w:t>≥200人</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完成拜访香港企业</w:t>
            </w:r>
          </w:p>
        </w:tc>
        <w:tc>
          <w:tcPr>
            <w:tcW w:w="5386" w:type="dxa"/>
            <w:vAlign w:val="center"/>
          </w:tcPr>
          <w:p>
            <w:pPr>
              <w:pStyle w:val="13"/>
            </w:pPr>
            <w:r>
              <w:t>完成拜访香港企业</w:t>
            </w:r>
          </w:p>
        </w:tc>
        <w:tc>
          <w:tcPr>
            <w:tcW w:w="2268" w:type="dxa"/>
            <w:vAlign w:val="center"/>
          </w:tcPr>
          <w:p>
            <w:pPr>
              <w:pStyle w:val="13"/>
            </w:pPr>
            <w:r>
              <w:t>≥4家</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按时完成招商引资工作</w:t>
            </w:r>
          </w:p>
        </w:tc>
        <w:tc>
          <w:tcPr>
            <w:tcW w:w="5386" w:type="dxa"/>
            <w:vAlign w:val="center"/>
          </w:tcPr>
          <w:p>
            <w:pPr>
              <w:pStyle w:val="13"/>
            </w:pPr>
            <w:r>
              <w:t>按时完成招商引资工作</w:t>
            </w:r>
          </w:p>
        </w:tc>
        <w:tc>
          <w:tcPr>
            <w:tcW w:w="2268" w:type="dxa"/>
            <w:vAlign w:val="center"/>
          </w:tcPr>
          <w:p>
            <w:pPr>
              <w:pStyle w:val="13"/>
            </w:pPr>
            <w:r>
              <w:t>≥95%</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出访经费成本控制</w:t>
            </w:r>
          </w:p>
        </w:tc>
        <w:tc>
          <w:tcPr>
            <w:tcW w:w="5386" w:type="dxa"/>
            <w:vAlign w:val="center"/>
          </w:tcPr>
          <w:p>
            <w:pPr>
              <w:pStyle w:val="13"/>
            </w:pPr>
            <w:r>
              <w:t>出访经费成本控制</w:t>
            </w:r>
          </w:p>
        </w:tc>
        <w:tc>
          <w:tcPr>
            <w:tcW w:w="2268" w:type="dxa"/>
            <w:vAlign w:val="center"/>
          </w:tcPr>
          <w:p>
            <w:pPr>
              <w:pStyle w:val="13"/>
            </w:pPr>
            <w:r>
              <w:t>≤200万元</w:t>
            </w:r>
          </w:p>
        </w:tc>
        <w:tc>
          <w:tcPr>
            <w:tcW w:w="1276" w:type="dxa"/>
            <w:vAlign w:val="center"/>
          </w:tcPr>
          <w:p>
            <w:pPr>
              <w:pStyle w:val="13"/>
            </w:pPr>
            <w:r>
              <w:t>财政预算指标批复通知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提升石家庄外资招商投资水平</w:t>
            </w:r>
          </w:p>
        </w:tc>
        <w:tc>
          <w:tcPr>
            <w:tcW w:w="5386" w:type="dxa"/>
            <w:vAlign w:val="center"/>
          </w:tcPr>
          <w:p>
            <w:pPr>
              <w:pStyle w:val="13"/>
            </w:pPr>
            <w:r>
              <w:t>提升石家庄外资招商投资水平</w:t>
            </w:r>
          </w:p>
        </w:tc>
        <w:tc>
          <w:tcPr>
            <w:tcW w:w="2268" w:type="dxa"/>
            <w:vAlign w:val="center"/>
          </w:tcPr>
          <w:p>
            <w:pPr>
              <w:pStyle w:val="13"/>
            </w:pPr>
            <w:r>
              <w:t>有效提升</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持续增强我市在香港的影响力</w:t>
            </w:r>
          </w:p>
        </w:tc>
        <w:tc>
          <w:tcPr>
            <w:tcW w:w="5386" w:type="dxa"/>
            <w:vAlign w:val="center"/>
          </w:tcPr>
          <w:p>
            <w:pPr>
              <w:pStyle w:val="13"/>
            </w:pPr>
            <w:r>
              <w:t>持续增强我市在香港的影响力</w:t>
            </w:r>
          </w:p>
        </w:tc>
        <w:tc>
          <w:tcPr>
            <w:tcW w:w="2268" w:type="dxa"/>
            <w:vAlign w:val="center"/>
          </w:tcPr>
          <w:p>
            <w:pPr>
              <w:pStyle w:val="13"/>
            </w:pPr>
            <w:r>
              <w:t>持续推进</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客商对我市组织的活动满意度</w:t>
            </w:r>
          </w:p>
        </w:tc>
        <w:tc>
          <w:tcPr>
            <w:tcW w:w="5386" w:type="dxa"/>
            <w:vAlign w:val="center"/>
          </w:tcPr>
          <w:p>
            <w:pPr>
              <w:pStyle w:val="13"/>
            </w:pPr>
            <w:r>
              <w:t>客商对我市组织的活动满意度</w:t>
            </w:r>
          </w:p>
        </w:tc>
        <w:tc>
          <w:tcPr>
            <w:tcW w:w="2268" w:type="dxa"/>
            <w:vAlign w:val="center"/>
          </w:tcPr>
          <w:p>
            <w:pPr>
              <w:pStyle w:val="13"/>
            </w:pPr>
            <w:r>
              <w:t>≥95%</w:t>
            </w:r>
          </w:p>
        </w:tc>
        <w:tc>
          <w:tcPr>
            <w:tcW w:w="1276" w:type="dxa"/>
            <w:vAlign w:val="center"/>
          </w:tcPr>
          <w:p>
            <w:pPr>
              <w:pStyle w:val="13"/>
            </w:pPr>
            <w:r>
              <w:t>满意度抽查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13010026P00971210643N</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新增在编人员，工作内容为长期驻外招商，申请购置笔记本电脑；支付上年度笔记本电脑尾款。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1.保障单位各项工作正常平稳运转</w:t>
            </w:r>
          </w:p>
          <w:p>
            <w:pPr>
              <w:pStyle w:val="13"/>
            </w:pPr>
            <w:r>
              <w:t>2.确保驻外招商工作顺利开展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按要求数量购置</w:t>
            </w:r>
          </w:p>
        </w:tc>
        <w:tc>
          <w:tcPr>
            <w:tcW w:w="5386" w:type="dxa"/>
            <w:vAlign w:val="center"/>
          </w:tcPr>
          <w:p>
            <w:pPr>
              <w:pStyle w:val="13"/>
            </w:pPr>
            <w:r>
              <w:t>购置笔记本电脑；支付上年度笔记本电脑尾款</w:t>
            </w:r>
          </w:p>
        </w:tc>
        <w:tc>
          <w:tcPr>
            <w:tcW w:w="2268" w:type="dxa"/>
            <w:vAlign w:val="center"/>
          </w:tcPr>
          <w:p>
            <w:pPr>
              <w:pStyle w:val="13"/>
            </w:pPr>
            <w:r>
              <w:t>按预算安排购置</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购置验收通过率</w:t>
            </w:r>
          </w:p>
        </w:tc>
        <w:tc>
          <w:tcPr>
            <w:tcW w:w="2268" w:type="dxa"/>
            <w:vAlign w:val="center"/>
          </w:tcPr>
          <w:p>
            <w:pPr>
              <w:pStyle w:val="13"/>
            </w:pPr>
            <w:r>
              <w:t>≥95%</w:t>
            </w:r>
          </w:p>
        </w:tc>
        <w:tc>
          <w:tcPr>
            <w:tcW w:w="1276" w:type="dxa"/>
            <w:vAlign w:val="center"/>
          </w:tcPr>
          <w:p>
            <w:pPr>
              <w:pStyle w:val="13"/>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设备购置支出上限</w:t>
            </w:r>
          </w:p>
        </w:tc>
        <w:tc>
          <w:tcPr>
            <w:tcW w:w="2268" w:type="dxa"/>
            <w:vAlign w:val="center"/>
          </w:tcPr>
          <w:p>
            <w:pPr>
              <w:pStyle w:val="13"/>
            </w:pPr>
            <w:r>
              <w:t>≤1万元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良好</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13010026P009711106335</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用于投促中心党支部学习资料、书刊购置，开展党建活动等。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1.按要求印制或购买党员学习资料</w:t>
            </w:r>
          </w:p>
          <w:p>
            <w:pPr>
              <w:pStyle w:val="13"/>
            </w:pPr>
            <w:r>
              <w:t>2.根据党总支安排开展党建活动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购买党员学习用书</w:t>
            </w:r>
          </w:p>
        </w:tc>
        <w:tc>
          <w:tcPr>
            <w:tcW w:w="5386" w:type="dxa"/>
            <w:vAlign w:val="center"/>
          </w:tcPr>
          <w:p>
            <w:pPr>
              <w:pStyle w:val="13"/>
            </w:pPr>
            <w:r>
              <w:t>购买党员学习用书</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事项完成率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核定支出上限</w:t>
            </w:r>
          </w:p>
        </w:tc>
        <w:tc>
          <w:tcPr>
            <w:tcW w:w="2268" w:type="dxa"/>
            <w:vAlign w:val="center"/>
          </w:tcPr>
          <w:p>
            <w:pPr>
              <w:pStyle w:val="13"/>
            </w:pPr>
            <w:r>
              <w:t>≤0.29万元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党员学习教育效果</w:t>
            </w:r>
          </w:p>
        </w:tc>
        <w:tc>
          <w:tcPr>
            <w:tcW w:w="5386" w:type="dxa"/>
            <w:vAlign w:val="center"/>
          </w:tcPr>
          <w:p>
            <w:pPr>
              <w:pStyle w:val="13"/>
            </w:pPr>
            <w:r>
              <w:t>党员学习教育效果</w:t>
            </w:r>
          </w:p>
        </w:tc>
        <w:tc>
          <w:tcPr>
            <w:tcW w:w="2268" w:type="dxa"/>
            <w:vAlign w:val="center"/>
          </w:tcPr>
          <w:p>
            <w:pPr>
              <w:pStyle w:val="13"/>
            </w:pPr>
            <w:r>
              <w:t>良好</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党组织凝聚力</w:t>
            </w:r>
          </w:p>
        </w:tc>
        <w:tc>
          <w:tcPr>
            <w:tcW w:w="5386" w:type="dxa"/>
            <w:vAlign w:val="center"/>
          </w:tcPr>
          <w:p>
            <w:pPr>
              <w:pStyle w:val="13"/>
            </w:pPr>
            <w:r>
              <w:t>加强党员教育管理、提升组织的凝聚力</w:t>
            </w:r>
          </w:p>
        </w:tc>
        <w:tc>
          <w:tcPr>
            <w:tcW w:w="2268" w:type="dxa"/>
            <w:vAlign w:val="center"/>
          </w:tcPr>
          <w:p>
            <w:pPr>
              <w:pStyle w:val="13"/>
            </w:pPr>
            <w:r>
              <w:t>持续增强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党员干部、服务对象满意度</w:t>
            </w:r>
          </w:p>
        </w:tc>
        <w:tc>
          <w:tcPr>
            <w:tcW w:w="5386" w:type="dxa"/>
            <w:vAlign w:val="center"/>
          </w:tcPr>
          <w:p>
            <w:pPr>
              <w:pStyle w:val="13"/>
            </w:pPr>
            <w:r>
              <w:t>党员干部、服务对象满意度</w:t>
            </w:r>
          </w:p>
        </w:tc>
        <w:tc>
          <w:tcPr>
            <w:tcW w:w="2268" w:type="dxa"/>
            <w:vAlign w:val="center"/>
          </w:tcPr>
          <w:p>
            <w:pPr>
              <w:pStyle w:val="13"/>
            </w:pPr>
            <w:r>
              <w:t>良好</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13010026P00007510248J</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邀请行业专家、高校经济学教授等，面向各县（市、区）投促中心（局）、外资主管部门工作人员开展专题业务培训，用于场地费（设备使用、会场服务）、授课费、材料费等。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1.提高招商队伍专业化水平</w:t>
            </w:r>
          </w:p>
          <w:p>
            <w:pPr>
              <w:pStyle w:val="13"/>
            </w:pPr>
            <w:r>
              <w:t>2.提升各县（市、区）投促中心工作人员知识储备、业务能力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开展培训</w:t>
            </w:r>
          </w:p>
        </w:tc>
        <w:tc>
          <w:tcPr>
            <w:tcW w:w="5386" w:type="dxa"/>
            <w:vAlign w:val="center"/>
          </w:tcPr>
          <w:p>
            <w:pPr>
              <w:pStyle w:val="13"/>
            </w:pPr>
            <w:r>
              <w:t>邀请专家授课培训</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事项完成率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核定支出上限</w:t>
            </w:r>
          </w:p>
        </w:tc>
        <w:tc>
          <w:tcPr>
            <w:tcW w:w="2268" w:type="dxa"/>
            <w:vAlign w:val="center"/>
          </w:tcPr>
          <w:p>
            <w:pPr>
              <w:pStyle w:val="13"/>
            </w:pPr>
            <w:r>
              <w:t>≤1.08万元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培训效果</w:t>
            </w:r>
          </w:p>
        </w:tc>
        <w:tc>
          <w:tcPr>
            <w:tcW w:w="5386" w:type="dxa"/>
            <w:vAlign w:val="center"/>
          </w:tcPr>
          <w:p>
            <w:pPr>
              <w:pStyle w:val="13"/>
            </w:pPr>
            <w:r>
              <w:t>培训效果影响程度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提升工作人员业务能力和水平</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参加培训人员满意度</w:t>
            </w:r>
          </w:p>
        </w:tc>
        <w:tc>
          <w:tcPr>
            <w:tcW w:w="5386" w:type="dxa"/>
            <w:vAlign w:val="center"/>
          </w:tcPr>
          <w:p>
            <w:pPr>
              <w:pStyle w:val="13"/>
            </w:pPr>
            <w:r>
              <w:t>参加培训人员满意度</w:t>
            </w:r>
          </w:p>
        </w:tc>
        <w:tc>
          <w:tcPr>
            <w:tcW w:w="2268" w:type="dxa"/>
            <w:vAlign w:val="center"/>
          </w:tcPr>
          <w:p>
            <w:pPr>
              <w:pStyle w:val="13"/>
            </w:pPr>
            <w:r>
              <w:t>良好</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13010026P00988010314R</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招商项目涉及产业、基金、经济等多方面，专业性强，需要向专业人员、团队开展业务咨询，聘请第三方进行项目评估；投资促进服务中心作为独立核算单位，需要聘请专业人员分析指导。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1.通过对单位制度、绩效目标等指导评价，规范运行，提高工作效能</w:t>
            </w:r>
          </w:p>
          <w:p>
            <w:pPr>
              <w:pStyle w:val="13"/>
            </w:pPr>
            <w:r>
              <w:t>2.委托专家、专业机构对招商引资项目进行评估，研判评估结果作为项目推动的依据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委托次数</w:t>
            </w:r>
          </w:p>
        </w:tc>
        <w:tc>
          <w:tcPr>
            <w:tcW w:w="5386" w:type="dxa"/>
            <w:vAlign w:val="center"/>
          </w:tcPr>
          <w:p>
            <w:pPr>
              <w:pStyle w:val="13"/>
            </w:pPr>
            <w:r>
              <w:t>组织专家对重点招商引资项目进行研判，开展绩效评价。</w:t>
            </w:r>
          </w:p>
        </w:tc>
        <w:tc>
          <w:tcPr>
            <w:tcW w:w="2268" w:type="dxa"/>
            <w:vAlign w:val="center"/>
          </w:tcPr>
          <w:p>
            <w:pPr>
              <w:pStyle w:val="13"/>
            </w:pPr>
            <w:r>
              <w:t>≤2次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综合实务工作完成率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资金成本</w:t>
            </w:r>
          </w:p>
        </w:tc>
        <w:tc>
          <w:tcPr>
            <w:tcW w:w="2268" w:type="dxa"/>
            <w:vAlign w:val="center"/>
          </w:tcPr>
          <w:p>
            <w:pPr>
              <w:pStyle w:val="13"/>
            </w:pPr>
            <w:r>
              <w:t>≤1.8万元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产业集群发展</w:t>
            </w:r>
          </w:p>
        </w:tc>
        <w:tc>
          <w:tcPr>
            <w:tcW w:w="5386" w:type="dxa"/>
            <w:vAlign w:val="center"/>
          </w:tcPr>
          <w:p>
            <w:pPr>
              <w:pStyle w:val="13"/>
            </w:pPr>
            <w:r>
              <w:t>产业集群发展</w:t>
            </w:r>
          </w:p>
        </w:tc>
        <w:tc>
          <w:tcPr>
            <w:tcW w:w="2268" w:type="dxa"/>
            <w:vAlign w:val="center"/>
          </w:tcPr>
          <w:p>
            <w:pPr>
              <w:pStyle w:val="13"/>
            </w:pPr>
            <w:r>
              <w:t>促进作用</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工作效率</w:t>
            </w:r>
          </w:p>
        </w:tc>
        <w:tc>
          <w:tcPr>
            <w:tcW w:w="5386" w:type="dxa"/>
            <w:vAlign w:val="center"/>
          </w:tcPr>
          <w:p>
            <w:pPr>
              <w:pStyle w:val="13"/>
            </w:pPr>
            <w:r>
              <w:t>项目招引质量与推进效率</w:t>
            </w:r>
          </w:p>
        </w:tc>
        <w:tc>
          <w:tcPr>
            <w:tcW w:w="2268" w:type="dxa"/>
            <w:vAlign w:val="center"/>
          </w:tcPr>
          <w:p>
            <w:pPr>
              <w:pStyle w:val="13"/>
            </w:pPr>
            <w:r>
              <w:t>有所提高</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14、招商活动经费绩效目标表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13010026P00LH0C10003T</w:t>
            </w:r>
          </w:p>
        </w:tc>
        <w:tc>
          <w:tcPr>
            <w:tcW w:w="2835" w:type="dxa"/>
            <w:vAlign w:val="center"/>
          </w:tcPr>
          <w:p>
            <w:pPr>
              <w:pStyle w:val="11"/>
            </w:pPr>
            <w:r>
              <w:t>项目名称</w:t>
            </w:r>
          </w:p>
        </w:tc>
        <w:tc>
          <w:tcPr>
            <w:tcW w:w="6095" w:type="dxa"/>
            <w:gridSpan w:val="3"/>
            <w:vAlign w:val="center"/>
          </w:tcPr>
          <w:p>
            <w:pPr>
              <w:pStyle w:val="13"/>
            </w:pPr>
            <w:r>
              <w:t>招商活动经费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常态化驻外招商工作，驻地为北京、深圳、长三角、上海，用于往返交通费、差旅补助、部分城市住宿费；（2）赴外地参加国际、国内大型展会、博览会活动，或赴外地对接考察意向项目，用于人员交通、住宿、差旅补助；（3）赴各县（市、区）外资企业，提供政策咨询、投诉处理、法律服务、纠纷调解、权益保障等服务，用于人员差旅补助。（4）举办招商引资对接活动，推介我市产业与营商环境，挖掘意向项目，拓展客商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1.参加广交会、投洽会、进博会、厦洽会等大型展会，挖掘意向项目</w:t>
            </w:r>
          </w:p>
          <w:p>
            <w:pPr>
              <w:pStyle w:val="13"/>
            </w:pPr>
            <w:r>
              <w:t>2.赴县（市、区）对接企业、服务企业</w:t>
            </w:r>
          </w:p>
          <w:p>
            <w:pPr>
              <w:pStyle w:val="13"/>
            </w:pPr>
            <w:r>
              <w:t>3.举办招商对接活动，展示我市营商环境与发展机遇</w:t>
            </w:r>
          </w:p>
          <w:p>
            <w:pPr>
              <w:pStyle w:val="13"/>
            </w:pPr>
            <w:r>
              <w:t>4.于驻地开展驻外招商工作，对接客商、洽谈项目，吸引更多企业家关注石家庄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拓展资源渠道</w:t>
            </w:r>
          </w:p>
        </w:tc>
        <w:tc>
          <w:tcPr>
            <w:tcW w:w="5386" w:type="dxa"/>
            <w:vAlign w:val="center"/>
          </w:tcPr>
          <w:p>
            <w:pPr>
              <w:pStyle w:val="13"/>
            </w:pPr>
            <w:r>
              <w:t>对接客商资源、拓展招商朋友圈</w:t>
            </w:r>
          </w:p>
        </w:tc>
        <w:tc>
          <w:tcPr>
            <w:tcW w:w="2268" w:type="dxa"/>
            <w:vAlign w:val="center"/>
          </w:tcPr>
          <w:p>
            <w:pPr>
              <w:pStyle w:val="13"/>
            </w:pPr>
            <w:r>
              <w:t>≥100个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挖掘项目信息</w:t>
            </w:r>
          </w:p>
        </w:tc>
        <w:tc>
          <w:tcPr>
            <w:tcW w:w="5386" w:type="dxa"/>
            <w:vAlign w:val="center"/>
          </w:tcPr>
          <w:p>
            <w:pPr>
              <w:pStyle w:val="13"/>
            </w:pPr>
            <w:r>
              <w:t>挖掘意向项目并向符合县（市、区）推送</w:t>
            </w:r>
          </w:p>
        </w:tc>
        <w:tc>
          <w:tcPr>
            <w:tcW w:w="2268" w:type="dxa"/>
            <w:vAlign w:val="center"/>
          </w:tcPr>
          <w:p>
            <w:pPr>
              <w:pStyle w:val="13"/>
            </w:pPr>
            <w:r>
              <w:t>≥20个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各项任务完成时间</w:t>
            </w:r>
          </w:p>
        </w:tc>
        <w:tc>
          <w:tcPr>
            <w:tcW w:w="5386" w:type="dxa"/>
            <w:vAlign w:val="center"/>
          </w:tcPr>
          <w:p>
            <w:pPr>
              <w:pStyle w:val="13"/>
            </w:pPr>
            <w:r>
              <w:t>各项招商工作完成及时率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控制预算成本</w:t>
            </w:r>
          </w:p>
        </w:tc>
        <w:tc>
          <w:tcPr>
            <w:tcW w:w="2268" w:type="dxa"/>
            <w:vAlign w:val="center"/>
          </w:tcPr>
          <w:p>
            <w:pPr>
              <w:pStyle w:val="13"/>
            </w:pPr>
            <w:r>
              <w:t>≤25万元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提高我市知名度，吸引企业家来石投资</w:t>
            </w:r>
          </w:p>
        </w:tc>
        <w:tc>
          <w:tcPr>
            <w:tcW w:w="5386" w:type="dxa"/>
            <w:vAlign w:val="center"/>
          </w:tcPr>
          <w:p>
            <w:pPr>
              <w:pStyle w:val="13"/>
            </w:pPr>
            <w:r>
              <w:t>通过对外不断的对接，宣传石家庄城市形象、营商环境、区位优势，推动有意向投资企业来石考察</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企业对我市组织招商工作满意率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321石家庄市投资促进局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229.87</w:t>
            </w:r>
          </w:p>
        </w:tc>
        <w:tc>
          <w:tcPr>
            <w:tcW w:w="964" w:type="dxa"/>
            <w:vAlign w:val="center"/>
          </w:tcPr>
          <w:p>
            <w:pPr>
              <w:pStyle w:val="16"/>
            </w:pPr>
            <w:r>
              <w:t>229.87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石家庄市投资促进局本级小计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226.36</w:t>
            </w:r>
          </w:p>
        </w:tc>
        <w:tc>
          <w:tcPr>
            <w:tcW w:w="964" w:type="dxa"/>
            <w:vAlign w:val="center"/>
          </w:tcPr>
          <w:p>
            <w:pPr>
              <w:pStyle w:val="16"/>
            </w:pPr>
            <w:r>
              <w:t>226.36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1.01</w:t>
            </w:r>
          </w:p>
        </w:tc>
        <w:tc>
          <w:tcPr>
            <w:tcW w:w="964" w:type="dxa"/>
            <w:vAlign w:val="center"/>
          </w:tcPr>
          <w:p>
            <w:pPr>
              <w:pStyle w:val="12"/>
            </w:pPr>
            <w:r>
              <w:t>1.01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0.94</w:t>
            </w:r>
          </w:p>
        </w:tc>
        <w:tc>
          <w:tcPr>
            <w:tcW w:w="964" w:type="dxa"/>
            <w:vAlign w:val="center"/>
          </w:tcPr>
          <w:p>
            <w:pPr>
              <w:pStyle w:val="12"/>
            </w:pPr>
            <w:r>
              <w:t>0.94</w:t>
            </w:r>
          </w:p>
        </w:tc>
        <w:tc>
          <w:tcPr>
            <w:tcW w:w="964" w:type="dxa"/>
            <w:vAlign w:val="center"/>
          </w:tcPr>
          <w:p>
            <w:pPr>
              <w:pStyle w:val="12"/>
            </w:pPr>
            <w:r>
              <w:t>0.94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1.21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0.30</w:t>
            </w:r>
          </w:p>
        </w:tc>
        <w:tc>
          <w:tcPr>
            <w:tcW w:w="964" w:type="dxa"/>
            <w:vAlign w:val="center"/>
          </w:tcPr>
          <w:p>
            <w:pPr>
              <w:pStyle w:val="12"/>
            </w:pPr>
            <w:r>
              <w:t>1.21</w:t>
            </w:r>
          </w:p>
        </w:tc>
        <w:tc>
          <w:tcPr>
            <w:tcW w:w="964" w:type="dxa"/>
            <w:vAlign w:val="center"/>
          </w:tcPr>
          <w:p>
            <w:pPr>
              <w:pStyle w:val="12"/>
            </w:pPr>
            <w:r>
              <w:t>1.21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党组织活动经费</w:t>
            </w:r>
          </w:p>
        </w:tc>
        <w:tc>
          <w:tcPr>
            <w:tcW w:w="964" w:type="dxa"/>
            <w:vAlign w:val="center"/>
          </w:tcPr>
          <w:p>
            <w:pPr>
              <w:pStyle w:val="12"/>
            </w:pPr>
            <w:r>
              <w:t>3.50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文件资料印刷费</w:t>
            </w:r>
          </w:p>
        </w:tc>
        <w:tc>
          <w:tcPr>
            <w:tcW w:w="964" w:type="dxa"/>
            <w:vAlign w:val="center"/>
          </w:tcPr>
          <w:p>
            <w:pPr>
              <w:pStyle w:val="12"/>
            </w:pPr>
            <w:r>
              <w:t>2.00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5000</w:t>
            </w:r>
          </w:p>
        </w:tc>
        <w:tc>
          <w:tcPr>
            <w:tcW w:w="850" w:type="dxa"/>
            <w:vAlign w:val="center"/>
          </w:tcPr>
          <w:p>
            <w:pPr>
              <w:pStyle w:val="12"/>
            </w:pPr>
            <w:r>
              <w:t>0.00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招商引资经费-石家庄“香港周”活动</w:t>
            </w:r>
          </w:p>
        </w:tc>
        <w:tc>
          <w:tcPr>
            <w:tcW w:w="964" w:type="dxa"/>
            <w:vAlign w:val="center"/>
          </w:tcPr>
          <w:p>
            <w:pPr>
              <w:pStyle w:val="12"/>
            </w:pPr>
            <w:r>
              <w:t>200.00</w:t>
            </w:r>
          </w:p>
        </w:tc>
        <w:tc>
          <w:tcPr>
            <w:tcW w:w="1134" w:type="dxa"/>
            <w:vAlign w:val="center"/>
          </w:tcPr>
          <w:p>
            <w:pPr>
              <w:pStyle w:val="13"/>
            </w:pPr>
            <w:r>
              <w:t>其他会议、展览、住宿和餐饮服务</w:t>
            </w:r>
          </w:p>
        </w:tc>
        <w:tc>
          <w:tcPr>
            <w:tcW w:w="1134" w:type="dxa"/>
            <w:vAlign w:val="center"/>
          </w:tcPr>
          <w:p>
            <w:pPr>
              <w:pStyle w:val="13"/>
            </w:pPr>
            <w:r>
              <w:t>C22990000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招商引资经费</w:t>
            </w:r>
          </w:p>
        </w:tc>
        <w:tc>
          <w:tcPr>
            <w:tcW w:w="964" w:type="dxa"/>
            <w:vAlign w:val="center"/>
          </w:tcPr>
          <w:p>
            <w:pPr>
              <w:pStyle w:val="12"/>
            </w:pPr>
            <w:r>
              <w:t>640.00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1000</w:t>
            </w:r>
          </w:p>
        </w:tc>
        <w:tc>
          <w:tcPr>
            <w:tcW w:w="850" w:type="dxa"/>
            <w:vAlign w:val="center"/>
          </w:tcPr>
          <w:p>
            <w:pPr>
              <w:pStyle w:val="12"/>
            </w:pPr>
            <w:r>
              <w:t>0.02</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石家庄市投资促进服务中心（石家庄市外商投资企业投诉服务中心）小计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3.51</w:t>
            </w:r>
          </w:p>
        </w:tc>
        <w:tc>
          <w:tcPr>
            <w:tcW w:w="964" w:type="dxa"/>
            <w:vAlign w:val="center"/>
          </w:tcPr>
          <w:p>
            <w:pPr>
              <w:pStyle w:val="16"/>
            </w:pPr>
            <w:r>
              <w:t>3.51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34</w:t>
            </w:r>
          </w:p>
        </w:tc>
        <w:tc>
          <w:tcPr>
            <w:tcW w:w="850" w:type="dxa"/>
            <w:vAlign w:val="center"/>
          </w:tcPr>
          <w:p>
            <w:pPr>
              <w:pStyle w:val="12"/>
            </w:pPr>
            <w:r>
              <w:t>0.02</w:t>
            </w:r>
          </w:p>
        </w:tc>
        <w:tc>
          <w:tcPr>
            <w:tcW w:w="964" w:type="dxa"/>
            <w:vAlign w:val="center"/>
          </w:tcPr>
          <w:p>
            <w:pPr>
              <w:pStyle w:val="12"/>
            </w:pPr>
            <w:r>
              <w:t>0.57</w:t>
            </w:r>
          </w:p>
        </w:tc>
        <w:tc>
          <w:tcPr>
            <w:tcW w:w="964" w:type="dxa"/>
            <w:vAlign w:val="center"/>
          </w:tcPr>
          <w:p>
            <w:pPr>
              <w:pStyle w:val="12"/>
            </w:pPr>
            <w:r>
              <w:t>0.57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0.67</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0.67</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车辆充换电服务</w:t>
            </w:r>
          </w:p>
        </w:tc>
        <w:tc>
          <w:tcPr>
            <w:tcW w:w="1134" w:type="dxa"/>
            <w:vAlign w:val="center"/>
          </w:tcPr>
          <w:p>
            <w:pPr>
              <w:pStyle w:val="13"/>
            </w:pPr>
            <w:r>
              <w:t>C23120303</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石家庄市投资促进局（含所属单位）上年末固定资产金额为</w:t>
      </w:r>
      <w:r>
        <w:rPr>
          <w:rFonts w:hint="eastAsia" w:eastAsia="方正仿宋_GBK" w:cs="Times New Roman"/>
          <w:b w:val="0"/>
          <w:color w:val="000000"/>
          <w:sz w:val="28"/>
          <w:lang w:val="en-US" w:eastAsia="zh-CN"/>
        </w:rPr>
        <w:t>211.51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2.21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321石家庄市投资促进局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jc w:val="center"/>
            </w:pPr>
            <w:r>
              <w:rPr>
                <w:rFonts w:hint="eastAsia"/>
                <w:lang w:eastAsia="zh-CN"/>
              </w:rPr>
              <w:t>资产总额</w:t>
            </w:r>
          </w:p>
        </w:tc>
        <w:tc>
          <w:tcPr>
            <w:tcW w:w="2835" w:type="dxa"/>
            <w:vAlign w:val="center"/>
          </w:tcPr>
          <w:p>
            <w:pPr>
              <w:pStyle w:val="14"/>
              <w:ind w:firstLine="0" w:firstLineChars="0"/>
            </w:pPr>
            <w:r>
              <w:rPr>
                <w:rFonts w:hint="eastAsia"/>
                <w:lang w:val="en-US" w:eastAsia="zh-CN"/>
              </w:rPr>
              <w:t>-</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211.51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3"/>
              <w:ind w:firstLine="0" w:firstLineChars="0"/>
            </w:pPr>
            <w:r>
              <w:rPr>
                <w:rFonts w:hint="eastAsia" w:ascii="FZSSK--GBK1-0" w:hAnsi="FZSSK--GBK1-0" w:eastAsia="FZSSK--GBK1-0"/>
                <w:sz w:val="21"/>
              </w:rPr>
              <w:t>1、房屋（平方米）</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200" w:firstLineChars="100"/>
            </w:pPr>
            <w:r>
              <w:rPr>
                <w:rFonts w:hint="eastAsia" w:ascii="MicrosoftYaHei" w:hAnsi="MicrosoftYaHei" w:eastAsia="MicrosoftYaHei"/>
                <w:sz w:val="20"/>
              </w:rPr>
              <w:t>其中：办公用房（平方米）</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pPr>
            <w:r>
              <w:rPr>
                <w:rFonts w:hint="eastAsia" w:ascii="MicrosoftYaHei" w:hAnsi="MicrosoftYaHei" w:eastAsia="MicrosoftYaHei"/>
                <w:sz w:val="20"/>
              </w:rPr>
              <w:t>2、车辆（台、辆）</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2</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35.96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pPr>
            <w:r>
              <w:rPr>
                <w:rFonts w:hint="eastAsia" w:ascii="MicrosoftYaHei" w:hAnsi="MicrosoftYaHei" w:eastAsia="MicrosoftYaHei"/>
                <w:sz w:val="20"/>
              </w:rPr>
              <w:t>3、单价在20 万元以上</w:t>
            </w:r>
            <w:r>
              <w:rPr>
                <w:rFonts w:hint="eastAsia" w:ascii="MicrosoftYaHei" w:hAnsi="MicrosoftYaHei" w:eastAsia="MicrosoftYaHei"/>
                <w:sz w:val="20"/>
                <w:lang w:eastAsia="zh-CN"/>
              </w:rPr>
              <w:t>设备</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ind w:firstLine="0" w:firstLineChars="0"/>
            </w:pPr>
            <w:r>
              <w:rPr>
                <w:rFonts w:hint="eastAsia" w:ascii="MicrosoftYaHei" w:hAnsi="MicrosoftYaHei" w:eastAsia="MicrosoftYaHei"/>
                <w:sz w:val="20"/>
              </w:rPr>
              <w:t>4、其他固定资产</w:t>
            </w:r>
          </w:p>
        </w:tc>
        <w:tc>
          <w:tcPr>
            <w:tcW w:w="2835" w:type="dxa"/>
            <w:vAlign w:val="center"/>
          </w:tcPr>
          <w:p>
            <w:pPr>
              <w:pStyle w:val="14"/>
              <w:ind w:firstLine="0" w:firstLineChars="0"/>
              <w:rPr>
                <w:rFonts w:hint="default"/>
                <w:lang w:val="en-US"/>
              </w:rPr>
            </w:pPr>
            <w:r>
              <w:rPr>
                <w:rFonts w:hint="eastAsia"/>
                <w:lang w:val="en-US" w:eastAsia="zh-CN"/>
              </w:rPr>
              <w:t>619</w:t>
            </w:r>
          </w:p>
        </w:tc>
        <w:tc>
          <w:tcPr>
            <w:tcW w:w="2835" w:type="dxa"/>
            <w:vAlign w:val="center"/>
          </w:tcPr>
          <w:p>
            <w:pPr>
              <w:pStyle w:val="12"/>
              <w:ind w:firstLine="0" w:firstLineChars="0"/>
              <w:rPr>
                <w:rFonts w:hint="default"/>
                <w:lang w:val="en-US"/>
              </w:rPr>
            </w:pPr>
            <w:r>
              <w:rPr>
                <w:rFonts w:hint="eastAsia"/>
                <w:lang w:val="en-US" w:eastAsia="zh-CN"/>
              </w:rPr>
              <w:t>175.55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icrosoftYaHei">
    <w:altName w:val="宋体"/>
    <w:panose1 w:val="00000000000000000000"/>
    <w:charset w:val="86"/>
    <w:family w:val="auto"/>
    <w:pitch w:val="default"/>
    <w:sig w:usb0="00000000" w:usb1="00000000" w:usb2="00000000" w:usb3="00000000" w:csb0="00040000" w:csb1="00000000"/>
  </w:font>
  <w:font w:name="FZSSK--GBK1-0">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23DE186E"/>
    <w:rsid w:val="3AEB322B"/>
    <w:rsid w:val="3D623F7C"/>
    <w:rsid w:val="4C3550ED"/>
    <w:rsid w:val="51DA6296"/>
    <w:rsid w:val="54D81769"/>
    <w:rsid w:val="99BEF9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15601</Words>
  <Characters>18558</Characters>
  <TotalTime>5</TotalTime>
  <ScaleCrop>false</ScaleCrop>
  <LinksUpToDate>false</LinksUpToDate>
  <CharactersWithSpaces>19047</CharactersWithSpaces>
  <Application>WPS Office_11.8.2.12219_F1E327BC-269C-435d-A152-05C5408002CA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2026-02-09T22:25:00Z</dcterms:created>
  <dc:creator>Administrator</dc:creator>
  <cp:lastModifiedBy>Unis</cp:lastModifiedBy>
  <cp:lastPrinted>2026-02-09T16:24:00Z</cp:lastPrinted>
  <dcterms:modified xsi:type="dcterms:W3CDTF">2026-05-08T10:54:05Z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2052-11.8.2.12219</vt:lpwstr>
  </property>
  <property fmtid="{D5CDD505-2E9C-101B-9397-08002B2CF9AE}" pid="3" name="ICV">
    <vt:lpwstr>CAF2D88ADE2943C4972930644FE2A95F</vt:lpwstr>
  </property>
</Properties>
</file>