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一、石家庄市新华区人民检察院本级收支预算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一、石家庄市新华区人民检察院本级收支预算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631001石家庄市新华区人民检察院本级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2329.06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1764.44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382.39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2329.06</w:t>
            </w:r>
          </w:p>
        </w:tc>
        <w:tc>
          <w:tcPr>
            <w:tcW w:w="4535" w:type="dxa"/>
            <w:vAlign w:val="center"/>
          </w:tcPr>
          <w:p>
            <w:pPr>
              <w:pStyle w:val="14"/>
            </w:pPr>
            <w:r>
              <w:t>本年支出合计</w:t>
            </w:r>
          </w:p>
        </w:tc>
        <w:tc>
          <w:tcPr>
            <w:tcW w:w="2126" w:type="dxa"/>
            <w:vAlign w:val="center"/>
          </w:tcPr>
          <w:p>
            <w:pPr>
              <w:pStyle w:val="15"/>
            </w:pPr>
            <w:r>
              <w:t>2329.06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2329.06</w:t>
            </w:r>
          </w:p>
        </w:tc>
        <w:tc>
          <w:tcPr>
            <w:tcW w:w="4535" w:type="dxa"/>
            <w:vAlign w:val="center"/>
          </w:tcPr>
          <w:p>
            <w:pPr>
              <w:pStyle w:val="14"/>
            </w:pPr>
            <w:r>
              <w:t>支出总计</w:t>
            </w:r>
          </w:p>
        </w:tc>
        <w:tc>
          <w:tcPr>
            <w:tcW w:w="2126" w:type="dxa"/>
            <w:vAlign w:val="center"/>
          </w:tcPr>
          <w:p>
            <w:pPr>
              <w:pStyle w:val="15"/>
            </w:pPr>
            <w:r>
              <w:t>2329.06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631001石家庄市新华区人民检察院本级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2329.06</w:t>
            </w:r>
          </w:p>
        </w:tc>
        <w:tc>
          <w:tcPr>
            <w:tcW w:w="1134" w:type="dxa"/>
            <w:vAlign w:val="center"/>
          </w:tcPr>
          <w:p>
            <w:pPr>
              <w:pStyle w:val="15"/>
            </w:pPr>
            <w:r>
              <w:t>2329.06</w:t>
            </w:r>
          </w:p>
        </w:tc>
        <w:tc>
          <w:tcPr>
            <w:tcW w:w="1134" w:type="dxa"/>
            <w:vAlign w:val="center"/>
          </w:tcPr>
          <w:p>
            <w:pPr>
              <w:pStyle w:val="15"/>
            </w:pPr>
            <w:r>
              <w:t>2329.06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1764.44</w:t>
            </w:r>
          </w:p>
        </w:tc>
        <w:tc>
          <w:tcPr>
            <w:tcW w:w="1134" w:type="dxa"/>
            <w:vAlign w:val="center"/>
          </w:tcPr>
          <w:p>
            <w:pPr>
              <w:pStyle w:val="11"/>
            </w:pPr>
            <w:r>
              <w:t>1764.44</w:t>
            </w:r>
          </w:p>
        </w:tc>
        <w:tc>
          <w:tcPr>
            <w:tcW w:w="1134" w:type="dxa"/>
            <w:vAlign w:val="center"/>
          </w:tcPr>
          <w:p>
            <w:pPr>
              <w:pStyle w:val="11"/>
            </w:pPr>
            <w:r>
              <w:t>1764.44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20404</w:t>
            </w:r>
          </w:p>
        </w:tc>
        <w:tc>
          <w:tcPr>
            <w:tcW w:w="1559" w:type="dxa"/>
            <w:vAlign w:val="center"/>
          </w:tcPr>
          <w:p>
            <w:pPr>
              <w:pStyle w:val="12"/>
            </w:pPr>
            <w:r>
              <w:t>检察</w:t>
            </w:r>
          </w:p>
        </w:tc>
        <w:tc>
          <w:tcPr>
            <w:tcW w:w="1134" w:type="dxa"/>
            <w:vAlign w:val="center"/>
          </w:tcPr>
          <w:p>
            <w:pPr>
              <w:pStyle w:val="11"/>
            </w:pPr>
            <w:r>
              <w:t>1764.44</w:t>
            </w:r>
          </w:p>
        </w:tc>
        <w:tc>
          <w:tcPr>
            <w:tcW w:w="1134" w:type="dxa"/>
            <w:vAlign w:val="center"/>
          </w:tcPr>
          <w:p>
            <w:pPr>
              <w:pStyle w:val="11"/>
            </w:pPr>
            <w:r>
              <w:t>1764.44</w:t>
            </w:r>
          </w:p>
        </w:tc>
        <w:tc>
          <w:tcPr>
            <w:tcW w:w="1134" w:type="dxa"/>
            <w:vAlign w:val="center"/>
          </w:tcPr>
          <w:p>
            <w:pPr>
              <w:pStyle w:val="11"/>
            </w:pPr>
            <w:r>
              <w:t>1764.44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2040401</w:t>
            </w:r>
          </w:p>
        </w:tc>
        <w:tc>
          <w:tcPr>
            <w:tcW w:w="1559" w:type="dxa"/>
            <w:vAlign w:val="center"/>
          </w:tcPr>
          <w:p>
            <w:pPr>
              <w:pStyle w:val="12"/>
            </w:pPr>
            <w:r>
              <w:t>行政运行</w:t>
            </w:r>
          </w:p>
        </w:tc>
        <w:tc>
          <w:tcPr>
            <w:tcW w:w="1134" w:type="dxa"/>
            <w:vAlign w:val="center"/>
          </w:tcPr>
          <w:p>
            <w:pPr>
              <w:pStyle w:val="11"/>
            </w:pPr>
            <w:r>
              <w:t>1236.18</w:t>
            </w:r>
          </w:p>
        </w:tc>
        <w:tc>
          <w:tcPr>
            <w:tcW w:w="1134" w:type="dxa"/>
            <w:vAlign w:val="center"/>
          </w:tcPr>
          <w:p>
            <w:pPr>
              <w:pStyle w:val="11"/>
            </w:pPr>
            <w:r>
              <w:t>1236.18</w:t>
            </w:r>
          </w:p>
        </w:tc>
        <w:tc>
          <w:tcPr>
            <w:tcW w:w="1134" w:type="dxa"/>
            <w:vAlign w:val="center"/>
          </w:tcPr>
          <w:p>
            <w:pPr>
              <w:pStyle w:val="11"/>
            </w:pPr>
            <w:r>
              <w:t>1236.18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2040402</w:t>
            </w:r>
          </w:p>
        </w:tc>
        <w:tc>
          <w:tcPr>
            <w:tcW w:w="1559" w:type="dxa"/>
            <w:vAlign w:val="center"/>
          </w:tcPr>
          <w:p>
            <w:pPr>
              <w:pStyle w:val="12"/>
            </w:pPr>
            <w:r>
              <w:t>一般行政管理事务</w:t>
            </w:r>
          </w:p>
        </w:tc>
        <w:tc>
          <w:tcPr>
            <w:tcW w:w="1134" w:type="dxa"/>
            <w:vAlign w:val="center"/>
          </w:tcPr>
          <w:p>
            <w:pPr>
              <w:pStyle w:val="11"/>
            </w:pPr>
            <w:r>
              <w:t>115.26</w:t>
            </w:r>
          </w:p>
        </w:tc>
        <w:tc>
          <w:tcPr>
            <w:tcW w:w="1134" w:type="dxa"/>
            <w:vAlign w:val="center"/>
          </w:tcPr>
          <w:p>
            <w:pPr>
              <w:pStyle w:val="11"/>
            </w:pPr>
            <w:r>
              <w:t>115.26</w:t>
            </w:r>
          </w:p>
        </w:tc>
        <w:tc>
          <w:tcPr>
            <w:tcW w:w="1134" w:type="dxa"/>
            <w:vAlign w:val="center"/>
          </w:tcPr>
          <w:p>
            <w:pPr>
              <w:pStyle w:val="11"/>
            </w:pPr>
            <w:r>
              <w:t>115.26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2040499</w:t>
            </w:r>
          </w:p>
        </w:tc>
        <w:tc>
          <w:tcPr>
            <w:tcW w:w="1559" w:type="dxa"/>
            <w:vAlign w:val="center"/>
          </w:tcPr>
          <w:p>
            <w:pPr>
              <w:pStyle w:val="12"/>
            </w:pPr>
            <w:r>
              <w:t>其他检察支出</w:t>
            </w:r>
          </w:p>
        </w:tc>
        <w:tc>
          <w:tcPr>
            <w:tcW w:w="1134" w:type="dxa"/>
            <w:vAlign w:val="center"/>
          </w:tcPr>
          <w:p>
            <w:pPr>
              <w:pStyle w:val="11"/>
            </w:pPr>
            <w:r>
              <w:t>413.00</w:t>
            </w:r>
          </w:p>
        </w:tc>
        <w:tc>
          <w:tcPr>
            <w:tcW w:w="1134" w:type="dxa"/>
            <w:vAlign w:val="center"/>
          </w:tcPr>
          <w:p>
            <w:pPr>
              <w:pStyle w:val="11"/>
            </w:pPr>
            <w:r>
              <w:t>413.00</w:t>
            </w:r>
          </w:p>
        </w:tc>
        <w:tc>
          <w:tcPr>
            <w:tcW w:w="1134" w:type="dxa"/>
            <w:vAlign w:val="center"/>
          </w:tcPr>
          <w:p>
            <w:pPr>
              <w:pStyle w:val="11"/>
            </w:pPr>
            <w:r>
              <w:t>413.00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382.39</w:t>
            </w:r>
          </w:p>
        </w:tc>
        <w:tc>
          <w:tcPr>
            <w:tcW w:w="1134" w:type="dxa"/>
            <w:vAlign w:val="center"/>
          </w:tcPr>
          <w:p>
            <w:pPr>
              <w:pStyle w:val="11"/>
            </w:pPr>
            <w:r>
              <w:t>382.39</w:t>
            </w:r>
          </w:p>
        </w:tc>
        <w:tc>
          <w:tcPr>
            <w:tcW w:w="1134" w:type="dxa"/>
            <w:vAlign w:val="center"/>
          </w:tcPr>
          <w:p>
            <w:pPr>
              <w:pStyle w:val="11"/>
            </w:pPr>
            <w:r>
              <w:t>382.39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379.78</w:t>
            </w:r>
          </w:p>
        </w:tc>
        <w:tc>
          <w:tcPr>
            <w:tcW w:w="1134" w:type="dxa"/>
            <w:vAlign w:val="center"/>
          </w:tcPr>
          <w:p>
            <w:pPr>
              <w:pStyle w:val="11"/>
            </w:pPr>
            <w:r>
              <w:t>379.78</w:t>
            </w:r>
          </w:p>
        </w:tc>
        <w:tc>
          <w:tcPr>
            <w:tcW w:w="1134" w:type="dxa"/>
            <w:vAlign w:val="center"/>
          </w:tcPr>
          <w:p>
            <w:pPr>
              <w:pStyle w:val="11"/>
            </w:pPr>
            <w:r>
              <w:t>379.78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243.08</w:t>
            </w:r>
          </w:p>
        </w:tc>
        <w:tc>
          <w:tcPr>
            <w:tcW w:w="1134" w:type="dxa"/>
            <w:vAlign w:val="center"/>
          </w:tcPr>
          <w:p>
            <w:pPr>
              <w:pStyle w:val="11"/>
            </w:pPr>
            <w:r>
              <w:t>243.08</w:t>
            </w:r>
          </w:p>
        </w:tc>
        <w:tc>
          <w:tcPr>
            <w:tcW w:w="1134" w:type="dxa"/>
            <w:vAlign w:val="center"/>
          </w:tcPr>
          <w:p>
            <w:pPr>
              <w:pStyle w:val="11"/>
            </w:pPr>
            <w:r>
              <w:t>243.08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109.70</w:t>
            </w:r>
          </w:p>
        </w:tc>
        <w:tc>
          <w:tcPr>
            <w:tcW w:w="1134" w:type="dxa"/>
            <w:vAlign w:val="center"/>
          </w:tcPr>
          <w:p>
            <w:pPr>
              <w:pStyle w:val="11"/>
            </w:pPr>
            <w:r>
              <w:t>109.70</w:t>
            </w:r>
          </w:p>
        </w:tc>
        <w:tc>
          <w:tcPr>
            <w:tcW w:w="1134" w:type="dxa"/>
            <w:vAlign w:val="center"/>
          </w:tcPr>
          <w:p>
            <w:pPr>
              <w:pStyle w:val="11"/>
            </w:pPr>
            <w:r>
              <w:t>109.70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2.61</w:t>
            </w:r>
          </w:p>
        </w:tc>
        <w:tc>
          <w:tcPr>
            <w:tcW w:w="1134" w:type="dxa"/>
            <w:vAlign w:val="center"/>
          </w:tcPr>
          <w:p>
            <w:pPr>
              <w:pStyle w:val="11"/>
            </w:pPr>
            <w:r>
              <w:t>2.61</w:t>
            </w:r>
          </w:p>
        </w:tc>
        <w:tc>
          <w:tcPr>
            <w:tcW w:w="1134" w:type="dxa"/>
            <w:vAlign w:val="center"/>
          </w:tcPr>
          <w:p>
            <w:pPr>
              <w:pStyle w:val="11"/>
            </w:pPr>
            <w:r>
              <w:t>2.61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2.61</w:t>
            </w:r>
          </w:p>
        </w:tc>
        <w:tc>
          <w:tcPr>
            <w:tcW w:w="1134" w:type="dxa"/>
            <w:vAlign w:val="center"/>
          </w:tcPr>
          <w:p>
            <w:pPr>
              <w:pStyle w:val="11"/>
            </w:pPr>
            <w:r>
              <w:t>2.61</w:t>
            </w:r>
          </w:p>
        </w:tc>
        <w:tc>
          <w:tcPr>
            <w:tcW w:w="1134" w:type="dxa"/>
            <w:vAlign w:val="center"/>
          </w:tcPr>
          <w:p>
            <w:pPr>
              <w:pStyle w:val="11"/>
            </w:pPr>
            <w:r>
              <w:t>2.61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62.23</w:t>
            </w:r>
          </w:p>
        </w:tc>
        <w:tc>
          <w:tcPr>
            <w:tcW w:w="1134" w:type="dxa"/>
            <w:vAlign w:val="center"/>
          </w:tcPr>
          <w:p>
            <w:pPr>
              <w:pStyle w:val="11"/>
            </w:pPr>
            <w:r>
              <w:t>62.23</w:t>
            </w:r>
          </w:p>
        </w:tc>
        <w:tc>
          <w:tcPr>
            <w:tcW w:w="1134" w:type="dxa"/>
            <w:vAlign w:val="center"/>
          </w:tcPr>
          <w:p>
            <w:pPr>
              <w:pStyle w:val="11"/>
            </w:pPr>
            <w:r>
              <w:t>62.23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62.23</w:t>
            </w:r>
          </w:p>
        </w:tc>
        <w:tc>
          <w:tcPr>
            <w:tcW w:w="1134" w:type="dxa"/>
            <w:vAlign w:val="center"/>
          </w:tcPr>
          <w:p>
            <w:pPr>
              <w:pStyle w:val="11"/>
            </w:pPr>
            <w:r>
              <w:t>62.23</w:t>
            </w:r>
          </w:p>
        </w:tc>
        <w:tc>
          <w:tcPr>
            <w:tcW w:w="1134" w:type="dxa"/>
            <w:vAlign w:val="center"/>
          </w:tcPr>
          <w:p>
            <w:pPr>
              <w:pStyle w:val="11"/>
            </w:pPr>
            <w:r>
              <w:t>62.23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43.93</w:t>
            </w:r>
          </w:p>
        </w:tc>
        <w:tc>
          <w:tcPr>
            <w:tcW w:w="1134" w:type="dxa"/>
            <w:vAlign w:val="center"/>
          </w:tcPr>
          <w:p>
            <w:pPr>
              <w:pStyle w:val="11"/>
            </w:pPr>
            <w:r>
              <w:t>43.93</w:t>
            </w:r>
          </w:p>
        </w:tc>
        <w:tc>
          <w:tcPr>
            <w:tcW w:w="1134" w:type="dxa"/>
            <w:vAlign w:val="center"/>
          </w:tcPr>
          <w:p>
            <w:pPr>
              <w:pStyle w:val="11"/>
            </w:pPr>
            <w:r>
              <w:t>43.93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631001石家庄市新华区人民检察院本级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2329.06</w:t>
            </w:r>
          </w:p>
        </w:tc>
        <w:tc>
          <w:tcPr>
            <w:tcW w:w="1361" w:type="dxa"/>
            <w:vAlign w:val="center"/>
          </w:tcPr>
          <w:p>
            <w:pPr>
              <w:pStyle w:val="15"/>
            </w:pPr>
            <w:r>
              <w:t>1800.80</w:t>
            </w:r>
          </w:p>
        </w:tc>
        <w:tc>
          <w:tcPr>
            <w:tcW w:w="1361" w:type="dxa"/>
            <w:vAlign w:val="center"/>
          </w:tcPr>
          <w:p>
            <w:pPr>
              <w:pStyle w:val="15"/>
            </w:pPr>
            <w:r>
              <w:t>528.26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1764.44</w:t>
            </w:r>
          </w:p>
        </w:tc>
        <w:tc>
          <w:tcPr>
            <w:tcW w:w="1361" w:type="dxa"/>
            <w:vAlign w:val="center"/>
          </w:tcPr>
          <w:p>
            <w:pPr>
              <w:pStyle w:val="11"/>
            </w:pPr>
            <w:r>
              <w:t>1236.18</w:t>
            </w:r>
          </w:p>
        </w:tc>
        <w:tc>
          <w:tcPr>
            <w:tcW w:w="1361" w:type="dxa"/>
            <w:vAlign w:val="center"/>
          </w:tcPr>
          <w:p>
            <w:pPr>
              <w:pStyle w:val="11"/>
            </w:pPr>
            <w:r>
              <w:t>528.26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20404</w:t>
            </w:r>
          </w:p>
        </w:tc>
        <w:tc>
          <w:tcPr>
            <w:tcW w:w="4535" w:type="dxa"/>
            <w:vAlign w:val="center"/>
          </w:tcPr>
          <w:p>
            <w:pPr>
              <w:pStyle w:val="12"/>
            </w:pPr>
            <w:r>
              <w:t>检察</w:t>
            </w:r>
          </w:p>
        </w:tc>
        <w:tc>
          <w:tcPr>
            <w:tcW w:w="1361" w:type="dxa"/>
            <w:vAlign w:val="center"/>
          </w:tcPr>
          <w:p>
            <w:pPr>
              <w:pStyle w:val="11"/>
            </w:pPr>
            <w:r>
              <w:t>1764.44</w:t>
            </w:r>
          </w:p>
        </w:tc>
        <w:tc>
          <w:tcPr>
            <w:tcW w:w="1361" w:type="dxa"/>
            <w:vAlign w:val="center"/>
          </w:tcPr>
          <w:p>
            <w:pPr>
              <w:pStyle w:val="11"/>
            </w:pPr>
            <w:r>
              <w:t>1236.18</w:t>
            </w:r>
          </w:p>
        </w:tc>
        <w:tc>
          <w:tcPr>
            <w:tcW w:w="1361" w:type="dxa"/>
            <w:vAlign w:val="center"/>
          </w:tcPr>
          <w:p>
            <w:pPr>
              <w:pStyle w:val="11"/>
            </w:pPr>
            <w:r>
              <w:t>528.26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2040401</w:t>
            </w:r>
          </w:p>
        </w:tc>
        <w:tc>
          <w:tcPr>
            <w:tcW w:w="4535" w:type="dxa"/>
            <w:vAlign w:val="center"/>
          </w:tcPr>
          <w:p>
            <w:pPr>
              <w:pStyle w:val="12"/>
            </w:pPr>
            <w:r>
              <w:t>行政运行</w:t>
            </w:r>
          </w:p>
        </w:tc>
        <w:tc>
          <w:tcPr>
            <w:tcW w:w="1361" w:type="dxa"/>
            <w:vAlign w:val="center"/>
          </w:tcPr>
          <w:p>
            <w:pPr>
              <w:pStyle w:val="11"/>
            </w:pPr>
            <w:r>
              <w:t>1236.18</w:t>
            </w:r>
          </w:p>
        </w:tc>
        <w:tc>
          <w:tcPr>
            <w:tcW w:w="1361" w:type="dxa"/>
            <w:vAlign w:val="center"/>
          </w:tcPr>
          <w:p>
            <w:pPr>
              <w:pStyle w:val="11"/>
            </w:pPr>
            <w:r>
              <w:t>1236.18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2040402</w:t>
            </w:r>
          </w:p>
        </w:tc>
        <w:tc>
          <w:tcPr>
            <w:tcW w:w="4535" w:type="dxa"/>
            <w:vAlign w:val="center"/>
          </w:tcPr>
          <w:p>
            <w:pPr>
              <w:pStyle w:val="12"/>
            </w:pPr>
            <w:r>
              <w:t>一般行政管理事务</w:t>
            </w:r>
          </w:p>
        </w:tc>
        <w:tc>
          <w:tcPr>
            <w:tcW w:w="1361" w:type="dxa"/>
            <w:vAlign w:val="center"/>
          </w:tcPr>
          <w:p>
            <w:pPr>
              <w:pStyle w:val="11"/>
            </w:pPr>
            <w:r>
              <w:t>115.26</w:t>
            </w:r>
          </w:p>
        </w:tc>
        <w:tc>
          <w:tcPr>
            <w:tcW w:w="1361" w:type="dxa"/>
            <w:vAlign w:val="center"/>
          </w:tcPr>
          <w:p>
            <w:pPr>
              <w:pStyle w:val="11"/>
            </w:pPr>
          </w:p>
        </w:tc>
        <w:tc>
          <w:tcPr>
            <w:tcW w:w="1361" w:type="dxa"/>
            <w:vAlign w:val="center"/>
          </w:tcPr>
          <w:p>
            <w:pPr>
              <w:pStyle w:val="11"/>
            </w:pPr>
            <w:r>
              <w:t>115.26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2040499</w:t>
            </w:r>
          </w:p>
        </w:tc>
        <w:tc>
          <w:tcPr>
            <w:tcW w:w="4535" w:type="dxa"/>
            <w:vAlign w:val="center"/>
          </w:tcPr>
          <w:p>
            <w:pPr>
              <w:pStyle w:val="12"/>
            </w:pPr>
            <w:r>
              <w:t>其他检察支出</w:t>
            </w:r>
          </w:p>
        </w:tc>
        <w:tc>
          <w:tcPr>
            <w:tcW w:w="1361" w:type="dxa"/>
            <w:vAlign w:val="center"/>
          </w:tcPr>
          <w:p>
            <w:pPr>
              <w:pStyle w:val="11"/>
            </w:pPr>
            <w:r>
              <w:t>413.00</w:t>
            </w:r>
          </w:p>
        </w:tc>
        <w:tc>
          <w:tcPr>
            <w:tcW w:w="1361" w:type="dxa"/>
            <w:vAlign w:val="center"/>
          </w:tcPr>
          <w:p>
            <w:pPr>
              <w:pStyle w:val="11"/>
            </w:pPr>
          </w:p>
        </w:tc>
        <w:tc>
          <w:tcPr>
            <w:tcW w:w="1361" w:type="dxa"/>
            <w:vAlign w:val="center"/>
          </w:tcPr>
          <w:p>
            <w:pPr>
              <w:pStyle w:val="11"/>
            </w:pPr>
            <w:r>
              <w:t>413.00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382.39</w:t>
            </w:r>
          </w:p>
        </w:tc>
        <w:tc>
          <w:tcPr>
            <w:tcW w:w="1361" w:type="dxa"/>
            <w:vAlign w:val="center"/>
          </w:tcPr>
          <w:p>
            <w:pPr>
              <w:pStyle w:val="11"/>
            </w:pPr>
            <w:r>
              <w:t>382.39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379.78</w:t>
            </w:r>
          </w:p>
        </w:tc>
        <w:tc>
          <w:tcPr>
            <w:tcW w:w="1361" w:type="dxa"/>
            <w:vAlign w:val="center"/>
          </w:tcPr>
          <w:p>
            <w:pPr>
              <w:pStyle w:val="11"/>
            </w:pPr>
            <w:r>
              <w:t>379.78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243.08</w:t>
            </w:r>
          </w:p>
        </w:tc>
        <w:tc>
          <w:tcPr>
            <w:tcW w:w="1361" w:type="dxa"/>
            <w:vAlign w:val="center"/>
          </w:tcPr>
          <w:p>
            <w:pPr>
              <w:pStyle w:val="11"/>
            </w:pPr>
            <w:r>
              <w:t>243.08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109.70</w:t>
            </w:r>
          </w:p>
        </w:tc>
        <w:tc>
          <w:tcPr>
            <w:tcW w:w="1361" w:type="dxa"/>
            <w:vAlign w:val="center"/>
          </w:tcPr>
          <w:p>
            <w:pPr>
              <w:pStyle w:val="11"/>
            </w:pPr>
            <w:r>
              <w:t>109.70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2.61</w:t>
            </w:r>
          </w:p>
        </w:tc>
        <w:tc>
          <w:tcPr>
            <w:tcW w:w="1361" w:type="dxa"/>
            <w:vAlign w:val="center"/>
          </w:tcPr>
          <w:p>
            <w:pPr>
              <w:pStyle w:val="11"/>
            </w:pPr>
            <w:r>
              <w:t>2.61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2.61</w:t>
            </w:r>
          </w:p>
        </w:tc>
        <w:tc>
          <w:tcPr>
            <w:tcW w:w="1361" w:type="dxa"/>
            <w:vAlign w:val="center"/>
          </w:tcPr>
          <w:p>
            <w:pPr>
              <w:pStyle w:val="11"/>
            </w:pPr>
            <w:r>
              <w:t>2.61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62.23</w:t>
            </w:r>
          </w:p>
        </w:tc>
        <w:tc>
          <w:tcPr>
            <w:tcW w:w="1361" w:type="dxa"/>
            <w:vAlign w:val="center"/>
          </w:tcPr>
          <w:p>
            <w:pPr>
              <w:pStyle w:val="11"/>
            </w:pPr>
            <w:r>
              <w:t>62.23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62.23</w:t>
            </w:r>
          </w:p>
        </w:tc>
        <w:tc>
          <w:tcPr>
            <w:tcW w:w="1361" w:type="dxa"/>
            <w:vAlign w:val="center"/>
          </w:tcPr>
          <w:p>
            <w:pPr>
              <w:pStyle w:val="11"/>
            </w:pPr>
            <w:r>
              <w:t>62.23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43.93</w:t>
            </w:r>
          </w:p>
        </w:tc>
        <w:tc>
          <w:tcPr>
            <w:tcW w:w="1361" w:type="dxa"/>
            <w:vAlign w:val="center"/>
          </w:tcPr>
          <w:p>
            <w:pPr>
              <w:pStyle w:val="11"/>
            </w:pPr>
            <w:r>
              <w:t>43.93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18.30</w:t>
            </w:r>
          </w:p>
        </w:tc>
        <w:tc>
          <w:tcPr>
            <w:tcW w:w="1361" w:type="dxa"/>
            <w:vAlign w:val="center"/>
          </w:tcPr>
          <w:p>
            <w:pPr>
              <w:pStyle w:val="11"/>
            </w:pPr>
            <w:r>
              <w:t>18.30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120.00</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120.00</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120.00</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631001石家庄市新华区人民检察院本级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2329.06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1764.44</w:t>
            </w:r>
          </w:p>
        </w:tc>
        <w:tc>
          <w:tcPr>
            <w:tcW w:w="1474" w:type="dxa"/>
            <w:vAlign w:val="center"/>
          </w:tcPr>
          <w:p>
            <w:pPr>
              <w:pStyle w:val="11"/>
            </w:pPr>
            <w:r>
              <w:t>1764.44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382.39</w:t>
            </w:r>
          </w:p>
        </w:tc>
        <w:tc>
          <w:tcPr>
            <w:tcW w:w="1474" w:type="dxa"/>
            <w:vAlign w:val="center"/>
          </w:tcPr>
          <w:p>
            <w:pPr>
              <w:pStyle w:val="11"/>
            </w:pPr>
            <w:r>
              <w:t>382.39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62.23</w:t>
            </w:r>
          </w:p>
        </w:tc>
        <w:tc>
          <w:tcPr>
            <w:tcW w:w="1474" w:type="dxa"/>
            <w:vAlign w:val="center"/>
          </w:tcPr>
          <w:p>
            <w:pPr>
              <w:pStyle w:val="11"/>
            </w:pPr>
            <w:r>
              <w:t>62.23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120.00</w:t>
            </w:r>
          </w:p>
        </w:tc>
        <w:tc>
          <w:tcPr>
            <w:tcW w:w="1474" w:type="dxa"/>
            <w:vAlign w:val="center"/>
          </w:tcPr>
          <w:p>
            <w:pPr>
              <w:pStyle w:val="11"/>
            </w:pPr>
            <w:r>
              <w:t>120.00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2329.06</w:t>
            </w:r>
          </w:p>
        </w:tc>
        <w:tc>
          <w:tcPr>
            <w:tcW w:w="3402" w:type="dxa"/>
            <w:vAlign w:val="center"/>
          </w:tcPr>
          <w:p>
            <w:pPr>
              <w:pStyle w:val="14"/>
            </w:pPr>
            <w:r>
              <w:t>本年支出合计</w:t>
            </w:r>
          </w:p>
        </w:tc>
        <w:tc>
          <w:tcPr>
            <w:tcW w:w="1474" w:type="dxa"/>
            <w:vAlign w:val="center"/>
          </w:tcPr>
          <w:p>
            <w:pPr>
              <w:pStyle w:val="15"/>
            </w:pPr>
            <w:r>
              <w:t>2329.06</w:t>
            </w:r>
          </w:p>
        </w:tc>
        <w:tc>
          <w:tcPr>
            <w:tcW w:w="1474" w:type="dxa"/>
            <w:vAlign w:val="center"/>
          </w:tcPr>
          <w:p>
            <w:pPr>
              <w:pStyle w:val="15"/>
            </w:pPr>
            <w:r>
              <w:t>2329.06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2329.06</w:t>
            </w:r>
          </w:p>
        </w:tc>
        <w:tc>
          <w:tcPr>
            <w:tcW w:w="3402" w:type="dxa"/>
            <w:vAlign w:val="center"/>
          </w:tcPr>
          <w:p>
            <w:pPr>
              <w:pStyle w:val="14"/>
            </w:pPr>
            <w:r>
              <w:t>支出总计</w:t>
            </w:r>
          </w:p>
        </w:tc>
        <w:tc>
          <w:tcPr>
            <w:tcW w:w="1474" w:type="dxa"/>
            <w:vAlign w:val="center"/>
          </w:tcPr>
          <w:p>
            <w:pPr>
              <w:pStyle w:val="15"/>
            </w:pPr>
            <w:r>
              <w:t>2329.06</w:t>
            </w:r>
          </w:p>
        </w:tc>
        <w:tc>
          <w:tcPr>
            <w:tcW w:w="1474" w:type="dxa"/>
            <w:vAlign w:val="center"/>
          </w:tcPr>
          <w:p>
            <w:pPr>
              <w:pStyle w:val="15"/>
            </w:pPr>
            <w:r>
              <w:t>2329.06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631001石家庄市新华区人民检察院本级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2329.06</w:t>
            </w:r>
          </w:p>
        </w:tc>
        <w:tc>
          <w:tcPr>
            <w:tcW w:w="2551" w:type="dxa"/>
            <w:vAlign w:val="center"/>
          </w:tcPr>
          <w:p>
            <w:pPr>
              <w:pStyle w:val="15"/>
            </w:pPr>
            <w:r>
              <w:t>1800.80</w:t>
            </w:r>
          </w:p>
        </w:tc>
        <w:tc>
          <w:tcPr>
            <w:tcW w:w="2551" w:type="dxa"/>
            <w:vAlign w:val="center"/>
          </w:tcPr>
          <w:p>
            <w:pPr>
              <w:pStyle w:val="15"/>
            </w:pPr>
            <w:r>
              <w:t>528.26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1764.44</w:t>
            </w:r>
          </w:p>
        </w:tc>
        <w:tc>
          <w:tcPr>
            <w:tcW w:w="2551" w:type="dxa"/>
            <w:vAlign w:val="center"/>
          </w:tcPr>
          <w:p>
            <w:pPr>
              <w:pStyle w:val="11"/>
            </w:pPr>
            <w:r>
              <w:t>1236.18</w:t>
            </w:r>
          </w:p>
        </w:tc>
        <w:tc>
          <w:tcPr>
            <w:tcW w:w="2551" w:type="dxa"/>
            <w:vAlign w:val="center"/>
          </w:tcPr>
          <w:p>
            <w:pPr>
              <w:pStyle w:val="11"/>
            </w:pPr>
            <w:r>
              <w:t>528.26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20404</w:t>
            </w:r>
          </w:p>
        </w:tc>
        <w:tc>
          <w:tcPr>
            <w:tcW w:w="4535" w:type="dxa"/>
            <w:vAlign w:val="center"/>
          </w:tcPr>
          <w:p>
            <w:pPr>
              <w:pStyle w:val="12"/>
            </w:pPr>
            <w:r>
              <w:t>检察</w:t>
            </w:r>
          </w:p>
        </w:tc>
        <w:tc>
          <w:tcPr>
            <w:tcW w:w="2551" w:type="dxa"/>
            <w:vAlign w:val="center"/>
          </w:tcPr>
          <w:p>
            <w:pPr>
              <w:pStyle w:val="11"/>
            </w:pPr>
            <w:r>
              <w:t>1764.44</w:t>
            </w:r>
          </w:p>
        </w:tc>
        <w:tc>
          <w:tcPr>
            <w:tcW w:w="2551" w:type="dxa"/>
            <w:vAlign w:val="center"/>
          </w:tcPr>
          <w:p>
            <w:pPr>
              <w:pStyle w:val="11"/>
            </w:pPr>
            <w:r>
              <w:t>1236.18</w:t>
            </w:r>
          </w:p>
        </w:tc>
        <w:tc>
          <w:tcPr>
            <w:tcW w:w="2551" w:type="dxa"/>
            <w:vAlign w:val="center"/>
          </w:tcPr>
          <w:p>
            <w:pPr>
              <w:pStyle w:val="11"/>
            </w:pPr>
            <w:r>
              <w:t>528.26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2040401</w:t>
            </w:r>
          </w:p>
        </w:tc>
        <w:tc>
          <w:tcPr>
            <w:tcW w:w="4535" w:type="dxa"/>
            <w:vAlign w:val="center"/>
          </w:tcPr>
          <w:p>
            <w:pPr>
              <w:pStyle w:val="12"/>
            </w:pPr>
            <w:r>
              <w:t>行政运行</w:t>
            </w:r>
          </w:p>
        </w:tc>
        <w:tc>
          <w:tcPr>
            <w:tcW w:w="2551" w:type="dxa"/>
            <w:vAlign w:val="center"/>
          </w:tcPr>
          <w:p>
            <w:pPr>
              <w:pStyle w:val="11"/>
            </w:pPr>
            <w:r>
              <w:t>1236.18</w:t>
            </w:r>
          </w:p>
        </w:tc>
        <w:tc>
          <w:tcPr>
            <w:tcW w:w="2551" w:type="dxa"/>
            <w:vAlign w:val="center"/>
          </w:tcPr>
          <w:p>
            <w:pPr>
              <w:pStyle w:val="11"/>
            </w:pPr>
            <w:r>
              <w:t>1236.18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2040402</w:t>
            </w:r>
          </w:p>
        </w:tc>
        <w:tc>
          <w:tcPr>
            <w:tcW w:w="4535" w:type="dxa"/>
            <w:vAlign w:val="center"/>
          </w:tcPr>
          <w:p>
            <w:pPr>
              <w:pStyle w:val="12"/>
            </w:pPr>
            <w:r>
              <w:t>一般行政管理事务</w:t>
            </w:r>
          </w:p>
        </w:tc>
        <w:tc>
          <w:tcPr>
            <w:tcW w:w="2551" w:type="dxa"/>
            <w:vAlign w:val="center"/>
          </w:tcPr>
          <w:p>
            <w:pPr>
              <w:pStyle w:val="11"/>
            </w:pPr>
            <w:r>
              <w:t>115.26</w:t>
            </w:r>
          </w:p>
        </w:tc>
        <w:tc>
          <w:tcPr>
            <w:tcW w:w="2551" w:type="dxa"/>
            <w:vAlign w:val="center"/>
          </w:tcPr>
          <w:p>
            <w:pPr>
              <w:pStyle w:val="11"/>
            </w:pPr>
          </w:p>
        </w:tc>
        <w:tc>
          <w:tcPr>
            <w:tcW w:w="2551" w:type="dxa"/>
            <w:vAlign w:val="center"/>
          </w:tcPr>
          <w:p>
            <w:pPr>
              <w:pStyle w:val="11"/>
            </w:pPr>
            <w:r>
              <w:t>115.26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2040499</w:t>
            </w:r>
          </w:p>
        </w:tc>
        <w:tc>
          <w:tcPr>
            <w:tcW w:w="4535" w:type="dxa"/>
            <w:vAlign w:val="center"/>
          </w:tcPr>
          <w:p>
            <w:pPr>
              <w:pStyle w:val="12"/>
            </w:pPr>
            <w:r>
              <w:t>其他检察支出</w:t>
            </w:r>
          </w:p>
        </w:tc>
        <w:tc>
          <w:tcPr>
            <w:tcW w:w="2551" w:type="dxa"/>
            <w:vAlign w:val="center"/>
          </w:tcPr>
          <w:p>
            <w:pPr>
              <w:pStyle w:val="11"/>
            </w:pPr>
            <w:r>
              <w:t>413.00</w:t>
            </w:r>
          </w:p>
        </w:tc>
        <w:tc>
          <w:tcPr>
            <w:tcW w:w="2551" w:type="dxa"/>
            <w:vAlign w:val="center"/>
          </w:tcPr>
          <w:p>
            <w:pPr>
              <w:pStyle w:val="11"/>
            </w:pPr>
          </w:p>
        </w:tc>
        <w:tc>
          <w:tcPr>
            <w:tcW w:w="2551" w:type="dxa"/>
            <w:vAlign w:val="center"/>
          </w:tcPr>
          <w:p>
            <w:pPr>
              <w:pStyle w:val="11"/>
            </w:pPr>
            <w:r>
              <w:t>413.00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382.39</w:t>
            </w:r>
          </w:p>
        </w:tc>
        <w:tc>
          <w:tcPr>
            <w:tcW w:w="2551" w:type="dxa"/>
            <w:vAlign w:val="center"/>
          </w:tcPr>
          <w:p>
            <w:pPr>
              <w:pStyle w:val="11"/>
            </w:pPr>
            <w:r>
              <w:t>382.39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379.78</w:t>
            </w:r>
          </w:p>
        </w:tc>
        <w:tc>
          <w:tcPr>
            <w:tcW w:w="2551" w:type="dxa"/>
            <w:vAlign w:val="center"/>
          </w:tcPr>
          <w:p>
            <w:pPr>
              <w:pStyle w:val="11"/>
            </w:pPr>
            <w:r>
              <w:t>379.78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243.08</w:t>
            </w:r>
          </w:p>
        </w:tc>
        <w:tc>
          <w:tcPr>
            <w:tcW w:w="2551" w:type="dxa"/>
            <w:vAlign w:val="center"/>
          </w:tcPr>
          <w:p>
            <w:pPr>
              <w:pStyle w:val="11"/>
            </w:pPr>
            <w:r>
              <w:t>243.08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109.70</w:t>
            </w:r>
          </w:p>
        </w:tc>
        <w:tc>
          <w:tcPr>
            <w:tcW w:w="2551" w:type="dxa"/>
            <w:vAlign w:val="center"/>
          </w:tcPr>
          <w:p>
            <w:pPr>
              <w:pStyle w:val="11"/>
            </w:pPr>
            <w:r>
              <w:t>109.70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2.61</w:t>
            </w:r>
          </w:p>
        </w:tc>
        <w:tc>
          <w:tcPr>
            <w:tcW w:w="2551" w:type="dxa"/>
            <w:vAlign w:val="center"/>
          </w:tcPr>
          <w:p>
            <w:pPr>
              <w:pStyle w:val="11"/>
            </w:pPr>
            <w:r>
              <w:t>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2.61</w:t>
            </w:r>
          </w:p>
        </w:tc>
        <w:tc>
          <w:tcPr>
            <w:tcW w:w="2551" w:type="dxa"/>
            <w:vAlign w:val="center"/>
          </w:tcPr>
          <w:p>
            <w:pPr>
              <w:pStyle w:val="11"/>
            </w:pPr>
            <w:r>
              <w:t>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62.23</w:t>
            </w:r>
          </w:p>
        </w:tc>
        <w:tc>
          <w:tcPr>
            <w:tcW w:w="2551" w:type="dxa"/>
            <w:vAlign w:val="center"/>
          </w:tcPr>
          <w:p>
            <w:pPr>
              <w:pStyle w:val="11"/>
            </w:pPr>
            <w:r>
              <w:t>62.23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62.23</w:t>
            </w:r>
          </w:p>
        </w:tc>
        <w:tc>
          <w:tcPr>
            <w:tcW w:w="2551" w:type="dxa"/>
            <w:vAlign w:val="center"/>
          </w:tcPr>
          <w:p>
            <w:pPr>
              <w:pStyle w:val="11"/>
            </w:pPr>
            <w:r>
              <w:t>62.23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43.93</w:t>
            </w:r>
          </w:p>
        </w:tc>
        <w:tc>
          <w:tcPr>
            <w:tcW w:w="2551" w:type="dxa"/>
            <w:vAlign w:val="center"/>
          </w:tcPr>
          <w:p>
            <w:pPr>
              <w:pStyle w:val="11"/>
            </w:pPr>
            <w:r>
              <w:t>43.93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631001石家庄市新华区人民检察院本级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1800.80</w:t>
            </w:r>
          </w:p>
        </w:tc>
        <w:tc>
          <w:tcPr>
            <w:tcW w:w="2551" w:type="dxa"/>
            <w:vAlign w:val="center"/>
          </w:tcPr>
          <w:p>
            <w:pPr>
              <w:pStyle w:val="15"/>
            </w:pPr>
            <w:r>
              <w:t>1602.53</w:t>
            </w:r>
          </w:p>
        </w:tc>
        <w:tc>
          <w:tcPr>
            <w:tcW w:w="2551" w:type="dxa"/>
            <w:vAlign w:val="center"/>
          </w:tcPr>
          <w:p>
            <w:pPr>
              <w:pStyle w:val="15"/>
            </w:pPr>
            <w:r>
              <w:t>198.27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1335.85</w:t>
            </w:r>
          </w:p>
        </w:tc>
        <w:tc>
          <w:tcPr>
            <w:tcW w:w="2551" w:type="dxa"/>
            <w:vAlign w:val="center"/>
          </w:tcPr>
          <w:p>
            <w:pPr>
              <w:pStyle w:val="11"/>
            </w:pPr>
            <w:r>
              <w:t>1335.85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315.00</w:t>
            </w:r>
          </w:p>
        </w:tc>
        <w:tc>
          <w:tcPr>
            <w:tcW w:w="2551" w:type="dxa"/>
            <w:vAlign w:val="center"/>
          </w:tcPr>
          <w:p>
            <w:pPr>
              <w:pStyle w:val="11"/>
            </w:pPr>
            <w:r>
              <w:t>315.00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273.18</w:t>
            </w:r>
          </w:p>
        </w:tc>
        <w:tc>
          <w:tcPr>
            <w:tcW w:w="2551" w:type="dxa"/>
            <w:vAlign w:val="center"/>
          </w:tcPr>
          <w:p>
            <w:pPr>
              <w:pStyle w:val="11"/>
            </w:pPr>
            <w:r>
              <w:t>273.18</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396.95</w:t>
            </w:r>
          </w:p>
        </w:tc>
        <w:tc>
          <w:tcPr>
            <w:tcW w:w="2551" w:type="dxa"/>
            <w:vAlign w:val="center"/>
          </w:tcPr>
          <w:p>
            <w:pPr>
              <w:pStyle w:val="11"/>
            </w:pPr>
            <w:r>
              <w:t>396.95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109.70</w:t>
            </w:r>
          </w:p>
        </w:tc>
        <w:tc>
          <w:tcPr>
            <w:tcW w:w="2551" w:type="dxa"/>
            <w:vAlign w:val="center"/>
          </w:tcPr>
          <w:p>
            <w:pPr>
              <w:pStyle w:val="11"/>
            </w:pPr>
            <w:r>
              <w:t>109.70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43.93</w:t>
            </w:r>
          </w:p>
        </w:tc>
        <w:tc>
          <w:tcPr>
            <w:tcW w:w="2551" w:type="dxa"/>
            <w:vAlign w:val="center"/>
          </w:tcPr>
          <w:p>
            <w:pPr>
              <w:pStyle w:val="11"/>
            </w:pPr>
            <w:r>
              <w:t>43.93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2.61</w:t>
            </w:r>
          </w:p>
        </w:tc>
        <w:tc>
          <w:tcPr>
            <w:tcW w:w="2551" w:type="dxa"/>
            <w:vAlign w:val="center"/>
          </w:tcPr>
          <w:p>
            <w:pPr>
              <w:pStyle w:val="11"/>
            </w:pPr>
            <w:r>
              <w:t>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120.00</w:t>
            </w:r>
          </w:p>
        </w:tc>
        <w:tc>
          <w:tcPr>
            <w:tcW w:w="2551" w:type="dxa"/>
            <w:vAlign w:val="center"/>
          </w:tcPr>
          <w:p>
            <w:pPr>
              <w:pStyle w:val="11"/>
            </w:pPr>
            <w:r>
              <w:t>120.00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29.18</w:t>
            </w:r>
          </w:p>
        </w:tc>
        <w:tc>
          <w:tcPr>
            <w:tcW w:w="2551" w:type="dxa"/>
            <w:vAlign w:val="center"/>
          </w:tcPr>
          <w:p>
            <w:pPr>
              <w:pStyle w:val="11"/>
            </w:pPr>
            <w:r>
              <w:t>29.18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198.27</w:t>
            </w:r>
          </w:p>
        </w:tc>
        <w:tc>
          <w:tcPr>
            <w:tcW w:w="2551" w:type="dxa"/>
            <w:vAlign w:val="center"/>
          </w:tcPr>
          <w:p>
            <w:pPr>
              <w:pStyle w:val="11"/>
            </w:pPr>
          </w:p>
        </w:tc>
        <w:tc>
          <w:tcPr>
            <w:tcW w:w="2551" w:type="dxa"/>
            <w:vAlign w:val="center"/>
          </w:tcPr>
          <w:p>
            <w:pPr>
              <w:pStyle w:val="11"/>
            </w:pPr>
            <w:r>
              <w:t>198.27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14.23</w:t>
            </w:r>
          </w:p>
        </w:tc>
        <w:tc>
          <w:tcPr>
            <w:tcW w:w="2551" w:type="dxa"/>
            <w:vAlign w:val="center"/>
          </w:tcPr>
          <w:p>
            <w:pPr>
              <w:pStyle w:val="11"/>
            </w:pPr>
          </w:p>
        </w:tc>
        <w:tc>
          <w:tcPr>
            <w:tcW w:w="2551" w:type="dxa"/>
            <w:vAlign w:val="center"/>
          </w:tcPr>
          <w:p>
            <w:pPr>
              <w:pStyle w:val="11"/>
            </w:pPr>
            <w:r>
              <w:t>14.23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1.59</w:t>
            </w:r>
          </w:p>
        </w:tc>
        <w:tc>
          <w:tcPr>
            <w:tcW w:w="2551" w:type="dxa"/>
            <w:vAlign w:val="center"/>
          </w:tcPr>
          <w:p>
            <w:pPr>
              <w:pStyle w:val="11"/>
            </w:pPr>
          </w:p>
        </w:tc>
        <w:tc>
          <w:tcPr>
            <w:tcW w:w="2551" w:type="dxa"/>
            <w:vAlign w:val="center"/>
          </w:tcPr>
          <w:p>
            <w:pPr>
              <w:pStyle w:val="11"/>
            </w:pPr>
            <w:r>
              <w:t>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4.88</w:t>
            </w:r>
          </w:p>
        </w:tc>
        <w:tc>
          <w:tcPr>
            <w:tcW w:w="2551" w:type="dxa"/>
            <w:vAlign w:val="center"/>
          </w:tcPr>
          <w:p>
            <w:pPr>
              <w:pStyle w:val="11"/>
            </w:pPr>
          </w:p>
        </w:tc>
        <w:tc>
          <w:tcPr>
            <w:tcW w:w="2551" w:type="dxa"/>
            <w:vAlign w:val="center"/>
          </w:tcPr>
          <w:p>
            <w:pPr>
              <w:pStyle w:val="11"/>
            </w:pPr>
            <w: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39.70</w:t>
            </w:r>
          </w:p>
        </w:tc>
        <w:tc>
          <w:tcPr>
            <w:tcW w:w="2551" w:type="dxa"/>
            <w:vAlign w:val="center"/>
          </w:tcPr>
          <w:p>
            <w:pPr>
              <w:pStyle w:val="11"/>
            </w:pPr>
          </w:p>
        </w:tc>
        <w:tc>
          <w:tcPr>
            <w:tcW w:w="2551" w:type="dxa"/>
            <w:vAlign w:val="center"/>
          </w:tcPr>
          <w:p>
            <w:pPr>
              <w:pStyle w:val="11"/>
            </w:pPr>
            <w:r>
              <w:t>39.70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22.97</w:t>
            </w:r>
          </w:p>
        </w:tc>
        <w:tc>
          <w:tcPr>
            <w:tcW w:w="2551" w:type="dxa"/>
            <w:vAlign w:val="center"/>
          </w:tcPr>
          <w:p>
            <w:pPr>
              <w:pStyle w:val="11"/>
            </w:pPr>
          </w:p>
        </w:tc>
        <w:tc>
          <w:tcPr>
            <w:tcW w:w="2551" w:type="dxa"/>
            <w:vAlign w:val="center"/>
          </w:tcPr>
          <w:p>
            <w:pPr>
              <w:pStyle w:val="11"/>
            </w:pPr>
            <w:r>
              <w:t>22.97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16.22</w:t>
            </w:r>
          </w:p>
        </w:tc>
        <w:tc>
          <w:tcPr>
            <w:tcW w:w="2551" w:type="dxa"/>
            <w:vAlign w:val="center"/>
          </w:tcPr>
          <w:p>
            <w:pPr>
              <w:pStyle w:val="11"/>
            </w:pPr>
          </w:p>
        </w:tc>
        <w:tc>
          <w:tcPr>
            <w:tcW w:w="2551" w:type="dxa"/>
            <w:vAlign w:val="center"/>
          </w:tcPr>
          <w:p>
            <w:pPr>
              <w:pStyle w:val="11"/>
            </w:pPr>
            <w:r>
              <w:t>16.22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3.71</w:t>
            </w:r>
          </w:p>
        </w:tc>
        <w:tc>
          <w:tcPr>
            <w:tcW w:w="2551" w:type="dxa"/>
            <w:vAlign w:val="center"/>
          </w:tcPr>
          <w:p>
            <w:pPr>
              <w:pStyle w:val="11"/>
            </w:pPr>
          </w:p>
        </w:tc>
        <w:tc>
          <w:tcPr>
            <w:tcW w:w="2551" w:type="dxa"/>
            <w:vAlign w:val="center"/>
          </w:tcPr>
          <w:p>
            <w:pPr>
              <w:pStyle w:val="11"/>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1.80</w:t>
            </w:r>
          </w:p>
        </w:tc>
        <w:tc>
          <w:tcPr>
            <w:tcW w:w="2551" w:type="dxa"/>
            <w:vAlign w:val="center"/>
          </w:tcPr>
          <w:p>
            <w:pPr>
              <w:pStyle w:val="11"/>
            </w:pP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4.25</w:t>
            </w:r>
          </w:p>
        </w:tc>
        <w:tc>
          <w:tcPr>
            <w:tcW w:w="2551" w:type="dxa"/>
            <w:vAlign w:val="center"/>
          </w:tcPr>
          <w:p>
            <w:pPr>
              <w:pStyle w:val="11"/>
            </w:pPr>
          </w:p>
        </w:tc>
        <w:tc>
          <w:tcPr>
            <w:tcW w:w="2551" w:type="dxa"/>
            <w:vAlign w:val="center"/>
          </w:tcPr>
          <w:p>
            <w:pPr>
              <w:pStyle w:val="11"/>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2.44</w:t>
            </w:r>
          </w:p>
        </w:tc>
        <w:tc>
          <w:tcPr>
            <w:tcW w:w="2551" w:type="dxa"/>
            <w:vAlign w:val="center"/>
          </w:tcPr>
          <w:p>
            <w:pPr>
              <w:pStyle w:val="11"/>
            </w:pPr>
          </w:p>
        </w:tc>
        <w:tc>
          <w:tcPr>
            <w:tcW w:w="2551" w:type="dxa"/>
            <w:vAlign w:val="center"/>
          </w:tcPr>
          <w:p>
            <w:pPr>
              <w:pStyle w:val="11"/>
            </w:pPr>
            <w:r>
              <w:t>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10.35</w:t>
            </w:r>
          </w:p>
        </w:tc>
        <w:tc>
          <w:tcPr>
            <w:tcW w:w="2551" w:type="dxa"/>
            <w:vAlign w:val="center"/>
          </w:tcPr>
          <w:p>
            <w:pPr>
              <w:pStyle w:val="11"/>
            </w:pPr>
          </w:p>
        </w:tc>
        <w:tc>
          <w:tcPr>
            <w:tcW w:w="2551" w:type="dxa"/>
            <w:vAlign w:val="center"/>
          </w:tcPr>
          <w:p>
            <w:pPr>
              <w:pStyle w:val="11"/>
            </w:pPr>
            <w:r>
              <w:t>10.35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24.15</w:t>
            </w:r>
          </w:p>
        </w:tc>
        <w:tc>
          <w:tcPr>
            <w:tcW w:w="2551" w:type="dxa"/>
            <w:vAlign w:val="center"/>
          </w:tcPr>
          <w:p>
            <w:pPr>
              <w:pStyle w:val="11"/>
            </w:pPr>
          </w:p>
        </w:tc>
        <w:tc>
          <w:tcPr>
            <w:tcW w:w="2551" w:type="dxa"/>
            <w:vAlign w:val="center"/>
          </w:tcPr>
          <w:p>
            <w:pPr>
              <w:pStyle w:val="11"/>
            </w:pPr>
            <w:r>
              <w:t>24.15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42.00</w:t>
            </w:r>
          </w:p>
        </w:tc>
        <w:tc>
          <w:tcPr>
            <w:tcW w:w="2551" w:type="dxa"/>
            <w:vAlign w:val="center"/>
          </w:tcPr>
          <w:p>
            <w:pPr>
              <w:pStyle w:val="11"/>
            </w:pPr>
          </w:p>
        </w:tc>
        <w:tc>
          <w:tcPr>
            <w:tcW w:w="2551"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9.98</w:t>
            </w:r>
          </w:p>
        </w:tc>
        <w:tc>
          <w:tcPr>
            <w:tcW w:w="2551" w:type="dxa"/>
            <w:vAlign w:val="center"/>
          </w:tcPr>
          <w:p>
            <w:pPr>
              <w:pStyle w:val="11"/>
            </w:pPr>
          </w:p>
        </w:tc>
        <w:tc>
          <w:tcPr>
            <w:tcW w:w="2551" w:type="dxa"/>
            <w:vAlign w:val="center"/>
          </w:tcPr>
          <w:p>
            <w:pPr>
              <w:pStyle w:val="11"/>
            </w:pPr>
            <w:r>
              <w:t>9.98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266.68</w:t>
            </w:r>
          </w:p>
        </w:tc>
        <w:tc>
          <w:tcPr>
            <w:tcW w:w="2551" w:type="dxa"/>
            <w:vAlign w:val="center"/>
          </w:tcPr>
          <w:p>
            <w:pPr>
              <w:pStyle w:val="11"/>
            </w:pPr>
            <w:r>
              <w:t>266.68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243.08</w:t>
            </w:r>
          </w:p>
        </w:tc>
        <w:tc>
          <w:tcPr>
            <w:tcW w:w="2551" w:type="dxa"/>
            <w:vAlign w:val="center"/>
          </w:tcPr>
          <w:p>
            <w:pPr>
              <w:pStyle w:val="11"/>
            </w:pPr>
            <w:r>
              <w:t>243.08</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3.59</w:t>
            </w:r>
          </w:p>
        </w:tc>
        <w:tc>
          <w:tcPr>
            <w:tcW w:w="2551" w:type="dxa"/>
            <w:vAlign w:val="center"/>
          </w:tcPr>
          <w:p>
            <w:pPr>
              <w:pStyle w:val="11"/>
            </w:pPr>
            <w:r>
              <w:t>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631001石家庄市新华区人民检察院本级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631001石家庄市新华区人民检察院本级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631001石家庄市新华区人民检察院本级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26.59</w:t>
            </w:r>
          </w:p>
        </w:tc>
        <w:tc>
          <w:tcPr>
            <w:tcW w:w="2381" w:type="dxa"/>
            <w:vAlign w:val="center"/>
          </w:tcPr>
          <w:p>
            <w:pPr>
              <w:pStyle w:val="15"/>
            </w:pPr>
            <w:r>
              <w:t>26.59</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24.15</w:t>
            </w:r>
          </w:p>
        </w:tc>
        <w:tc>
          <w:tcPr>
            <w:tcW w:w="2381" w:type="dxa"/>
            <w:vAlign w:val="center"/>
          </w:tcPr>
          <w:p>
            <w:pPr>
              <w:pStyle w:val="11"/>
            </w:pPr>
            <w:r>
              <w:t>24.15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24.15</w:t>
            </w:r>
          </w:p>
        </w:tc>
        <w:tc>
          <w:tcPr>
            <w:tcW w:w="2381" w:type="dxa"/>
            <w:vAlign w:val="center"/>
          </w:tcPr>
          <w:p>
            <w:pPr>
              <w:pStyle w:val="11"/>
            </w:pPr>
            <w:r>
              <w:t>24.15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2.44</w:t>
            </w:r>
          </w:p>
        </w:tc>
        <w:tc>
          <w:tcPr>
            <w:tcW w:w="2381" w:type="dxa"/>
            <w:vAlign w:val="center"/>
          </w:tcPr>
          <w:p>
            <w:pPr>
              <w:pStyle w:val="11"/>
            </w:pPr>
            <w:r>
              <w:t>2.44</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石家庄市新华区人民检察院本级2026年单位预算信息公开情况说明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按照《中华人民共和国预算法》、《地方预决算公开操作规程》和《关于进一步推进预算公开工作的实施意见》规定，现将石家庄市新华区人民检察院本级2026年单位预算公开如下：</w:t>
      </w:r>
    </w:p>
    <w:p>
      <w:pPr>
        <w:spacing w:before="10" w:after="10" w:line="240" w:lineRule="auto"/>
        <w:ind w:firstLine="640"/>
        <w:jc w:val="left"/>
        <w:outlineLvl w:val="5"/>
        <w:rPr>
          <w:rFonts w:ascii="方正楷体_GBK" w:hAnsi="方正楷体_GBK" w:eastAsia="方正楷体_GBK" w:cs="方正楷体_GBK"/>
          <w:b/>
          <w:color w:val="000000"/>
          <w:sz w:val="32"/>
        </w:rPr>
      </w:pPr>
      <w:r>
        <w:rPr>
          <w:rFonts w:ascii="黑体" w:hAnsi="黑体" w:eastAsia="黑体" w:cs="黑体"/>
          <w:color w:val="000000"/>
          <w:sz w:val="32"/>
        </w:rPr>
        <w:t>一、单位职责及机构设置情况</w:t>
      </w:r>
    </w:p>
    <w:p>
      <w:pPr>
        <w:spacing w:before="0" w:after="0" w:line="500" w:lineRule="exact"/>
        <w:ind w:firstLine="560"/>
        <w:jc w:val="left"/>
        <w:outlineLvl w:val="9"/>
      </w:pPr>
      <w:r>
        <w:rPr>
          <w:rFonts w:ascii="Times New Roman" w:hAnsi="Times New Roman" w:eastAsia="方正仿宋_GBK" w:cs="Times New Roman"/>
          <w:color w:val="000000"/>
          <w:sz w:val="28"/>
        </w:rPr>
        <w:t>根据《石家庄市新华区人民检察院职能配置、内设机构和人员编制规定》，石家庄市新华区人民检察院的主要职责是：</w:t>
      </w:r>
    </w:p>
    <w:p>
      <w:pPr>
        <w:pStyle w:val="22"/>
      </w:pPr>
      <w:r>
        <w:t>（一）深入贯彻习近平新时代中国特色社会主义思想，深入贯彻党的路线方针和政策部署，坚持党对检察工作的绝对领导，坚决维护习近平总书记的核心地位，坚决维护党中央权威和集中统一领导。</w:t>
      </w:r>
    </w:p>
    <w:p>
      <w:pPr>
        <w:pStyle w:val="22"/>
      </w:pPr>
      <w:r>
        <w:t>（二）依法向区人民代表大会及其常务委员会提出议案。</w:t>
      </w:r>
    </w:p>
    <w:p>
      <w:pPr>
        <w:pStyle w:val="22"/>
      </w:pPr>
      <w:r>
        <w:t>（三）贯彻落实检察工作方针、总体规划，研究制定检察工作计划并组织实施。</w:t>
      </w:r>
    </w:p>
    <w:p>
      <w:pPr>
        <w:pStyle w:val="22"/>
      </w:pPr>
      <w:r>
        <w:t>（四）依照法律规定对直接受理的刑事案件行使侦查权。</w:t>
      </w:r>
    </w:p>
    <w:p>
      <w:pPr>
        <w:pStyle w:val="22"/>
      </w:pPr>
      <w:r>
        <w:t>（五）负责对管辖的各类刑事案件依法审查批准逮捕、决定逮捕、提起公诉。</w:t>
      </w:r>
    </w:p>
    <w:p>
      <w:pPr>
        <w:pStyle w:val="22"/>
      </w:pPr>
      <w:r>
        <w:t>（六）负责应由本院承办的刑事、民事、行政诉讼活动及刑事、民事、行政判决和裁定等生效法律文书执行的法律监督工作。</w:t>
      </w:r>
    </w:p>
    <w:p>
      <w:pPr>
        <w:pStyle w:val="22"/>
      </w:pPr>
      <w:r>
        <w:t>（七）负责应由本院承办的提起公益诉讼工作。</w:t>
      </w:r>
    </w:p>
    <w:p>
      <w:pPr>
        <w:pStyle w:val="22"/>
      </w:pPr>
      <w:r>
        <w:t>（八）依法受理核准追诉案件，审查是否上报。</w:t>
      </w:r>
    </w:p>
    <w:p>
      <w:pPr>
        <w:pStyle w:val="22"/>
      </w:pPr>
      <w:r>
        <w:t>（九）负责应由本院承办的对社区矫正等执法活动的法律监督工作。</w:t>
      </w:r>
    </w:p>
    <w:p>
      <w:pPr>
        <w:pStyle w:val="22"/>
      </w:pPr>
      <w:r>
        <w:t>（十）受理向本院的控告申诉。</w:t>
      </w:r>
    </w:p>
    <w:p>
      <w:pPr>
        <w:pStyle w:val="22"/>
      </w:pPr>
      <w:r>
        <w:t>（十一）组织检察工作中法律政策具体应用问题的研究；组织开展检察理论研究工作。</w:t>
      </w:r>
    </w:p>
    <w:p>
      <w:pPr>
        <w:pStyle w:val="22"/>
        <w:rPr>
          <w:rFonts w:hint="eastAsia"/>
          <w:lang w:eastAsia="zh-CN"/>
        </w:rPr>
      </w:pPr>
      <w:r>
        <w:t>（十二）负责检察人员思想政治教育和业务培训工作；按照权限管理检察官和其他工作人员</w:t>
      </w:r>
      <w:r>
        <w:rPr>
          <w:rFonts w:hint="eastAsia"/>
          <w:lang w:eastAsia="zh-CN"/>
        </w:rPr>
        <w:t>。</w:t>
      </w:r>
    </w:p>
    <w:p>
      <w:pPr>
        <w:pStyle w:val="22"/>
        <w:rPr>
          <w:rFonts w:hint="eastAsia" w:eastAsia="方正仿宋_GBK"/>
          <w:lang w:eastAsia="zh-CN"/>
        </w:rPr>
      </w:pPr>
      <w:r>
        <w:t>（十三）负责本院检务督查工作</w:t>
      </w:r>
      <w:r>
        <w:rPr>
          <w:rFonts w:hint="eastAsia"/>
          <w:lang w:eastAsia="zh-CN"/>
        </w:rPr>
        <w:t>。</w:t>
      </w:r>
    </w:p>
    <w:p>
      <w:pPr>
        <w:pStyle w:val="22"/>
      </w:pPr>
      <w:r>
        <w:t>（十四）负责本院检务保障及检察技术、信息化建设工作。</w:t>
      </w:r>
    </w:p>
    <w:p>
      <w:pPr>
        <w:pStyle w:val="22"/>
        <w:rPr>
          <w:rFonts w:hint="eastAsia" w:eastAsia="方正仿宋_GBK"/>
          <w:lang w:val="en-US" w:eastAsia="zh-CN"/>
        </w:rPr>
        <w:sectPr>
          <w:pgSz w:w="11900" w:h="16840"/>
          <w:pgMar w:top="1361" w:right="1020" w:bottom="1361" w:left="1020" w:header="720" w:footer="720" w:gutter="0"/>
          <w:pgNumType w:start="1"/>
          <w:cols w:space="720" w:num="1"/>
        </w:sectPr>
      </w:pPr>
      <w:r>
        <w:t>（十五）完成其他应当由本院负责的工作</w:t>
      </w:r>
      <w:r>
        <w:rPr>
          <w:rFonts w:hint="eastAsia"/>
          <w:lang w:eastAsia="zh-CN"/>
        </w:rPr>
        <w:t>。</w:t>
      </w: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石家庄市新华区人民检察院本级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2329.06万元，其中：一般公共预算收入2329.06万元，基金预算收入0.00万元，国有资本经营预算收入0.00万元，财政专户核拨收入0.00万元，单位资金收入0.00万元，上年结转结余0.00万元。</w:t>
      </w:r>
    </w:p>
    <w:p>
      <w:pPr>
        <w:pStyle w:val="18"/>
      </w:pPr>
      <w:r>
        <w:t>2、支出说明</w:t>
      </w:r>
    </w:p>
    <w:p>
      <w:pPr>
        <w:pStyle w:val="18"/>
        <w:rPr>
          <w:rFonts w:hint="eastAsia"/>
          <w:lang w:eastAsia="zh-CN"/>
        </w:rPr>
      </w:pPr>
      <w:r>
        <w:t>收支预算总表支出栏、基本支出表、项目支出表按经济分类和支出功能分类科目编制，反映石家庄市新华区人民检察院本级年度单位预算中支出预算的总体情况。2026年支出预算2329.06万元，其中基本支出1800.80万元，包括人员经费1602.53万元和日常公用经费198.27万元；项目支出528.26万元，主要为业务保障经费、党组织活动经费、检察院书记员劳务费用、物业管理费、上级转移支付资金经费等；其他支出 0 万元；预计下年使用的单位资金结余0.00万元。委托业务费共计安排0.00万元</w:t>
      </w:r>
      <w:r>
        <w:rPr>
          <w:rFonts w:hint="eastAsia"/>
          <w:lang w:eastAsia="zh-CN"/>
        </w:rPr>
        <w:t>。</w:t>
      </w:r>
    </w:p>
    <w:p>
      <w:pPr>
        <w:pStyle w:val="18"/>
      </w:pPr>
      <w:r>
        <w:t>3、比上年增减情况</w:t>
      </w:r>
    </w:p>
    <w:p>
      <w:pPr>
        <w:pStyle w:val="18"/>
      </w:pPr>
      <w:r>
        <w:t>2026年预算收支安排2329.06万元，较2025年预算增加91.59万元，其中：基本支出减少13.80万元，主要为人员经费减少；项目支出增加105.39万元，主要为主要为专项项目经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ascii="Times New Roman" w:hAnsi="Times New Roman" w:eastAsia="方正仿宋_GBK" w:cs="Times New Roman"/>
          <w:sz w:val="28"/>
          <w:szCs w:val="22"/>
        </w:rPr>
      </w:pPr>
      <w:r>
        <w:rPr>
          <w:rFonts w:hint="default" w:ascii="Times New Roman" w:hAnsi="Times New Roman" w:eastAsia="方正仿宋_GBK" w:cs="Times New Roman"/>
          <w:sz w:val="28"/>
          <w:szCs w:val="22"/>
          <w:lang w:val="en-US" w:eastAsia="zh-CN"/>
        </w:rPr>
        <w:t>202</w:t>
      </w:r>
      <w:r>
        <w:rPr>
          <w:rFonts w:hint="eastAsia" w:cs="Times New Roman"/>
          <w:sz w:val="28"/>
          <w:szCs w:val="22"/>
          <w:lang w:val="en-US" w:eastAsia="zh-CN"/>
        </w:rPr>
        <w:t>6</w:t>
      </w:r>
      <w:r>
        <w:rPr>
          <w:rFonts w:hint="default" w:ascii="Times New Roman" w:hAnsi="Times New Roman" w:eastAsia="方正仿宋_GBK" w:cs="Times New Roman"/>
          <w:sz w:val="28"/>
          <w:szCs w:val="22"/>
          <w:lang w:val="en-US" w:eastAsia="zh-CN"/>
        </w:rPr>
        <w:t>年</w:t>
      </w:r>
      <w:r>
        <w:rPr>
          <w:rFonts w:hint="eastAsia" w:ascii="Times New Roman" w:hAnsi="Times New Roman" w:eastAsia="方正仿宋_GBK" w:cs="Times New Roman"/>
          <w:sz w:val="28"/>
          <w:szCs w:val="22"/>
          <w:lang w:val="en-US" w:eastAsia="zh-CN"/>
        </w:rPr>
        <w:t>，石家庄市新华区人民检察院</w:t>
      </w:r>
      <w:r>
        <w:rPr>
          <w:rFonts w:hint="default" w:ascii="Times New Roman" w:hAnsi="Times New Roman" w:eastAsia="方正仿宋_GBK" w:cs="Times New Roman"/>
          <w:sz w:val="28"/>
          <w:szCs w:val="22"/>
          <w:lang w:val="en-US" w:eastAsia="zh-CN"/>
        </w:rPr>
        <w:t>机关运行经费共计安排</w:t>
      </w:r>
      <w:r>
        <w:t>198.27</w:t>
      </w:r>
      <w:r>
        <w:rPr>
          <w:rFonts w:hint="default" w:ascii="Times New Roman" w:hAnsi="Times New Roman" w:eastAsia="方正仿宋_GBK" w:cs="Times New Roman"/>
          <w:sz w:val="28"/>
          <w:szCs w:val="22"/>
          <w:lang w:val="en-US" w:eastAsia="zh-CN"/>
        </w:rPr>
        <w:t>万元，主要用于</w:t>
      </w:r>
      <w:r>
        <w:rPr>
          <w:rFonts w:hint="eastAsia" w:ascii="Times New Roman" w:hAnsi="Times New Roman" w:eastAsia="方正仿宋_GBK" w:cs="Times New Roman"/>
          <w:sz w:val="28"/>
          <w:szCs w:val="22"/>
          <w:lang w:val="en-US" w:eastAsia="zh-CN"/>
        </w:rPr>
        <w:t>日常维修、办公用房水电费、办公用房取暖费、</w:t>
      </w:r>
      <w:r>
        <w:rPr>
          <w:rFonts w:hint="default" w:ascii="Times New Roman" w:hAnsi="Times New Roman" w:eastAsia="方正仿宋_GBK" w:cs="Times New Roman"/>
          <w:sz w:val="28"/>
          <w:szCs w:val="22"/>
          <w:lang w:val="en-US" w:eastAsia="zh-CN"/>
        </w:rPr>
        <w:t>邮电费、差旅费</w:t>
      </w:r>
      <w:r>
        <w:rPr>
          <w:rFonts w:hint="eastAsia" w:ascii="Times New Roman" w:hAnsi="Times New Roman" w:eastAsia="方正仿宋_GBK" w:cs="Times New Roman"/>
          <w:sz w:val="28"/>
          <w:szCs w:val="22"/>
          <w:lang w:val="en-US" w:eastAsia="zh-CN"/>
        </w:rPr>
        <w:t>及交通费</w:t>
      </w:r>
      <w:r>
        <w:rPr>
          <w:rFonts w:hint="default" w:ascii="Times New Roman" w:hAnsi="Times New Roman" w:eastAsia="方正仿宋_GBK" w:cs="Times New Roman"/>
          <w:sz w:val="28"/>
          <w:szCs w:val="22"/>
          <w:lang w:val="en-US" w:eastAsia="zh-CN"/>
        </w:rPr>
        <w:t>等</w:t>
      </w:r>
      <w:r>
        <w:rPr>
          <w:rFonts w:hint="eastAsia" w:ascii="Times New Roman" w:hAnsi="Times New Roman" w:eastAsia="方正仿宋_GBK" w:cs="Times New Roman"/>
          <w:sz w:val="28"/>
          <w:szCs w:val="22"/>
          <w:lang w:val="en-US" w:eastAsia="zh-CN"/>
        </w:rPr>
        <w:t>日常运行</w:t>
      </w:r>
      <w:r>
        <w:rPr>
          <w:rFonts w:hint="default" w:ascii="Times New Roman" w:hAnsi="Times New Roman" w:eastAsia="方正仿宋_GBK" w:cs="Times New Roman"/>
          <w:sz w:val="28"/>
          <w:szCs w:val="22"/>
          <w:lang w:val="en-US" w:eastAsia="zh-CN"/>
        </w:rPr>
        <w:t>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书宋_GBK"/>
          <w:lang w:val="en-US" w:eastAsia="zh-CN"/>
        </w:rPr>
      </w:pPr>
      <w:r>
        <w:rPr>
          <w:rFonts w:hint="eastAsia" w:eastAsia="方正书宋_GBK"/>
          <w:lang w:val="en-US" w:eastAsia="zh-CN"/>
        </w:rPr>
        <w:t>2026年，石家庄市新华区人民检察院财政拨款“三公”经费预算安排26.59</w:t>
      </w:r>
      <w:r>
        <w:rPr>
          <w:rFonts w:hint="default" w:eastAsia="方正书宋_GBK"/>
          <w:lang w:val="en-US" w:eastAsia="zh-CN"/>
        </w:rPr>
        <w:t>万元，其中：因公出国（境）费 0 万元</w:t>
      </w:r>
      <w:r>
        <w:rPr>
          <w:rFonts w:hint="eastAsia" w:eastAsia="方正书宋_GBK"/>
          <w:lang w:val="en-US" w:eastAsia="zh-CN"/>
        </w:rPr>
        <w:t>；</w:t>
      </w:r>
      <w:r>
        <w:rPr>
          <w:rFonts w:hint="default" w:eastAsia="方正书宋_GBK"/>
          <w:lang w:val="en-US" w:eastAsia="zh-CN"/>
        </w:rPr>
        <w:t>公务用车购置及运维费</w:t>
      </w:r>
      <w:r>
        <w:rPr>
          <w:rFonts w:hint="eastAsia" w:eastAsia="方正书宋_GBK"/>
          <w:lang w:val="en-US" w:eastAsia="zh-CN"/>
        </w:rPr>
        <w:t>24.15</w:t>
      </w:r>
      <w:r>
        <w:rPr>
          <w:rFonts w:hint="default" w:eastAsia="方正书宋_GBK"/>
          <w:lang w:val="en-US" w:eastAsia="zh-CN"/>
        </w:rPr>
        <w:t>万元（其中：公务用车购置费 0 万元，公务用车运行维护费</w:t>
      </w:r>
      <w:r>
        <w:rPr>
          <w:rFonts w:hint="eastAsia" w:eastAsia="方正书宋_GBK"/>
          <w:lang w:val="en-US" w:eastAsia="zh-CN"/>
        </w:rPr>
        <w:t>24.15</w:t>
      </w:r>
      <w:r>
        <w:rPr>
          <w:rFonts w:hint="default" w:eastAsia="方正书宋_GBK"/>
          <w:lang w:val="en-US" w:eastAsia="zh-CN"/>
        </w:rPr>
        <w:t>万元）</w:t>
      </w:r>
      <w:r>
        <w:rPr>
          <w:rFonts w:hint="eastAsia" w:eastAsia="方正书宋_GBK"/>
          <w:lang w:val="en-US" w:eastAsia="zh-CN"/>
        </w:rPr>
        <w:t>；</w:t>
      </w:r>
      <w:r>
        <w:rPr>
          <w:rFonts w:hint="default" w:eastAsia="方正书宋_GBK"/>
          <w:lang w:val="en-US" w:eastAsia="zh-CN"/>
        </w:rPr>
        <w:t xml:space="preserve">公务接待费 </w:t>
      </w:r>
      <w:r>
        <w:rPr>
          <w:rFonts w:hint="eastAsia" w:eastAsia="方正书宋_GBK"/>
          <w:lang w:val="en-US" w:eastAsia="zh-CN"/>
        </w:rPr>
        <w:t>2.44</w:t>
      </w:r>
      <w:r>
        <w:rPr>
          <w:rFonts w:hint="default" w:eastAsia="方正书宋_GBK"/>
          <w:lang w:val="en-US" w:eastAsia="zh-CN"/>
        </w:rPr>
        <w:t>万元</w:t>
      </w:r>
      <w:r>
        <w:rPr>
          <w:rFonts w:hint="eastAsia" w:eastAsia="方正书宋_GBK"/>
          <w:lang w:val="en-US" w:eastAsia="zh-CN"/>
        </w:rPr>
        <w:t>。</w:t>
      </w:r>
      <w:r>
        <w:rPr>
          <w:rFonts w:hint="default" w:eastAsia="方正书宋_GBK"/>
          <w:lang w:val="en-US" w:eastAsia="zh-CN"/>
        </w:rPr>
        <w:t>因公出国（境）费 0 万元</w:t>
      </w:r>
      <w:r>
        <w:rPr>
          <w:rFonts w:hint="eastAsia" w:eastAsia="方正书宋_GBK"/>
          <w:lang w:val="en-US" w:eastAsia="zh-CN"/>
        </w:rPr>
        <w:t xml:space="preserve">，较 </w:t>
      </w:r>
      <w:r>
        <w:rPr>
          <w:rFonts w:hint="default" w:eastAsia="方正书宋_GBK"/>
          <w:lang w:val="en-US" w:eastAsia="zh-CN"/>
        </w:rPr>
        <w:t>202</w:t>
      </w:r>
      <w:r>
        <w:rPr>
          <w:rFonts w:hint="eastAsia" w:eastAsia="方正书宋_GBK"/>
          <w:lang w:val="en-US" w:eastAsia="zh-CN"/>
        </w:rPr>
        <w:t>5年相比持平，无增减变化，主要原因是年初没有安排因公出国费</w:t>
      </w:r>
      <w:r>
        <w:rPr>
          <w:rFonts w:hint="default" w:eastAsia="方正书宋_GBK"/>
          <w:lang w:val="en-US" w:eastAsia="zh-CN"/>
        </w:rPr>
        <w:t>；公务用车购置及运维费</w:t>
      </w:r>
      <w:r>
        <w:rPr>
          <w:rFonts w:hint="eastAsia" w:eastAsia="方正书宋_GBK"/>
          <w:lang w:val="en-US" w:eastAsia="zh-CN"/>
        </w:rPr>
        <w:t>24.15</w:t>
      </w:r>
      <w:r>
        <w:rPr>
          <w:rFonts w:hint="default" w:eastAsia="方正书宋_GBK"/>
          <w:lang w:val="en-US" w:eastAsia="zh-CN"/>
        </w:rPr>
        <w:t>万元（其中：公务用车购置费 0 万元，公务用车运行维护费</w:t>
      </w:r>
      <w:r>
        <w:rPr>
          <w:rFonts w:hint="eastAsia" w:eastAsia="方正书宋_GBK"/>
          <w:lang w:val="en-US" w:eastAsia="zh-CN"/>
        </w:rPr>
        <w:t>24.15</w:t>
      </w:r>
      <w:r>
        <w:rPr>
          <w:rFonts w:hint="default" w:eastAsia="方正书宋_GBK"/>
          <w:lang w:val="en-US" w:eastAsia="zh-CN"/>
        </w:rPr>
        <w:t>万元）</w:t>
      </w:r>
      <w:r>
        <w:rPr>
          <w:rFonts w:hint="eastAsia" w:eastAsia="方正书宋_GBK"/>
          <w:lang w:val="en-US" w:eastAsia="zh-CN"/>
        </w:rPr>
        <w:t xml:space="preserve">，较 </w:t>
      </w:r>
      <w:r>
        <w:rPr>
          <w:rFonts w:hint="default" w:eastAsia="方正书宋_GBK"/>
          <w:lang w:val="en-US" w:eastAsia="zh-CN"/>
        </w:rPr>
        <w:t>202</w:t>
      </w:r>
      <w:r>
        <w:rPr>
          <w:rFonts w:hint="eastAsia" w:eastAsia="方正书宋_GBK"/>
          <w:lang w:val="en-US" w:eastAsia="zh-CN"/>
        </w:rPr>
        <w:t>5年相比减少0.75万元，主要原因是压减公务用车开支；</w:t>
      </w:r>
      <w:r>
        <w:rPr>
          <w:rFonts w:hint="default" w:eastAsia="方正书宋_GBK"/>
          <w:lang w:val="en-US" w:eastAsia="zh-CN"/>
        </w:rPr>
        <w:t>公务接待费</w:t>
      </w:r>
      <w:r>
        <w:rPr>
          <w:rFonts w:hint="eastAsia" w:eastAsia="方正书宋_GBK"/>
          <w:lang w:val="en-US" w:eastAsia="zh-CN"/>
        </w:rPr>
        <w:t>2.44</w:t>
      </w:r>
      <w:r>
        <w:rPr>
          <w:rFonts w:hint="default" w:eastAsia="方正书宋_GBK"/>
          <w:lang w:val="en-US" w:eastAsia="zh-CN"/>
        </w:rPr>
        <w:t>万元，</w:t>
      </w:r>
      <w:r>
        <w:rPr>
          <w:rFonts w:hint="eastAsia" w:eastAsia="方正书宋_GBK"/>
          <w:lang w:val="en-US" w:eastAsia="zh-CN"/>
        </w:rPr>
        <w:t xml:space="preserve">较 </w:t>
      </w:r>
      <w:r>
        <w:rPr>
          <w:rFonts w:hint="default" w:eastAsia="方正书宋_GBK"/>
          <w:lang w:val="en-US" w:eastAsia="zh-CN"/>
        </w:rPr>
        <w:t>202</w:t>
      </w:r>
      <w:r>
        <w:rPr>
          <w:rFonts w:hint="eastAsia" w:eastAsia="方正书宋_GBK"/>
          <w:lang w:val="en-US" w:eastAsia="zh-CN"/>
        </w:rPr>
        <w:t>5年相比减少0.01万元，主要原因是压减开支，节约支出。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1、单位运行电费等绩效目标表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13010026P000083103107</w:t>
            </w:r>
          </w:p>
        </w:tc>
        <w:tc>
          <w:tcPr>
            <w:tcW w:w="2835" w:type="dxa"/>
            <w:vAlign w:val="center"/>
          </w:tcPr>
          <w:p>
            <w:pPr>
              <w:pStyle w:val="10"/>
            </w:pPr>
            <w:r>
              <w:t>项目名称</w:t>
            </w:r>
          </w:p>
        </w:tc>
        <w:tc>
          <w:tcPr>
            <w:tcW w:w="6095" w:type="dxa"/>
            <w:gridSpan w:val="3"/>
            <w:vAlign w:val="center"/>
          </w:tcPr>
          <w:p>
            <w:pPr>
              <w:pStyle w:val="12"/>
            </w:pPr>
            <w:r>
              <w:t>单位运行电费等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23.59</w:t>
            </w:r>
          </w:p>
        </w:tc>
        <w:tc>
          <w:tcPr>
            <w:tcW w:w="2835" w:type="dxa"/>
            <w:vAlign w:val="center"/>
          </w:tcPr>
          <w:p>
            <w:pPr>
              <w:pStyle w:val="10"/>
            </w:pPr>
            <w:r>
              <w:t>其中：财政    资金</w:t>
            </w:r>
          </w:p>
        </w:tc>
        <w:tc>
          <w:tcPr>
            <w:tcW w:w="2551" w:type="dxa"/>
            <w:vAlign w:val="center"/>
          </w:tcPr>
          <w:p>
            <w:pPr>
              <w:pStyle w:val="12"/>
            </w:pPr>
            <w:r>
              <w:t>23.59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用于单位办公楼日常运转水电费支出，保障业务正常开展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1.用于单位办公楼日常运转水电费支出，保障业务正常开展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资金支持办公场所数量</w:t>
            </w:r>
          </w:p>
        </w:tc>
        <w:tc>
          <w:tcPr>
            <w:tcW w:w="5386" w:type="dxa"/>
            <w:vAlign w:val="center"/>
          </w:tcPr>
          <w:p>
            <w:pPr>
              <w:pStyle w:val="12"/>
            </w:pPr>
            <w:r>
              <w:t>支持办公场所的数量</w:t>
            </w:r>
          </w:p>
        </w:tc>
        <w:tc>
          <w:tcPr>
            <w:tcW w:w="2268" w:type="dxa"/>
            <w:vAlign w:val="center"/>
          </w:tcPr>
          <w:p>
            <w:pPr>
              <w:pStyle w:val="12"/>
            </w:pPr>
            <w:r>
              <w:t>1个</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p>
            <w:pPr>
              <w:pStyle w:val="12"/>
            </w:pPr>
          </w:p>
        </w:tc>
        <w:tc>
          <w:tcPr>
            <w:tcW w:w="5386" w:type="dxa"/>
            <w:vAlign w:val="center"/>
          </w:tcPr>
          <w:p>
            <w:pPr>
              <w:pStyle w:val="12"/>
            </w:pPr>
            <w:r>
              <w:t>专款专用率</w:t>
            </w:r>
          </w:p>
          <w:p>
            <w:pPr>
              <w:pStyle w:val="12"/>
            </w:pPr>
          </w:p>
        </w:tc>
        <w:tc>
          <w:tcPr>
            <w:tcW w:w="2268" w:type="dxa"/>
            <w:vAlign w:val="center"/>
          </w:tcPr>
          <w:p>
            <w:pPr>
              <w:pStyle w:val="12"/>
            </w:pPr>
            <w:r>
              <w:t>100%</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缴费时限</w:t>
            </w:r>
          </w:p>
        </w:tc>
        <w:tc>
          <w:tcPr>
            <w:tcW w:w="5386" w:type="dxa"/>
            <w:vAlign w:val="center"/>
          </w:tcPr>
          <w:p>
            <w:pPr>
              <w:pStyle w:val="12"/>
            </w:pPr>
            <w:r>
              <w:t>收到水电费缴纳通知后缴费时限</w:t>
            </w:r>
          </w:p>
        </w:tc>
        <w:tc>
          <w:tcPr>
            <w:tcW w:w="2268" w:type="dxa"/>
            <w:vAlign w:val="center"/>
          </w:tcPr>
          <w:p>
            <w:pPr>
              <w:pStyle w:val="12"/>
            </w:pPr>
            <w:r>
              <w:t>≤7天</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≤23.59万元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水电费及时缴纳，办公场所正常运转率</w:t>
            </w:r>
          </w:p>
        </w:tc>
        <w:tc>
          <w:tcPr>
            <w:tcW w:w="5386" w:type="dxa"/>
            <w:vAlign w:val="center"/>
          </w:tcPr>
          <w:p>
            <w:pPr>
              <w:pStyle w:val="12"/>
            </w:pPr>
            <w:r>
              <w:t>水电费及时缴纳，办公场所正常运转率</w:t>
            </w:r>
          </w:p>
        </w:tc>
        <w:tc>
          <w:tcPr>
            <w:tcW w:w="2268" w:type="dxa"/>
            <w:vAlign w:val="center"/>
          </w:tcPr>
          <w:p>
            <w:pPr>
              <w:pStyle w:val="12"/>
            </w:pPr>
            <w:r>
              <w:t>≥95%</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本单位职工满意度</w:t>
            </w:r>
          </w:p>
        </w:tc>
        <w:tc>
          <w:tcPr>
            <w:tcW w:w="5386" w:type="dxa"/>
            <w:vAlign w:val="center"/>
          </w:tcPr>
          <w:p>
            <w:pPr>
              <w:pStyle w:val="12"/>
            </w:pPr>
            <w:r>
              <w:t>本单位干警满意度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13010026P00971110661H</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6.97</w:t>
            </w:r>
          </w:p>
        </w:tc>
        <w:tc>
          <w:tcPr>
            <w:tcW w:w="2835" w:type="dxa"/>
            <w:vAlign w:val="center"/>
          </w:tcPr>
          <w:p>
            <w:pPr>
              <w:pStyle w:val="10"/>
            </w:pPr>
            <w:r>
              <w:t>其中：财政    资金</w:t>
            </w:r>
          </w:p>
        </w:tc>
        <w:tc>
          <w:tcPr>
            <w:tcW w:w="2551" w:type="dxa"/>
            <w:vAlign w:val="center"/>
          </w:tcPr>
          <w:p>
            <w:pPr>
              <w:pStyle w:val="12"/>
            </w:pPr>
            <w:r>
              <w:t>6.97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资金用于单位党组织建设相关支出，用于购置党员学习书籍、用品、党组织活动支出等。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单位党组织活动开展的相关支出，提升党组织活动成效。1.每月组织党员开展主题教育学习，学习党的先进政策，领悟党的工作要求，把基层党组织建设落实到日常学习教育之中；2.组织外出参观等系列党组织活动，提升党员参与积极性；3.购置部分学习用品，确保党员学习教育活动顺利开展。4.其他党建工作相关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党组织活动次数</w:t>
            </w:r>
          </w:p>
        </w:tc>
        <w:tc>
          <w:tcPr>
            <w:tcW w:w="5386" w:type="dxa"/>
            <w:vAlign w:val="center"/>
          </w:tcPr>
          <w:p>
            <w:pPr>
              <w:pStyle w:val="12"/>
            </w:pPr>
            <w:r>
              <w:t>每年组织开展党组织活动的次数</w:t>
            </w:r>
          </w:p>
        </w:tc>
        <w:tc>
          <w:tcPr>
            <w:tcW w:w="2268" w:type="dxa"/>
            <w:vAlign w:val="center"/>
          </w:tcPr>
          <w:p>
            <w:pPr>
              <w:pStyle w:val="12"/>
            </w:pPr>
            <w:r>
              <w:t>≥8次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党组织活动党员参与人数占总数的比例</w:t>
            </w:r>
          </w:p>
        </w:tc>
        <w:tc>
          <w:tcPr>
            <w:tcW w:w="2268" w:type="dxa"/>
            <w:vAlign w:val="center"/>
          </w:tcPr>
          <w:p>
            <w:pPr>
              <w:pStyle w:val="12"/>
            </w:pPr>
            <w:r>
              <w:t>≥90%</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党建工作开展及时性</w:t>
            </w:r>
          </w:p>
        </w:tc>
        <w:tc>
          <w:tcPr>
            <w:tcW w:w="5386" w:type="dxa"/>
            <w:vAlign w:val="center"/>
          </w:tcPr>
          <w:p>
            <w:pPr>
              <w:pStyle w:val="12"/>
            </w:pPr>
            <w:r>
              <w:t>党建活动按照工作计划准时开展占比</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≤6.97万元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党的政策传递顺畅度</w:t>
            </w:r>
          </w:p>
        </w:tc>
        <w:tc>
          <w:tcPr>
            <w:tcW w:w="5386" w:type="dxa"/>
            <w:vAlign w:val="center"/>
          </w:tcPr>
          <w:p>
            <w:pPr>
              <w:pStyle w:val="12"/>
            </w:pPr>
            <w:r>
              <w:t>党的最新理论政策传达率</w:t>
            </w:r>
          </w:p>
        </w:tc>
        <w:tc>
          <w:tcPr>
            <w:tcW w:w="2268" w:type="dxa"/>
            <w:vAlign w:val="center"/>
          </w:tcPr>
          <w:p>
            <w:pPr>
              <w:pStyle w:val="12"/>
            </w:pPr>
            <w:r>
              <w:t>≥95%</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13010026P006412104506</w:t>
            </w:r>
          </w:p>
        </w:tc>
        <w:tc>
          <w:tcPr>
            <w:tcW w:w="2835" w:type="dxa"/>
            <w:vAlign w:val="center"/>
          </w:tcPr>
          <w:p>
            <w:pPr>
              <w:pStyle w:val="10"/>
            </w:pPr>
            <w:r>
              <w:t>项目名称</w:t>
            </w:r>
          </w:p>
        </w:tc>
        <w:tc>
          <w:tcPr>
            <w:tcW w:w="6095" w:type="dxa"/>
            <w:gridSpan w:val="3"/>
            <w:vAlign w:val="center"/>
          </w:tcPr>
          <w:p>
            <w:pPr>
              <w:pStyle w:val="12"/>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39.70</w:t>
            </w:r>
          </w:p>
        </w:tc>
        <w:tc>
          <w:tcPr>
            <w:tcW w:w="2835" w:type="dxa"/>
            <w:vAlign w:val="center"/>
          </w:tcPr>
          <w:p>
            <w:pPr>
              <w:pStyle w:val="10"/>
            </w:pPr>
            <w:r>
              <w:t>其中：财政    资金</w:t>
            </w:r>
          </w:p>
        </w:tc>
        <w:tc>
          <w:tcPr>
            <w:tcW w:w="2551" w:type="dxa"/>
            <w:vAlign w:val="center"/>
          </w:tcPr>
          <w:p>
            <w:pPr>
              <w:pStyle w:val="12"/>
            </w:pPr>
            <w:r>
              <w:t>39.70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该项目资金用于单位物业管理服务费，主要维护单位环境卫生，养护绿化，维持安保等工作，保障单位正常运转。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1.对办公大楼实行全天候不定时清扫保洁工作，保障办公环境整洁，通过安全巡查，安保执勤等，保障办公大楼运转顺畅。维护绿化，保障单位运转顺畅。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物业维护面积</w:t>
            </w:r>
          </w:p>
        </w:tc>
        <w:tc>
          <w:tcPr>
            <w:tcW w:w="5386" w:type="dxa"/>
            <w:vAlign w:val="center"/>
          </w:tcPr>
          <w:p>
            <w:pPr>
              <w:pStyle w:val="12"/>
            </w:pPr>
            <w:r>
              <w:t>物业维护面积</w:t>
            </w:r>
          </w:p>
        </w:tc>
        <w:tc>
          <w:tcPr>
            <w:tcW w:w="2268" w:type="dxa"/>
            <w:vAlign w:val="center"/>
          </w:tcPr>
          <w:p>
            <w:pPr>
              <w:pStyle w:val="12"/>
            </w:pPr>
            <w:r>
              <w:t>≥6500平方米</w:t>
            </w:r>
          </w:p>
        </w:tc>
        <w:tc>
          <w:tcPr>
            <w:tcW w:w="1276" w:type="dxa"/>
            <w:vAlign w:val="center"/>
          </w:tcPr>
          <w:p>
            <w:pPr>
              <w:pStyle w:val="12"/>
            </w:pPr>
            <w:r>
              <w:t>单位实际物业服务面积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物业服务达标率</w:t>
            </w:r>
          </w:p>
        </w:tc>
        <w:tc>
          <w:tcPr>
            <w:tcW w:w="5386" w:type="dxa"/>
            <w:vAlign w:val="center"/>
          </w:tcPr>
          <w:p>
            <w:pPr>
              <w:pStyle w:val="12"/>
            </w:pPr>
            <w:r>
              <w:t>物业服务达标率</w:t>
            </w:r>
          </w:p>
        </w:tc>
        <w:tc>
          <w:tcPr>
            <w:tcW w:w="2268" w:type="dxa"/>
            <w:vAlign w:val="center"/>
          </w:tcPr>
          <w:p>
            <w:pPr>
              <w:pStyle w:val="12"/>
            </w:pPr>
            <w:r>
              <w:t>≥95%</w:t>
            </w:r>
          </w:p>
        </w:tc>
        <w:tc>
          <w:tcPr>
            <w:tcW w:w="1276" w:type="dxa"/>
            <w:vAlign w:val="center"/>
          </w:tcPr>
          <w:p>
            <w:pPr>
              <w:pStyle w:val="12"/>
            </w:pPr>
            <w:r>
              <w:t>物业服务标准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物业服务期限</w:t>
            </w:r>
          </w:p>
        </w:tc>
        <w:tc>
          <w:tcPr>
            <w:tcW w:w="5386" w:type="dxa"/>
            <w:vAlign w:val="center"/>
          </w:tcPr>
          <w:p>
            <w:pPr>
              <w:pStyle w:val="12"/>
            </w:pPr>
            <w:r>
              <w:t>物业服务期限</w:t>
            </w:r>
          </w:p>
        </w:tc>
        <w:tc>
          <w:tcPr>
            <w:tcW w:w="2268" w:type="dxa"/>
            <w:vAlign w:val="center"/>
          </w:tcPr>
          <w:p>
            <w:pPr>
              <w:pStyle w:val="12"/>
            </w:pPr>
            <w:r>
              <w:t>1年</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物业服务成本</w:t>
            </w:r>
          </w:p>
        </w:tc>
        <w:tc>
          <w:tcPr>
            <w:tcW w:w="5386" w:type="dxa"/>
            <w:vAlign w:val="center"/>
          </w:tcPr>
          <w:p>
            <w:pPr>
              <w:pStyle w:val="12"/>
            </w:pPr>
            <w:r>
              <w:t>物业服务成本</w:t>
            </w:r>
          </w:p>
        </w:tc>
        <w:tc>
          <w:tcPr>
            <w:tcW w:w="2268" w:type="dxa"/>
            <w:vAlign w:val="center"/>
          </w:tcPr>
          <w:p>
            <w:pPr>
              <w:pStyle w:val="12"/>
            </w:pPr>
            <w:r>
              <w:t>≤39.7万元</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保障单位大楼整洁干净安全运转，重大安全事故发生率</w:t>
            </w:r>
          </w:p>
        </w:tc>
        <w:tc>
          <w:tcPr>
            <w:tcW w:w="5386" w:type="dxa"/>
            <w:vAlign w:val="center"/>
          </w:tcPr>
          <w:p>
            <w:pPr>
              <w:pStyle w:val="12"/>
            </w:pPr>
            <w:r>
              <w:t>保障单位大楼整洁干净安全运转，重大安全事故发生率</w:t>
            </w:r>
          </w:p>
        </w:tc>
        <w:tc>
          <w:tcPr>
            <w:tcW w:w="2268" w:type="dxa"/>
            <w:vAlign w:val="center"/>
          </w:tcPr>
          <w:p>
            <w:pPr>
              <w:pStyle w:val="12"/>
            </w:pPr>
            <w:r>
              <w:t>≤0.5%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4、聘用制书记员经费绩效目标表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13010026P00010510147T</w:t>
            </w:r>
          </w:p>
        </w:tc>
        <w:tc>
          <w:tcPr>
            <w:tcW w:w="2835" w:type="dxa"/>
            <w:vAlign w:val="center"/>
          </w:tcPr>
          <w:p>
            <w:pPr>
              <w:pStyle w:val="10"/>
            </w:pPr>
            <w:r>
              <w:t>项目名称</w:t>
            </w:r>
          </w:p>
        </w:tc>
        <w:tc>
          <w:tcPr>
            <w:tcW w:w="6095" w:type="dxa"/>
            <w:gridSpan w:val="3"/>
            <w:vAlign w:val="center"/>
          </w:tcPr>
          <w:p>
            <w:pPr>
              <w:pStyle w:val="12"/>
            </w:pPr>
            <w:r>
              <w:t>聘用制书记员经费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129.00</w:t>
            </w:r>
          </w:p>
        </w:tc>
        <w:tc>
          <w:tcPr>
            <w:tcW w:w="2835" w:type="dxa"/>
            <w:vAlign w:val="center"/>
          </w:tcPr>
          <w:p>
            <w:pPr>
              <w:pStyle w:val="10"/>
            </w:pPr>
            <w:r>
              <w:t>其中：财政    资金</w:t>
            </w:r>
          </w:p>
        </w:tc>
        <w:tc>
          <w:tcPr>
            <w:tcW w:w="2551" w:type="dxa"/>
            <w:vAlign w:val="center"/>
          </w:tcPr>
          <w:p>
            <w:pPr>
              <w:pStyle w:val="12"/>
            </w:pPr>
            <w:r>
              <w:t>129.00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该项目资金用于支付聘用制书记员工资及社保支出等，通过经费使用，保障检察业务工作顺利开展。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1.用于支付聘用制书记员劳务费，提高单位工作效率和办案质效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聘用制人员数量</w:t>
            </w:r>
          </w:p>
        </w:tc>
        <w:tc>
          <w:tcPr>
            <w:tcW w:w="2268" w:type="dxa"/>
            <w:vAlign w:val="center"/>
          </w:tcPr>
          <w:p>
            <w:pPr>
              <w:pStyle w:val="12"/>
            </w:pPr>
            <w:r>
              <w:t>19人</w:t>
            </w:r>
          </w:p>
        </w:tc>
        <w:tc>
          <w:tcPr>
            <w:tcW w:w="1276" w:type="dxa"/>
            <w:vAlign w:val="center"/>
          </w:tcPr>
          <w:p>
            <w:pPr>
              <w:pStyle w:val="12"/>
            </w:pPr>
            <w:r>
              <w:t>实际聘用人数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人员满勤率</w:t>
            </w:r>
          </w:p>
        </w:tc>
        <w:tc>
          <w:tcPr>
            <w:tcW w:w="5386" w:type="dxa"/>
            <w:vAlign w:val="center"/>
          </w:tcPr>
          <w:p>
            <w:pPr>
              <w:pStyle w:val="12"/>
            </w:pPr>
            <w:r>
              <w:t>人员满勤率</w:t>
            </w:r>
          </w:p>
        </w:tc>
        <w:tc>
          <w:tcPr>
            <w:tcW w:w="2268" w:type="dxa"/>
            <w:vAlign w:val="center"/>
          </w:tcPr>
          <w:p>
            <w:pPr>
              <w:pStyle w:val="12"/>
            </w:pPr>
            <w:r>
              <w:t>≥95%</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书记员工资及社保支付及时率</w:t>
            </w:r>
          </w:p>
        </w:tc>
        <w:tc>
          <w:tcPr>
            <w:tcW w:w="5386" w:type="dxa"/>
            <w:vAlign w:val="center"/>
          </w:tcPr>
          <w:p>
            <w:pPr>
              <w:pStyle w:val="12"/>
            </w:pPr>
            <w:r>
              <w:t>书记员工资及社保支付及时率</w:t>
            </w:r>
          </w:p>
        </w:tc>
        <w:tc>
          <w:tcPr>
            <w:tcW w:w="2268" w:type="dxa"/>
            <w:vAlign w:val="center"/>
          </w:tcPr>
          <w:p>
            <w:pPr>
              <w:pStyle w:val="12"/>
            </w:pPr>
            <w:r>
              <w:t>≤95%</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≤129万元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保障检察人员队伍稳定，聘用制人员离职率</w:t>
            </w:r>
          </w:p>
        </w:tc>
        <w:tc>
          <w:tcPr>
            <w:tcW w:w="5386" w:type="dxa"/>
            <w:vAlign w:val="center"/>
          </w:tcPr>
          <w:p>
            <w:pPr>
              <w:pStyle w:val="12"/>
            </w:pPr>
            <w:r>
              <w:t>保障检察人员队伍稳定，聘用制人员离职率</w:t>
            </w:r>
          </w:p>
        </w:tc>
        <w:tc>
          <w:tcPr>
            <w:tcW w:w="2268" w:type="dxa"/>
            <w:vAlign w:val="center"/>
          </w:tcPr>
          <w:p>
            <w:pPr>
              <w:pStyle w:val="12"/>
            </w:pPr>
            <w:r>
              <w:t>≤5%</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聘用制人员满意度</w:t>
            </w:r>
          </w:p>
        </w:tc>
        <w:tc>
          <w:tcPr>
            <w:tcW w:w="5386" w:type="dxa"/>
            <w:vAlign w:val="center"/>
          </w:tcPr>
          <w:p>
            <w:pPr>
              <w:pStyle w:val="12"/>
            </w:pPr>
            <w:r>
              <w:t>聘用制人员满意度</w:t>
            </w:r>
            <w:r>
              <w:tab/>
            </w:r>
          </w:p>
          <w:p>
            <w:pPr>
              <w:pStyle w:val="12"/>
            </w:pP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5、提前下达2026年省级基层公检法司转移支付资金绩效目标表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13010026P00RGN9100539</w:t>
            </w:r>
          </w:p>
        </w:tc>
        <w:tc>
          <w:tcPr>
            <w:tcW w:w="2835" w:type="dxa"/>
            <w:vAlign w:val="center"/>
          </w:tcPr>
          <w:p>
            <w:pPr>
              <w:pStyle w:val="10"/>
            </w:pPr>
            <w:r>
              <w:t>项目名称</w:t>
            </w:r>
          </w:p>
        </w:tc>
        <w:tc>
          <w:tcPr>
            <w:tcW w:w="6095" w:type="dxa"/>
            <w:gridSpan w:val="3"/>
            <w:vAlign w:val="center"/>
          </w:tcPr>
          <w:p>
            <w:pPr>
              <w:pStyle w:val="12"/>
            </w:pPr>
            <w:r>
              <w:t>提前下达2026年省级基层公检法司转移支付资金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99.00</w:t>
            </w:r>
          </w:p>
        </w:tc>
        <w:tc>
          <w:tcPr>
            <w:tcW w:w="2835" w:type="dxa"/>
            <w:vAlign w:val="center"/>
          </w:tcPr>
          <w:p>
            <w:pPr>
              <w:pStyle w:val="10"/>
            </w:pPr>
            <w:r>
              <w:t>其中：财政    资金</w:t>
            </w:r>
          </w:p>
        </w:tc>
        <w:tc>
          <w:tcPr>
            <w:tcW w:w="2551" w:type="dxa"/>
            <w:vAlign w:val="center"/>
          </w:tcPr>
          <w:p>
            <w:pPr>
              <w:pStyle w:val="12"/>
            </w:pPr>
            <w:r>
              <w:t>99.00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该项目资金属于涉密资金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1.该项目资金属于涉密资金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6、提前下达2026年中央政法纪检监察转移支付资金预算绩效目标表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13010026P00CB3C100867</w:t>
            </w:r>
          </w:p>
        </w:tc>
        <w:tc>
          <w:tcPr>
            <w:tcW w:w="2835" w:type="dxa"/>
            <w:vAlign w:val="center"/>
          </w:tcPr>
          <w:p>
            <w:pPr>
              <w:pStyle w:val="10"/>
            </w:pPr>
            <w:r>
              <w:t>项目名称</w:t>
            </w:r>
          </w:p>
        </w:tc>
        <w:tc>
          <w:tcPr>
            <w:tcW w:w="6095" w:type="dxa"/>
            <w:gridSpan w:val="3"/>
            <w:vAlign w:val="center"/>
          </w:tcPr>
          <w:p>
            <w:pPr>
              <w:pStyle w:val="12"/>
            </w:pPr>
            <w:r>
              <w:t>提前下达2026年中央政法纪检监察转移支付资金预算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185.00</w:t>
            </w:r>
          </w:p>
        </w:tc>
        <w:tc>
          <w:tcPr>
            <w:tcW w:w="2835" w:type="dxa"/>
            <w:vAlign w:val="center"/>
          </w:tcPr>
          <w:p>
            <w:pPr>
              <w:pStyle w:val="10"/>
            </w:pPr>
            <w:r>
              <w:t>其中：财政    资金</w:t>
            </w:r>
          </w:p>
        </w:tc>
        <w:tc>
          <w:tcPr>
            <w:tcW w:w="2551" w:type="dxa"/>
            <w:vAlign w:val="center"/>
          </w:tcPr>
          <w:p>
            <w:pPr>
              <w:pStyle w:val="12"/>
            </w:pPr>
            <w:r>
              <w:t>185.00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该项目资金属于涉密资金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1.该项目资金属于涉密项目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7、业务保障经费绩效目标表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13010026P00869510239U</w:t>
            </w:r>
          </w:p>
        </w:tc>
        <w:tc>
          <w:tcPr>
            <w:tcW w:w="2835" w:type="dxa"/>
            <w:vAlign w:val="center"/>
          </w:tcPr>
          <w:p>
            <w:pPr>
              <w:pStyle w:val="10"/>
            </w:pPr>
            <w:r>
              <w:t>项目名称</w:t>
            </w:r>
          </w:p>
        </w:tc>
        <w:tc>
          <w:tcPr>
            <w:tcW w:w="6095" w:type="dxa"/>
            <w:gridSpan w:val="3"/>
            <w:vAlign w:val="center"/>
          </w:tcPr>
          <w:p>
            <w:pPr>
              <w:pStyle w:val="12"/>
            </w:pPr>
            <w:r>
              <w:t>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该项目用于单位后勤保障运转支出，确保检察业务工作顺利进行。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1.通过经费使用，保障单位干警后勤服务正常开展，促进业务工作顺利进行。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资金保障的职工数量</w:t>
            </w:r>
          </w:p>
        </w:tc>
        <w:tc>
          <w:tcPr>
            <w:tcW w:w="5386" w:type="dxa"/>
            <w:vAlign w:val="center"/>
          </w:tcPr>
          <w:p>
            <w:pPr>
              <w:pStyle w:val="12"/>
            </w:pPr>
            <w:r>
              <w:t>资金保障的职工数量</w:t>
            </w:r>
          </w:p>
        </w:tc>
        <w:tc>
          <w:tcPr>
            <w:tcW w:w="2268" w:type="dxa"/>
            <w:vAlign w:val="center"/>
          </w:tcPr>
          <w:p>
            <w:pPr>
              <w:pStyle w:val="12"/>
            </w:pPr>
            <w:r>
              <w:t>≥85人</w:t>
            </w:r>
          </w:p>
        </w:tc>
        <w:tc>
          <w:tcPr>
            <w:tcW w:w="1276" w:type="dxa"/>
            <w:vAlign w:val="center"/>
          </w:tcPr>
          <w:p>
            <w:pPr>
              <w:pStyle w:val="12"/>
            </w:pPr>
            <w:r>
              <w:t>实际人员数量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支付完成率</w:t>
            </w:r>
          </w:p>
        </w:tc>
        <w:tc>
          <w:tcPr>
            <w:tcW w:w="5386" w:type="dxa"/>
            <w:vAlign w:val="center"/>
          </w:tcPr>
          <w:p>
            <w:pPr>
              <w:pStyle w:val="12"/>
            </w:pPr>
            <w:r>
              <w:t>收到发票后资金支付时限</w:t>
            </w:r>
          </w:p>
        </w:tc>
        <w:tc>
          <w:tcPr>
            <w:tcW w:w="2268" w:type="dxa"/>
            <w:vAlign w:val="center"/>
          </w:tcPr>
          <w:p>
            <w:pPr>
              <w:pStyle w:val="12"/>
            </w:pPr>
            <w:r>
              <w:t>≤7天</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≤45万元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检察业务工作正常开展率</w:t>
            </w:r>
          </w:p>
        </w:tc>
        <w:tc>
          <w:tcPr>
            <w:tcW w:w="5386" w:type="dxa"/>
            <w:vAlign w:val="center"/>
          </w:tcPr>
          <w:p>
            <w:pPr>
              <w:pStyle w:val="12"/>
            </w:pPr>
            <w:r>
              <w:t>检察业务工作正常开展率</w:t>
            </w:r>
          </w:p>
        </w:tc>
        <w:tc>
          <w:tcPr>
            <w:tcW w:w="2268" w:type="dxa"/>
            <w:vAlign w:val="center"/>
          </w:tcPr>
          <w:p>
            <w:pPr>
              <w:pStyle w:val="12"/>
            </w:pPr>
            <w:r>
              <w:t>≥95%</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单位职工满意度</w:t>
            </w:r>
          </w:p>
        </w:tc>
        <w:tc>
          <w:tcPr>
            <w:tcW w:w="5386" w:type="dxa"/>
            <w:vAlign w:val="center"/>
          </w:tcPr>
          <w:p>
            <w:pPr>
              <w:pStyle w:val="12"/>
            </w:pPr>
            <w:r>
              <w:t>单位职工满意度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631001石家庄市新华区人民检察院本级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177.61</w:t>
            </w:r>
          </w:p>
        </w:tc>
        <w:tc>
          <w:tcPr>
            <w:tcW w:w="964" w:type="dxa"/>
            <w:vAlign w:val="center"/>
          </w:tcPr>
          <w:p>
            <w:pPr>
              <w:pStyle w:val="15"/>
            </w:pPr>
            <w:r>
              <w:t>177.61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石家庄市新华区人民检察院本级小计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177.61</w:t>
            </w:r>
          </w:p>
        </w:tc>
        <w:tc>
          <w:tcPr>
            <w:tcW w:w="964" w:type="dxa"/>
            <w:vAlign w:val="center"/>
          </w:tcPr>
          <w:p>
            <w:pPr>
              <w:pStyle w:val="15"/>
            </w:pPr>
            <w:r>
              <w:t>177.61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122.17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280</w:t>
            </w:r>
          </w:p>
        </w:tc>
        <w:tc>
          <w:tcPr>
            <w:tcW w:w="850" w:type="dxa"/>
            <w:vAlign w:val="center"/>
          </w:tcPr>
          <w:p>
            <w:pPr>
              <w:pStyle w:val="11"/>
            </w:pPr>
            <w:r>
              <w:t>0.00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122.17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5.43</w:t>
            </w:r>
          </w:p>
        </w:tc>
        <w:tc>
          <w:tcPr>
            <w:tcW w:w="964" w:type="dxa"/>
            <w:vAlign w:val="center"/>
          </w:tcPr>
          <w:p>
            <w:pPr>
              <w:pStyle w:val="11"/>
            </w:pPr>
            <w:r>
              <w:t>5.43</w:t>
            </w:r>
          </w:p>
        </w:tc>
        <w:tc>
          <w:tcPr>
            <w:tcW w:w="964" w:type="dxa"/>
            <w:vAlign w:val="center"/>
          </w:tcPr>
          <w:p>
            <w:pPr>
              <w:pStyle w:val="11"/>
            </w:pPr>
            <w:r>
              <w:t>5.43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122.17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18.60</w:t>
            </w:r>
          </w:p>
        </w:tc>
        <w:tc>
          <w:tcPr>
            <w:tcW w:w="964" w:type="dxa"/>
            <w:vAlign w:val="center"/>
          </w:tcPr>
          <w:p>
            <w:pPr>
              <w:pStyle w:val="11"/>
            </w:pPr>
            <w:r>
              <w:t>18.60</w:t>
            </w:r>
          </w:p>
        </w:tc>
        <w:tc>
          <w:tcPr>
            <w:tcW w:w="964" w:type="dxa"/>
            <w:vAlign w:val="center"/>
          </w:tcPr>
          <w:p>
            <w:pPr>
              <w:pStyle w:val="11"/>
            </w:pPr>
            <w:r>
              <w:t>18.60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物业管理费</w:t>
            </w:r>
          </w:p>
        </w:tc>
        <w:tc>
          <w:tcPr>
            <w:tcW w:w="964" w:type="dxa"/>
            <w:vAlign w:val="center"/>
          </w:tcPr>
          <w:p>
            <w:pPr>
              <w:pStyle w:val="11"/>
            </w:pPr>
            <w:r>
              <w:t>39.70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39.70</w:t>
            </w:r>
          </w:p>
        </w:tc>
        <w:tc>
          <w:tcPr>
            <w:tcW w:w="964" w:type="dxa"/>
            <w:vAlign w:val="center"/>
          </w:tcPr>
          <w:p>
            <w:pPr>
              <w:pStyle w:val="11"/>
            </w:pPr>
            <w:r>
              <w:t>39.70</w:t>
            </w:r>
          </w:p>
        </w:tc>
        <w:tc>
          <w:tcPr>
            <w:tcW w:w="964" w:type="dxa"/>
            <w:vAlign w:val="center"/>
          </w:tcPr>
          <w:p>
            <w:pPr>
              <w:pStyle w:val="11"/>
            </w:pPr>
            <w:r>
              <w:t>39.70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提前下达2026年省级基层公检法司转移支付资金</w:t>
            </w: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709"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850"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850"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提前下达2026年省级基层公检法司转移支付资金</w:t>
            </w: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709"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850"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850"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提前下达2026年中央政法纪检监察转移支付资金预算</w:t>
            </w: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113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709" w:type="dxa"/>
            <w:vAlign w:val="center"/>
          </w:tcPr>
          <w:p>
            <w:pPr>
              <w:pStyle w:val="13"/>
              <w:rPr>
                <w:rFonts w:hint="eastAsia" w:eastAsia="方正书宋_GBK"/>
                <w:lang w:eastAsia="zh-CN"/>
              </w:rPr>
            </w:pPr>
            <w:r>
              <w:rPr>
                <w:rFonts w:hint="eastAsia"/>
                <w:lang w:val="en-US" w:eastAsia="zh-CN"/>
              </w:rPr>
              <w:t>涉密</w:t>
            </w:r>
          </w:p>
        </w:tc>
        <w:tc>
          <w:tcPr>
            <w:tcW w:w="850" w:type="dxa"/>
            <w:vAlign w:val="center"/>
          </w:tcPr>
          <w:p>
            <w:pPr>
              <w:pStyle w:val="11"/>
              <w:rPr>
                <w:rFonts w:hint="eastAsia" w:eastAsia="方正书宋_GBK"/>
                <w:lang w:eastAsia="zh-CN"/>
              </w:rPr>
            </w:pPr>
            <w:r>
              <w:rPr>
                <w:rFonts w:hint="eastAsia"/>
                <w:lang w:val="en-US" w:eastAsia="zh-CN"/>
              </w:rPr>
              <w:t>涉密</w:t>
            </w:r>
          </w:p>
        </w:tc>
        <w:tc>
          <w:tcPr>
            <w:tcW w:w="850"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3"/>
              <w:ind w:firstLine="0" w:firstLineChars="0"/>
              <w:rPr>
                <w:rFonts w:hint="eastAsia" w:ascii="方正书宋_GBK" w:hAnsi="方正书宋_GBK" w:eastAsia="方正书宋_GBK" w:cs="方正书宋_GBK"/>
                <w:sz w:val="21"/>
                <w:szCs w:val="22"/>
                <w:lang w:eastAsia="zh-CN"/>
              </w:rPr>
            </w:pPr>
            <w:r>
              <w:rPr>
                <w:rFonts w:hint="eastAsia"/>
                <w:lang w:val="en-US" w:eastAsia="zh-CN"/>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业务保障经费</w:t>
            </w:r>
          </w:p>
        </w:tc>
        <w:tc>
          <w:tcPr>
            <w:tcW w:w="964" w:type="dxa"/>
            <w:vAlign w:val="center"/>
          </w:tcPr>
          <w:p>
            <w:pPr>
              <w:pStyle w:val="11"/>
            </w:pPr>
            <w:r>
              <w:t>45.00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0.45</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业务保障经费</w:t>
            </w:r>
          </w:p>
        </w:tc>
        <w:tc>
          <w:tcPr>
            <w:tcW w:w="964" w:type="dxa"/>
            <w:vAlign w:val="center"/>
          </w:tcPr>
          <w:p>
            <w:pPr>
              <w:pStyle w:val="11"/>
            </w:pPr>
            <w:r>
              <w:t>45.00</w:t>
            </w:r>
          </w:p>
        </w:tc>
        <w:tc>
          <w:tcPr>
            <w:tcW w:w="1134" w:type="dxa"/>
            <w:vAlign w:val="center"/>
          </w:tcPr>
          <w:p>
            <w:pPr>
              <w:pStyle w:val="12"/>
            </w:pPr>
            <w:r>
              <w:t>餐饮服务</w:t>
            </w:r>
          </w:p>
        </w:tc>
        <w:tc>
          <w:tcPr>
            <w:tcW w:w="1134" w:type="dxa"/>
            <w:vAlign w:val="center"/>
          </w:tcPr>
          <w:p>
            <w:pPr>
              <w:pStyle w:val="12"/>
            </w:pPr>
            <w:r>
              <w:t>C22040000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43.20</w:t>
            </w:r>
          </w:p>
        </w:tc>
        <w:tc>
          <w:tcPr>
            <w:tcW w:w="964" w:type="dxa"/>
            <w:vAlign w:val="center"/>
          </w:tcPr>
          <w:p>
            <w:pPr>
              <w:pStyle w:val="11"/>
            </w:pPr>
            <w:r>
              <w:t>43.20</w:t>
            </w:r>
          </w:p>
        </w:tc>
        <w:tc>
          <w:tcPr>
            <w:tcW w:w="964" w:type="dxa"/>
            <w:vAlign w:val="center"/>
          </w:tcPr>
          <w:p>
            <w:pPr>
              <w:pStyle w:val="11"/>
            </w:pPr>
            <w:r>
              <w:t>43.20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石家庄市新华区人民检察院本级上年末固定资产金额为</w:t>
      </w:r>
      <w:r>
        <w:rPr>
          <w:rFonts w:hint="eastAsia" w:eastAsia="方正仿宋_GBK" w:cs="Times New Roman"/>
          <w:b w:val="0"/>
          <w:color w:val="000000"/>
          <w:sz w:val="28"/>
          <w:lang w:val="en-US" w:eastAsia="zh-CN"/>
        </w:rPr>
        <w:t>5261.95</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54</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631001石家庄市新华区人民检察院本级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ind w:firstLine="0" w:firstLineChars="0"/>
            </w:pPr>
            <w:r>
              <w:t>项   目</w:t>
            </w:r>
          </w:p>
        </w:tc>
        <w:tc>
          <w:tcPr>
            <w:tcW w:w="2835" w:type="dxa"/>
            <w:vAlign w:val="center"/>
          </w:tcPr>
          <w:p>
            <w:pPr>
              <w:pStyle w:val="10"/>
              <w:ind w:firstLine="0" w:firstLineChars="0"/>
            </w:pPr>
            <w:r>
              <w:t>数量</w:t>
            </w:r>
          </w:p>
        </w:tc>
        <w:tc>
          <w:tcPr>
            <w:tcW w:w="2835" w:type="dxa"/>
            <w:vAlign w:val="center"/>
          </w:tcPr>
          <w:p>
            <w:pPr>
              <w:pStyle w:val="10"/>
              <w:ind w:firstLine="0" w:firstLineChars="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left"/>
            </w:pPr>
            <w:r>
              <w:rPr>
                <w:rFonts w:hint="eastAsia" w:ascii="方正书宋_GBK" w:hAnsi="方正书宋_GBK" w:eastAsia="方正书宋_GBK" w:cs="方正书宋_GBK"/>
                <w:sz w:val="21"/>
                <w:szCs w:val="24"/>
                <w:lang w:val="en-US" w:eastAsia="zh-CN" w:bidi="ar-SA"/>
              </w:rPr>
              <w:t xml:space="preserve">资产总额 </w:t>
            </w:r>
          </w:p>
        </w:tc>
        <w:tc>
          <w:tcPr>
            <w:tcW w:w="2835" w:type="dxa"/>
            <w:vAlign w:val="center"/>
          </w:tcPr>
          <w:p>
            <w:pPr>
              <w:pStyle w:val="13"/>
              <w:ind w:firstLine="0" w:firstLineChars="0"/>
            </w:pPr>
            <w:r>
              <w:rPr>
                <w:rFonts w:hint="eastAsia" w:ascii="Times New Roman" w:hAnsi="Times New Roman" w:eastAsia="方正仿宋_GBK" w:cs="Times New Roman"/>
                <w:color w:val="000000"/>
                <w:sz w:val="28"/>
                <w:szCs w:val="24"/>
                <w:lang w:val="en-US" w:eastAsia="zh-CN" w:bidi="ar-SA"/>
              </w:rPr>
              <w:t>—</w:t>
            </w:r>
          </w:p>
        </w:tc>
        <w:tc>
          <w:tcPr>
            <w:tcW w:w="2835" w:type="dxa"/>
            <w:vAlign w:val="center"/>
          </w:tcPr>
          <w:p>
            <w:pPr>
              <w:keepNext w:val="0"/>
              <w:keepLines w:val="0"/>
              <w:widowControl/>
              <w:suppressLineNumbers w:val="0"/>
              <w:jc w:val="right"/>
              <w:rPr>
                <w:rFonts w:hint="default"/>
                <w:lang w:val="en-US"/>
              </w:rPr>
            </w:pPr>
            <w:r>
              <w:rPr>
                <w:rFonts w:hint="eastAsia" w:eastAsia="宋体"/>
                <w:sz w:val="28"/>
                <w:szCs w:val="28"/>
                <w:lang w:val="en-US" w:eastAsia="zh-CN"/>
              </w:rPr>
              <w:t>5261.95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left"/>
            </w:pPr>
            <w:r>
              <w:rPr>
                <w:rFonts w:hint="eastAsia" w:ascii="方正书宋_GBK" w:hAnsi="方正书宋_GBK" w:eastAsia="方正书宋_GBK" w:cs="方正书宋_GBK"/>
                <w:sz w:val="21"/>
                <w:szCs w:val="24"/>
                <w:lang w:val="en-US" w:eastAsia="zh-CN" w:bidi="ar-SA"/>
              </w:rPr>
              <w:t>一、房屋（平方米）</w:t>
            </w:r>
          </w:p>
        </w:tc>
        <w:tc>
          <w:tcPr>
            <w:tcW w:w="2835" w:type="dxa"/>
            <w:vAlign w:val="center"/>
          </w:tcPr>
          <w:p>
            <w:pPr>
              <w:pStyle w:val="13"/>
              <w:ind w:firstLine="0" w:firstLineChars="0"/>
            </w:pPr>
            <w:r>
              <w:rPr>
                <w:rFonts w:hint="eastAsia" w:ascii="Times New Roman" w:hAnsi="Times New Roman" w:eastAsia="方正仿宋_GBK" w:cs="Times New Roman"/>
                <w:color w:val="000000"/>
                <w:sz w:val="28"/>
                <w:szCs w:val="24"/>
                <w:lang w:val="en-US" w:eastAsia="zh-CN" w:bidi="ar-SA"/>
              </w:rPr>
              <w:t>7411</w:t>
            </w:r>
          </w:p>
        </w:tc>
        <w:tc>
          <w:tcPr>
            <w:tcW w:w="2835" w:type="dxa"/>
            <w:vAlign w:val="center"/>
          </w:tcPr>
          <w:p>
            <w:pPr>
              <w:keepNext w:val="0"/>
              <w:keepLines w:val="0"/>
              <w:widowControl/>
              <w:suppressLineNumbers w:val="0"/>
              <w:jc w:val="right"/>
            </w:pPr>
            <w:r>
              <w:rPr>
                <w:rFonts w:hint="eastAsia" w:ascii="Times New Roman" w:hAnsi="Times New Roman" w:eastAsia="方正仿宋_GBK" w:cs="Times New Roman"/>
                <w:color w:val="000000"/>
                <w:sz w:val="28"/>
                <w:szCs w:val="24"/>
                <w:lang w:val="en-US" w:eastAsia="zh-CN" w:bidi="ar-SA"/>
              </w:rPr>
              <w:t>3976.63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left"/>
            </w:pPr>
            <w:r>
              <w:rPr>
                <w:rFonts w:hint="eastAsia" w:ascii="方正书宋_GBK" w:hAnsi="方正书宋_GBK" w:eastAsia="方正书宋_GBK" w:cs="方正书宋_GBK"/>
                <w:sz w:val="21"/>
                <w:szCs w:val="24"/>
                <w:lang w:val="en-US" w:eastAsia="zh-CN" w:bidi="ar-SA"/>
              </w:rPr>
              <w:t>其中：1、办公用房（平方米）</w:t>
            </w:r>
          </w:p>
        </w:tc>
        <w:tc>
          <w:tcPr>
            <w:tcW w:w="2835" w:type="dxa"/>
            <w:vAlign w:val="center"/>
          </w:tcPr>
          <w:p>
            <w:pPr>
              <w:pStyle w:val="13"/>
              <w:ind w:firstLine="0" w:firstLineChars="0"/>
            </w:pPr>
            <w:r>
              <w:rPr>
                <w:rFonts w:hint="eastAsia" w:ascii="Times New Roman" w:hAnsi="Times New Roman" w:eastAsia="方正仿宋_GBK" w:cs="Times New Roman"/>
                <w:color w:val="000000"/>
                <w:sz w:val="28"/>
                <w:szCs w:val="24"/>
                <w:lang w:val="en-US" w:eastAsia="zh-CN" w:bidi="ar-SA"/>
              </w:rPr>
              <w:t>3000</w:t>
            </w:r>
          </w:p>
        </w:tc>
        <w:tc>
          <w:tcPr>
            <w:tcW w:w="2835" w:type="dxa"/>
            <w:vAlign w:val="center"/>
          </w:tcPr>
          <w:p>
            <w:pPr>
              <w:keepNext w:val="0"/>
              <w:keepLines w:val="0"/>
              <w:widowControl/>
              <w:suppressLineNumbers w:val="0"/>
              <w:jc w:val="right"/>
            </w:pPr>
            <w:r>
              <w:rPr>
                <w:rFonts w:hint="eastAsia" w:eastAsia="方正仿宋_GBK" w:cs="Times New Roman"/>
                <w:color w:val="000000"/>
                <w:sz w:val="28"/>
                <w:szCs w:val="24"/>
                <w:lang w:val="en-US" w:eastAsia="zh-CN" w:bidi="ar-SA"/>
              </w:rPr>
              <w:t>1609.74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left"/>
            </w:pPr>
            <w:r>
              <w:rPr>
                <w:rFonts w:hint="eastAsia" w:ascii="方正书宋_GBK" w:hAnsi="方正书宋_GBK" w:eastAsia="方正书宋_GBK" w:cs="方正书宋_GBK"/>
                <w:sz w:val="21"/>
                <w:szCs w:val="24"/>
                <w:lang w:val="en-US" w:eastAsia="zh-CN" w:bidi="ar-SA"/>
              </w:rPr>
              <w:t>2、汽车（台、辆）</w:t>
            </w:r>
          </w:p>
        </w:tc>
        <w:tc>
          <w:tcPr>
            <w:tcW w:w="2835" w:type="dxa"/>
            <w:vAlign w:val="center"/>
          </w:tcPr>
          <w:p>
            <w:pPr>
              <w:pStyle w:val="13"/>
              <w:ind w:firstLine="0" w:firstLineChars="0"/>
            </w:pPr>
            <w:r>
              <w:rPr>
                <w:rFonts w:hint="eastAsia" w:ascii="Times New Roman" w:hAnsi="Times New Roman" w:eastAsia="方正仿宋_GBK" w:cs="Times New Roman"/>
                <w:color w:val="000000"/>
                <w:sz w:val="28"/>
                <w:szCs w:val="24"/>
                <w:lang w:val="en-US" w:eastAsia="zh-CN" w:bidi="ar-SA"/>
              </w:rPr>
              <w:t>9</w:t>
            </w:r>
          </w:p>
        </w:tc>
        <w:tc>
          <w:tcPr>
            <w:tcW w:w="2835" w:type="dxa"/>
            <w:vAlign w:val="center"/>
          </w:tcPr>
          <w:p>
            <w:pPr>
              <w:keepNext w:val="0"/>
              <w:keepLines w:val="0"/>
              <w:widowControl/>
              <w:suppressLineNumbers w:val="0"/>
              <w:jc w:val="right"/>
            </w:pPr>
            <w:r>
              <w:rPr>
                <w:rFonts w:hint="eastAsia" w:eastAsia="方正仿宋_GBK" w:cs="Times New Roman"/>
                <w:color w:val="000000"/>
                <w:sz w:val="28"/>
                <w:szCs w:val="24"/>
                <w:lang w:val="en-US" w:eastAsia="zh-CN" w:bidi="ar-SA"/>
              </w:rPr>
              <w:t>124.73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left"/>
            </w:pPr>
            <w:r>
              <w:rPr>
                <w:rFonts w:hint="eastAsia" w:ascii="方正书宋_GBK" w:hAnsi="方正书宋_GBK" w:eastAsia="方正书宋_GBK" w:cs="方正书宋_GBK"/>
                <w:sz w:val="21"/>
                <w:szCs w:val="24"/>
                <w:lang w:val="en-US" w:eastAsia="zh-CN" w:bidi="ar-SA"/>
              </w:rPr>
              <w:t>3、单价在</w:t>
            </w:r>
            <w:r>
              <w:rPr>
                <w:rFonts w:hint="eastAsia" w:ascii="Times New Roman" w:hAnsi="Times New Roman" w:eastAsia="方正仿宋_GBK" w:cs="Times New Roman"/>
                <w:color w:val="000000"/>
                <w:sz w:val="24"/>
                <w:szCs w:val="24"/>
                <w:lang w:val="en-US" w:eastAsia="zh-CN" w:bidi="ar-SA"/>
              </w:rPr>
              <w:t>20</w:t>
            </w:r>
            <w:r>
              <w:rPr>
                <w:rFonts w:hint="eastAsia" w:ascii="方正书宋_GBK" w:hAnsi="方正书宋_GBK" w:eastAsia="方正书宋_GBK" w:cs="方正书宋_GBK"/>
                <w:sz w:val="21"/>
                <w:szCs w:val="24"/>
                <w:lang w:val="en-US" w:eastAsia="zh-CN" w:bidi="ar-SA"/>
              </w:rPr>
              <w:t>万元以上的设备</w:t>
            </w:r>
          </w:p>
        </w:tc>
        <w:tc>
          <w:tcPr>
            <w:tcW w:w="2835" w:type="dxa"/>
            <w:vAlign w:val="center"/>
          </w:tcPr>
          <w:p>
            <w:pPr>
              <w:pStyle w:val="13"/>
              <w:ind w:firstLine="0" w:firstLineChars="0"/>
            </w:pPr>
            <w:r>
              <w:rPr>
                <w:rFonts w:hint="eastAsia" w:ascii="Times New Roman" w:hAnsi="Times New Roman" w:eastAsia="方正仿宋_GBK" w:cs="Times New Roman"/>
                <w:color w:val="000000"/>
                <w:sz w:val="28"/>
                <w:szCs w:val="24"/>
                <w:lang w:val="en-US" w:eastAsia="zh-CN" w:bidi="ar-SA"/>
              </w:rPr>
              <w:t>13</w:t>
            </w:r>
          </w:p>
        </w:tc>
        <w:tc>
          <w:tcPr>
            <w:tcW w:w="2835" w:type="dxa"/>
            <w:vAlign w:val="center"/>
          </w:tcPr>
          <w:p>
            <w:pPr>
              <w:keepNext w:val="0"/>
              <w:keepLines w:val="0"/>
              <w:widowControl/>
              <w:suppressLineNumbers w:val="0"/>
              <w:jc w:val="right"/>
            </w:pPr>
            <w:r>
              <w:rPr>
                <w:rFonts w:hint="eastAsia" w:eastAsia="方正仿宋_GBK" w:cs="Times New Roman"/>
                <w:color w:val="000000"/>
                <w:sz w:val="28"/>
                <w:szCs w:val="24"/>
                <w:lang w:val="en-US" w:eastAsia="zh-CN" w:bidi="ar-SA"/>
              </w:rPr>
              <w:t>555.17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lef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 xml:space="preserve">4、其他固定资产 </w:t>
            </w:r>
          </w:p>
        </w:tc>
        <w:tc>
          <w:tcPr>
            <w:tcW w:w="2835" w:type="dxa"/>
            <w:vAlign w:val="center"/>
          </w:tcPr>
          <w:p>
            <w:pPr>
              <w:pStyle w:val="13"/>
              <w:ind w:firstLine="0" w:firstLineChars="0"/>
              <w:rPr>
                <w:rFonts w:hint="default"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715</w:t>
            </w:r>
          </w:p>
        </w:tc>
        <w:tc>
          <w:tcPr>
            <w:tcW w:w="2835" w:type="dxa"/>
            <w:vAlign w:val="center"/>
          </w:tcPr>
          <w:p>
            <w:pPr>
              <w:keepNext w:val="0"/>
              <w:keepLines w:val="0"/>
              <w:widowControl/>
              <w:suppressLineNumbers w:val="0"/>
              <w:jc w:val="right"/>
              <w:rPr>
                <w:rFonts w:hint="default" w:eastAsia="方正仿宋_GBK" w:cs="Times New Roman"/>
                <w:color w:val="000000"/>
                <w:sz w:val="28"/>
                <w:szCs w:val="24"/>
                <w:lang w:val="en-US" w:eastAsia="zh-CN" w:bidi="ar-SA"/>
              </w:rPr>
            </w:pPr>
            <w:r>
              <w:rPr>
                <w:rFonts w:hint="eastAsia" w:eastAsia="方正仿宋_GBK" w:cs="Times New Roman"/>
                <w:color w:val="000000"/>
                <w:sz w:val="28"/>
                <w:szCs w:val="24"/>
                <w:lang w:val="en-US" w:eastAsia="zh-CN" w:bidi="ar-SA"/>
              </w:rPr>
              <w:t>605.42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lef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5、本年拟购固定资产总额</w:t>
            </w:r>
          </w:p>
        </w:tc>
        <w:tc>
          <w:tcPr>
            <w:tcW w:w="2835" w:type="dxa"/>
            <w:vAlign w:val="center"/>
          </w:tcPr>
          <w:p>
            <w:pPr>
              <w:pStyle w:val="13"/>
              <w:ind w:firstLine="0" w:firstLineChars="0"/>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w:t>
            </w:r>
          </w:p>
        </w:tc>
        <w:tc>
          <w:tcPr>
            <w:tcW w:w="2835" w:type="dxa"/>
            <w:vAlign w:val="center"/>
          </w:tcPr>
          <w:p>
            <w:pPr>
              <w:keepNext w:val="0"/>
              <w:keepLines w:val="0"/>
              <w:widowControl/>
              <w:suppressLineNumbers w:val="0"/>
              <w:jc w:val="right"/>
              <w:rPr>
                <w:rFonts w:hint="default" w:eastAsia="方正仿宋_GBK" w:cs="Times New Roman"/>
                <w:color w:val="000000"/>
                <w:sz w:val="28"/>
                <w:szCs w:val="24"/>
                <w:lang w:val="en-US" w:eastAsia="zh-CN" w:bidi="ar-SA"/>
              </w:rPr>
            </w:pPr>
            <w:r>
              <w:rPr>
                <w:rFonts w:hint="eastAsia" w:eastAsia="方正仿宋_GBK" w:cs="Times New Roman"/>
                <w:color w:val="000000"/>
                <w:sz w:val="28"/>
                <w:szCs w:val="24"/>
                <w:lang w:val="en-US" w:eastAsia="zh-CN" w:bidi="ar-SA"/>
              </w:rPr>
              <w:t>54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w:t>
      </w:r>
      <w:bookmarkStart w:id="1" w:name="_GoBack"/>
      <w:bookmarkEnd w:id="1"/>
      <w:r>
        <w:rPr>
          <w:rFonts w:ascii="Times New Roman" w:hAnsi="Times New Roman" w:eastAsia="方正仿宋_GBK" w:cs="Times New Roman"/>
          <w:b w:val="0"/>
          <w:color w:val="000000"/>
          <w:sz w:val="28"/>
        </w:rPr>
        <w:t>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WI0OGQ4Zjk4NDRiM2EwZjZjYjRhYjEwZmEwOTEzZDgifQ=="/>
  </w:docVars>
  <w:rsids>
    <w:rsidRoot w:val="00000000"/>
    <w:rsid w:val="118E286E"/>
    <w:rsid w:val="173F6905"/>
    <w:rsid w:val="39D215E2"/>
    <w:rsid w:val="3EDF3E59"/>
    <w:rsid w:val="4A4200BE"/>
    <w:rsid w:val="570109B9"/>
    <w:rsid w:val="6ACD532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TotalTime>4</TotalTime>
  <ScaleCrop>false</ScaleCrop>
  <LinksUpToDate>false</LinksUpToDate>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2026-02-09T15:56:00Z</dcterms:created>
  <dc:creator>XHJCY</dc:creator>
  <cp:lastModifiedBy>尹晓琪</cp:lastModifiedBy>
  <dcterms:modified xsi:type="dcterms:W3CDTF">2026-02-09T08:26:24Z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F4DC25C9A3B342BEBAB2DD5EED0DF891_12</vt:lpwstr>
  </property>
</Properties>
</file>