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一、石家庄市建设项目评审评估中心（本级）</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收支预算</w:t>
      </w:r>
      <w:r>
        <w:tab/>
      </w:r>
      <w:r>
        <w:fldChar w:fldCharType="begin"/>
      </w:r>
      <w:r>
        <w:instrText xml:space="preserve">PAGEREF _Toc_4_4_0000000002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一、石家庄市建设项目评审评估中心（本级）</w:t>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ab/>
      </w:r>
      <w:bookmarkEnd w:id="0"/>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2627.59</w:t>
            </w:r>
          </w:p>
        </w:tc>
        <w:tc>
          <w:tcPr>
            <w:tcW w:w="4535" w:type="dxa"/>
            <w:vAlign w:val="center"/>
          </w:tcPr>
          <w:p>
            <w:pPr>
              <w:pStyle w:val="12"/>
            </w:pPr>
            <w:r>
              <w:t>一、一般公共服务支出</w:t>
            </w:r>
          </w:p>
        </w:tc>
        <w:tc>
          <w:tcPr>
            <w:tcW w:w="2126" w:type="dxa"/>
            <w:vAlign w:val="center"/>
          </w:tcPr>
          <w:p>
            <w:pPr>
              <w:pStyle w:val="11"/>
            </w:pPr>
            <w:r>
              <w:t>2338.22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133.70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2627.59</w:t>
            </w:r>
          </w:p>
        </w:tc>
        <w:tc>
          <w:tcPr>
            <w:tcW w:w="4535" w:type="dxa"/>
            <w:vAlign w:val="center"/>
          </w:tcPr>
          <w:p>
            <w:pPr>
              <w:pStyle w:val="14"/>
            </w:pPr>
            <w:r>
              <w:t>本年支出合计</w:t>
            </w:r>
          </w:p>
        </w:tc>
        <w:tc>
          <w:tcPr>
            <w:tcW w:w="2126" w:type="dxa"/>
            <w:vAlign w:val="center"/>
          </w:tcPr>
          <w:p>
            <w:pPr>
              <w:pStyle w:val="15"/>
            </w:pPr>
            <w:r>
              <w:t>2627.59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2627.59</w:t>
            </w:r>
          </w:p>
        </w:tc>
        <w:tc>
          <w:tcPr>
            <w:tcW w:w="4535" w:type="dxa"/>
            <w:vAlign w:val="center"/>
          </w:tcPr>
          <w:p>
            <w:pPr>
              <w:pStyle w:val="14"/>
            </w:pPr>
            <w:r>
              <w:t>支出总计</w:t>
            </w:r>
          </w:p>
        </w:tc>
        <w:tc>
          <w:tcPr>
            <w:tcW w:w="2126" w:type="dxa"/>
            <w:vAlign w:val="center"/>
          </w:tcPr>
          <w:p>
            <w:pPr>
              <w:pStyle w:val="15"/>
            </w:pPr>
            <w:r>
              <w:t>2627.59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2627.59</w:t>
            </w:r>
          </w:p>
        </w:tc>
        <w:tc>
          <w:tcPr>
            <w:tcW w:w="1134" w:type="dxa"/>
            <w:vAlign w:val="center"/>
          </w:tcPr>
          <w:p>
            <w:pPr>
              <w:pStyle w:val="15"/>
            </w:pPr>
            <w:r>
              <w:t>2627.59</w:t>
            </w:r>
          </w:p>
        </w:tc>
        <w:tc>
          <w:tcPr>
            <w:tcW w:w="1134" w:type="dxa"/>
            <w:vAlign w:val="center"/>
          </w:tcPr>
          <w:p>
            <w:pPr>
              <w:pStyle w:val="15"/>
            </w:pPr>
            <w:r>
              <w:t>2627.59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2338.22</w:t>
            </w:r>
          </w:p>
        </w:tc>
        <w:tc>
          <w:tcPr>
            <w:tcW w:w="1134" w:type="dxa"/>
            <w:vAlign w:val="center"/>
          </w:tcPr>
          <w:p>
            <w:pPr>
              <w:pStyle w:val="11"/>
            </w:pPr>
            <w:r>
              <w:t>2338.22</w:t>
            </w:r>
          </w:p>
        </w:tc>
        <w:tc>
          <w:tcPr>
            <w:tcW w:w="1134" w:type="dxa"/>
            <w:vAlign w:val="center"/>
          </w:tcPr>
          <w:p>
            <w:pPr>
              <w:pStyle w:val="11"/>
            </w:pPr>
            <w:r>
              <w:t>2338.22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2338.22</w:t>
            </w:r>
          </w:p>
        </w:tc>
        <w:tc>
          <w:tcPr>
            <w:tcW w:w="1134" w:type="dxa"/>
            <w:vAlign w:val="center"/>
          </w:tcPr>
          <w:p>
            <w:pPr>
              <w:pStyle w:val="11"/>
            </w:pPr>
            <w:r>
              <w:t>2338.22</w:t>
            </w:r>
          </w:p>
        </w:tc>
        <w:tc>
          <w:tcPr>
            <w:tcW w:w="1134" w:type="dxa"/>
            <w:vAlign w:val="center"/>
          </w:tcPr>
          <w:p>
            <w:pPr>
              <w:pStyle w:val="11"/>
            </w:pPr>
            <w:r>
              <w:t>2338.22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2010350</w:t>
            </w:r>
          </w:p>
        </w:tc>
        <w:tc>
          <w:tcPr>
            <w:tcW w:w="1559" w:type="dxa"/>
            <w:vAlign w:val="center"/>
          </w:tcPr>
          <w:p>
            <w:pPr>
              <w:pStyle w:val="12"/>
            </w:pPr>
            <w:r>
              <w:t>事业运行</w:t>
            </w:r>
          </w:p>
        </w:tc>
        <w:tc>
          <w:tcPr>
            <w:tcW w:w="1134" w:type="dxa"/>
            <w:vAlign w:val="center"/>
          </w:tcPr>
          <w:p>
            <w:pPr>
              <w:pStyle w:val="11"/>
            </w:pPr>
            <w:r>
              <w:t>889.52</w:t>
            </w:r>
          </w:p>
        </w:tc>
        <w:tc>
          <w:tcPr>
            <w:tcW w:w="1134" w:type="dxa"/>
            <w:vAlign w:val="center"/>
          </w:tcPr>
          <w:p>
            <w:pPr>
              <w:pStyle w:val="11"/>
            </w:pPr>
            <w:r>
              <w:t>889.52</w:t>
            </w:r>
          </w:p>
        </w:tc>
        <w:tc>
          <w:tcPr>
            <w:tcW w:w="1134" w:type="dxa"/>
            <w:vAlign w:val="center"/>
          </w:tcPr>
          <w:p>
            <w:pPr>
              <w:pStyle w:val="11"/>
            </w:pPr>
            <w:r>
              <w:t>889.52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2010399</w:t>
            </w:r>
          </w:p>
        </w:tc>
        <w:tc>
          <w:tcPr>
            <w:tcW w:w="1559" w:type="dxa"/>
            <w:vAlign w:val="center"/>
          </w:tcPr>
          <w:p>
            <w:pPr>
              <w:pStyle w:val="12"/>
            </w:pPr>
            <w:r>
              <w:t>其他政府办公厅（室）及相关机构事务支出</w:t>
            </w:r>
          </w:p>
        </w:tc>
        <w:tc>
          <w:tcPr>
            <w:tcW w:w="1134" w:type="dxa"/>
            <w:vAlign w:val="center"/>
          </w:tcPr>
          <w:p>
            <w:pPr>
              <w:pStyle w:val="11"/>
            </w:pPr>
            <w:r>
              <w:t>1448.70</w:t>
            </w:r>
          </w:p>
        </w:tc>
        <w:tc>
          <w:tcPr>
            <w:tcW w:w="1134" w:type="dxa"/>
            <w:vAlign w:val="center"/>
          </w:tcPr>
          <w:p>
            <w:pPr>
              <w:pStyle w:val="11"/>
            </w:pPr>
            <w:r>
              <w:t>1448.70</w:t>
            </w:r>
          </w:p>
        </w:tc>
        <w:tc>
          <w:tcPr>
            <w:tcW w:w="1134" w:type="dxa"/>
            <w:vAlign w:val="center"/>
          </w:tcPr>
          <w:p>
            <w:pPr>
              <w:pStyle w:val="11"/>
            </w:pPr>
            <w:r>
              <w:t>1448.70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133.70</w:t>
            </w:r>
          </w:p>
        </w:tc>
        <w:tc>
          <w:tcPr>
            <w:tcW w:w="1134" w:type="dxa"/>
            <w:vAlign w:val="center"/>
          </w:tcPr>
          <w:p>
            <w:pPr>
              <w:pStyle w:val="11"/>
            </w:pPr>
            <w:r>
              <w:t>133.70</w:t>
            </w:r>
          </w:p>
        </w:tc>
        <w:tc>
          <w:tcPr>
            <w:tcW w:w="1134" w:type="dxa"/>
            <w:vAlign w:val="center"/>
          </w:tcPr>
          <w:p>
            <w:pPr>
              <w:pStyle w:val="11"/>
            </w:pPr>
            <w:r>
              <w:t>133.70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127.93</w:t>
            </w:r>
          </w:p>
        </w:tc>
        <w:tc>
          <w:tcPr>
            <w:tcW w:w="1134" w:type="dxa"/>
            <w:vAlign w:val="center"/>
          </w:tcPr>
          <w:p>
            <w:pPr>
              <w:pStyle w:val="11"/>
            </w:pPr>
            <w:r>
              <w:t>127.93</w:t>
            </w:r>
          </w:p>
        </w:tc>
        <w:tc>
          <w:tcPr>
            <w:tcW w:w="1134" w:type="dxa"/>
            <w:vAlign w:val="center"/>
          </w:tcPr>
          <w:p>
            <w:pPr>
              <w:pStyle w:val="11"/>
            </w:pPr>
            <w:r>
              <w:t>127.93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102.93</w:t>
            </w:r>
          </w:p>
        </w:tc>
        <w:tc>
          <w:tcPr>
            <w:tcW w:w="1134" w:type="dxa"/>
            <w:vAlign w:val="center"/>
          </w:tcPr>
          <w:p>
            <w:pPr>
              <w:pStyle w:val="11"/>
            </w:pPr>
            <w:r>
              <w:t>102.93</w:t>
            </w:r>
          </w:p>
        </w:tc>
        <w:tc>
          <w:tcPr>
            <w:tcW w:w="1134" w:type="dxa"/>
            <w:vAlign w:val="center"/>
          </w:tcPr>
          <w:p>
            <w:pPr>
              <w:pStyle w:val="11"/>
            </w:pPr>
            <w:r>
              <w:t>102.93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5.77</w:t>
            </w:r>
          </w:p>
        </w:tc>
        <w:tc>
          <w:tcPr>
            <w:tcW w:w="1134" w:type="dxa"/>
            <w:vAlign w:val="center"/>
          </w:tcPr>
          <w:p>
            <w:pPr>
              <w:pStyle w:val="11"/>
            </w:pPr>
            <w:r>
              <w:t>5.77</w:t>
            </w:r>
          </w:p>
        </w:tc>
        <w:tc>
          <w:tcPr>
            <w:tcW w:w="1134" w:type="dxa"/>
            <w:vAlign w:val="center"/>
          </w:tcPr>
          <w:p>
            <w:pPr>
              <w:pStyle w:val="11"/>
            </w:pPr>
            <w:r>
              <w:t>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5.77</w:t>
            </w:r>
          </w:p>
        </w:tc>
        <w:tc>
          <w:tcPr>
            <w:tcW w:w="1134" w:type="dxa"/>
            <w:vAlign w:val="center"/>
          </w:tcPr>
          <w:p>
            <w:pPr>
              <w:pStyle w:val="11"/>
            </w:pPr>
            <w:r>
              <w:t>5.77</w:t>
            </w:r>
          </w:p>
        </w:tc>
        <w:tc>
          <w:tcPr>
            <w:tcW w:w="1134" w:type="dxa"/>
            <w:vAlign w:val="center"/>
          </w:tcPr>
          <w:p>
            <w:pPr>
              <w:pStyle w:val="11"/>
            </w:pPr>
            <w:r>
              <w:t>5.77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r>
              <w:t>64.45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33.19</w:t>
            </w:r>
          </w:p>
        </w:tc>
        <w:tc>
          <w:tcPr>
            <w:tcW w:w="1134" w:type="dxa"/>
            <w:vAlign w:val="center"/>
          </w:tcPr>
          <w:p>
            <w:pPr>
              <w:pStyle w:val="11"/>
            </w:pPr>
            <w:r>
              <w:t>33.19</w:t>
            </w:r>
          </w:p>
        </w:tc>
        <w:tc>
          <w:tcPr>
            <w:tcW w:w="1134" w:type="dxa"/>
            <w:vAlign w:val="center"/>
          </w:tcPr>
          <w:p>
            <w:pPr>
              <w:pStyle w:val="11"/>
            </w:pPr>
            <w:r>
              <w:t>33.19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2101199</w:t>
            </w:r>
          </w:p>
        </w:tc>
        <w:tc>
          <w:tcPr>
            <w:tcW w:w="1559" w:type="dxa"/>
            <w:vAlign w:val="center"/>
          </w:tcPr>
          <w:p>
            <w:pPr>
              <w:pStyle w:val="12"/>
            </w:pPr>
            <w:r>
              <w:t>其他行政事业单位医疗支出</w:t>
            </w:r>
          </w:p>
        </w:tc>
        <w:tc>
          <w:tcPr>
            <w:tcW w:w="1134" w:type="dxa"/>
            <w:vAlign w:val="center"/>
          </w:tcPr>
          <w:p>
            <w:pPr>
              <w:pStyle w:val="11"/>
            </w:pPr>
            <w:r>
              <w:t>31.26</w:t>
            </w:r>
          </w:p>
        </w:tc>
        <w:tc>
          <w:tcPr>
            <w:tcW w:w="1134" w:type="dxa"/>
            <w:vAlign w:val="center"/>
          </w:tcPr>
          <w:p>
            <w:pPr>
              <w:pStyle w:val="11"/>
            </w:pPr>
            <w:r>
              <w:t>31.26</w:t>
            </w:r>
          </w:p>
        </w:tc>
        <w:tc>
          <w:tcPr>
            <w:tcW w:w="1134" w:type="dxa"/>
            <w:vAlign w:val="center"/>
          </w:tcPr>
          <w:p>
            <w:pPr>
              <w:pStyle w:val="11"/>
            </w:pPr>
            <w:r>
              <w:t>31.26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91.22</w:t>
            </w:r>
          </w:p>
        </w:tc>
        <w:tc>
          <w:tcPr>
            <w:tcW w:w="1134" w:type="dxa"/>
            <w:vAlign w:val="center"/>
          </w:tcPr>
          <w:p>
            <w:pPr>
              <w:pStyle w:val="11"/>
            </w:pPr>
            <w:r>
              <w:t>91.22</w:t>
            </w:r>
          </w:p>
        </w:tc>
        <w:tc>
          <w:tcPr>
            <w:tcW w:w="1134" w:type="dxa"/>
            <w:vAlign w:val="center"/>
          </w:tcPr>
          <w:p>
            <w:pPr>
              <w:pStyle w:val="11"/>
            </w:pPr>
            <w:r>
              <w:t>91.22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91.22</w:t>
            </w:r>
          </w:p>
        </w:tc>
        <w:tc>
          <w:tcPr>
            <w:tcW w:w="1134" w:type="dxa"/>
            <w:vAlign w:val="center"/>
          </w:tcPr>
          <w:p>
            <w:pPr>
              <w:pStyle w:val="11"/>
            </w:pPr>
            <w:r>
              <w:t>91.22</w:t>
            </w:r>
          </w:p>
        </w:tc>
        <w:tc>
          <w:tcPr>
            <w:tcW w:w="1134" w:type="dxa"/>
            <w:vAlign w:val="center"/>
          </w:tcPr>
          <w:p>
            <w:pPr>
              <w:pStyle w:val="11"/>
            </w:pPr>
            <w:r>
              <w:t>91.22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91.22</w:t>
            </w:r>
          </w:p>
        </w:tc>
        <w:tc>
          <w:tcPr>
            <w:tcW w:w="1134" w:type="dxa"/>
            <w:vAlign w:val="center"/>
          </w:tcPr>
          <w:p>
            <w:pPr>
              <w:pStyle w:val="11"/>
            </w:pPr>
            <w:r>
              <w:t>91.22</w:t>
            </w:r>
          </w:p>
        </w:tc>
        <w:tc>
          <w:tcPr>
            <w:tcW w:w="1134" w:type="dxa"/>
            <w:vAlign w:val="center"/>
          </w:tcPr>
          <w:p>
            <w:pPr>
              <w:pStyle w:val="11"/>
            </w:pPr>
            <w:r>
              <w:t>91.22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2627.59</w:t>
            </w:r>
          </w:p>
        </w:tc>
        <w:tc>
          <w:tcPr>
            <w:tcW w:w="1361" w:type="dxa"/>
            <w:vAlign w:val="center"/>
          </w:tcPr>
          <w:p>
            <w:pPr>
              <w:pStyle w:val="15"/>
            </w:pPr>
            <w:r>
              <w:t>1178.89</w:t>
            </w:r>
          </w:p>
        </w:tc>
        <w:tc>
          <w:tcPr>
            <w:tcW w:w="1361" w:type="dxa"/>
            <w:vAlign w:val="center"/>
          </w:tcPr>
          <w:p>
            <w:pPr>
              <w:pStyle w:val="15"/>
            </w:pPr>
            <w:r>
              <w:t>1448.70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2338.22</w:t>
            </w:r>
          </w:p>
        </w:tc>
        <w:tc>
          <w:tcPr>
            <w:tcW w:w="1361" w:type="dxa"/>
            <w:vAlign w:val="center"/>
          </w:tcPr>
          <w:p>
            <w:pPr>
              <w:pStyle w:val="11"/>
            </w:pPr>
            <w:r>
              <w:t>889.52</w:t>
            </w:r>
          </w:p>
        </w:tc>
        <w:tc>
          <w:tcPr>
            <w:tcW w:w="1361" w:type="dxa"/>
            <w:vAlign w:val="center"/>
          </w:tcPr>
          <w:p>
            <w:pPr>
              <w:pStyle w:val="11"/>
            </w:pPr>
            <w:r>
              <w:t>1448.70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2338.22</w:t>
            </w:r>
          </w:p>
        </w:tc>
        <w:tc>
          <w:tcPr>
            <w:tcW w:w="1361" w:type="dxa"/>
            <w:vAlign w:val="center"/>
          </w:tcPr>
          <w:p>
            <w:pPr>
              <w:pStyle w:val="11"/>
            </w:pPr>
            <w:r>
              <w:t>889.52</w:t>
            </w:r>
          </w:p>
        </w:tc>
        <w:tc>
          <w:tcPr>
            <w:tcW w:w="1361" w:type="dxa"/>
            <w:vAlign w:val="center"/>
          </w:tcPr>
          <w:p>
            <w:pPr>
              <w:pStyle w:val="11"/>
            </w:pPr>
            <w:r>
              <w:t>1448.70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2010350</w:t>
            </w:r>
          </w:p>
        </w:tc>
        <w:tc>
          <w:tcPr>
            <w:tcW w:w="4535" w:type="dxa"/>
            <w:vAlign w:val="center"/>
          </w:tcPr>
          <w:p>
            <w:pPr>
              <w:pStyle w:val="12"/>
            </w:pPr>
            <w:r>
              <w:t>事业运行</w:t>
            </w:r>
          </w:p>
        </w:tc>
        <w:tc>
          <w:tcPr>
            <w:tcW w:w="1361" w:type="dxa"/>
            <w:vAlign w:val="center"/>
          </w:tcPr>
          <w:p>
            <w:pPr>
              <w:pStyle w:val="11"/>
            </w:pPr>
            <w:r>
              <w:t>889.52</w:t>
            </w:r>
          </w:p>
        </w:tc>
        <w:tc>
          <w:tcPr>
            <w:tcW w:w="1361" w:type="dxa"/>
            <w:vAlign w:val="center"/>
          </w:tcPr>
          <w:p>
            <w:pPr>
              <w:pStyle w:val="11"/>
            </w:pPr>
            <w:r>
              <w:t>889.52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2010399</w:t>
            </w:r>
          </w:p>
        </w:tc>
        <w:tc>
          <w:tcPr>
            <w:tcW w:w="4535" w:type="dxa"/>
            <w:vAlign w:val="center"/>
          </w:tcPr>
          <w:p>
            <w:pPr>
              <w:pStyle w:val="12"/>
            </w:pPr>
            <w:r>
              <w:t>其他政府办公厅（室）及相关机构事务支出</w:t>
            </w:r>
          </w:p>
        </w:tc>
        <w:tc>
          <w:tcPr>
            <w:tcW w:w="1361" w:type="dxa"/>
            <w:vAlign w:val="center"/>
          </w:tcPr>
          <w:p>
            <w:pPr>
              <w:pStyle w:val="11"/>
            </w:pPr>
            <w:r>
              <w:t>1448.70</w:t>
            </w:r>
          </w:p>
        </w:tc>
        <w:tc>
          <w:tcPr>
            <w:tcW w:w="1361" w:type="dxa"/>
            <w:vAlign w:val="center"/>
          </w:tcPr>
          <w:p>
            <w:pPr>
              <w:pStyle w:val="11"/>
            </w:pPr>
          </w:p>
        </w:tc>
        <w:tc>
          <w:tcPr>
            <w:tcW w:w="1361" w:type="dxa"/>
            <w:vAlign w:val="center"/>
          </w:tcPr>
          <w:p>
            <w:pPr>
              <w:pStyle w:val="11"/>
            </w:pPr>
            <w:r>
              <w:t>1448.70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133.70</w:t>
            </w:r>
          </w:p>
        </w:tc>
        <w:tc>
          <w:tcPr>
            <w:tcW w:w="1361" w:type="dxa"/>
            <w:vAlign w:val="center"/>
          </w:tcPr>
          <w:p>
            <w:pPr>
              <w:pStyle w:val="11"/>
            </w:pPr>
            <w:r>
              <w:t>133.70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127.93</w:t>
            </w:r>
          </w:p>
        </w:tc>
        <w:tc>
          <w:tcPr>
            <w:tcW w:w="1361" w:type="dxa"/>
            <w:vAlign w:val="center"/>
          </w:tcPr>
          <w:p>
            <w:pPr>
              <w:pStyle w:val="11"/>
            </w:pPr>
            <w:r>
              <w:t>127.93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102.93</w:t>
            </w:r>
          </w:p>
        </w:tc>
        <w:tc>
          <w:tcPr>
            <w:tcW w:w="1361" w:type="dxa"/>
            <w:vAlign w:val="center"/>
          </w:tcPr>
          <w:p>
            <w:pPr>
              <w:pStyle w:val="11"/>
            </w:pPr>
            <w:r>
              <w:t>102.93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5.77</w:t>
            </w:r>
          </w:p>
        </w:tc>
        <w:tc>
          <w:tcPr>
            <w:tcW w:w="1361" w:type="dxa"/>
            <w:vAlign w:val="center"/>
          </w:tcPr>
          <w:p>
            <w:pPr>
              <w:pStyle w:val="11"/>
            </w:pPr>
            <w:r>
              <w:t>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5.77</w:t>
            </w:r>
          </w:p>
        </w:tc>
        <w:tc>
          <w:tcPr>
            <w:tcW w:w="1361" w:type="dxa"/>
            <w:vAlign w:val="center"/>
          </w:tcPr>
          <w:p>
            <w:pPr>
              <w:pStyle w:val="11"/>
            </w:pPr>
            <w:r>
              <w:t>5.77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64.45</w:t>
            </w:r>
          </w:p>
        </w:tc>
        <w:tc>
          <w:tcPr>
            <w:tcW w:w="1361" w:type="dxa"/>
            <w:vAlign w:val="center"/>
          </w:tcPr>
          <w:p>
            <w:pPr>
              <w:pStyle w:val="11"/>
            </w:pPr>
            <w:r>
              <w:t>64.45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64.45</w:t>
            </w:r>
          </w:p>
        </w:tc>
        <w:tc>
          <w:tcPr>
            <w:tcW w:w="1361" w:type="dxa"/>
            <w:vAlign w:val="center"/>
          </w:tcPr>
          <w:p>
            <w:pPr>
              <w:pStyle w:val="11"/>
            </w:pPr>
            <w:r>
              <w:t>64.45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33.19</w:t>
            </w:r>
          </w:p>
        </w:tc>
        <w:tc>
          <w:tcPr>
            <w:tcW w:w="1361" w:type="dxa"/>
            <w:vAlign w:val="center"/>
          </w:tcPr>
          <w:p>
            <w:pPr>
              <w:pStyle w:val="11"/>
            </w:pPr>
            <w:r>
              <w:t>33.19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2101199</w:t>
            </w:r>
          </w:p>
        </w:tc>
        <w:tc>
          <w:tcPr>
            <w:tcW w:w="4535" w:type="dxa"/>
            <w:vAlign w:val="center"/>
          </w:tcPr>
          <w:p>
            <w:pPr>
              <w:pStyle w:val="12"/>
            </w:pPr>
            <w:r>
              <w:t>其他行政事业单位医疗支出</w:t>
            </w:r>
          </w:p>
        </w:tc>
        <w:tc>
          <w:tcPr>
            <w:tcW w:w="1361" w:type="dxa"/>
            <w:vAlign w:val="center"/>
          </w:tcPr>
          <w:p>
            <w:pPr>
              <w:pStyle w:val="11"/>
            </w:pPr>
            <w:r>
              <w:t>31.26</w:t>
            </w:r>
          </w:p>
        </w:tc>
        <w:tc>
          <w:tcPr>
            <w:tcW w:w="1361" w:type="dxa"/>
            <w:vAlign w:val="center"/>
          </w:tcPr>
          <w:p>
            <w:pPr>
              <w:pStyle w:val="11"/>
            </w:pPr>
            <w:r>
              <w:t>31.26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91.22</w:t>
            </w:r>
          </w:p>
        </w:tc>
        <w:tc>
          <w:tcPr>
            <w:tcW w:w="1361" w:type="dxa"/>
            <w:vAlign w:val="center"/>
          </w:tcPr>
          <w:p>
            <w:pPr>
              <w:pStyle w:val="11"/>
            </w:pPr>
            <w:r>
              <w:t>91.22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91.22</w:t>
            </w:r>
          </w:p>
        </w:tc>
        <w:tc>
          <w:tcPr>
            <w:tcW w:w="1361" w:type="dxa"/>
            <w:vAlign w:val="center"/>
          </w:tcPr>
          <w:p>
            <w:pPr>
              <w:pStyle w:val="11"/>
            </w:pPr>
            <w:r>
              <w:t>91.22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91.22</w:t>
            </w:r>
          </w:p>
        </w:tc>
        <w:tc>
          <w:tcPr>
            <w:tcW w:w="1361" w:type="dxa"/>
            <w:vAlign w:val="center"/>
          </w:tcPr>
          <w:p>
            <w:pPr>
              <w:pStyle w:val="11"/>
            </w:pPr>
            <w:r>
              <w:t>91.22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2627.59</w:t>
            </w:r>
          </w:p>
        </w:tc>
        <w:tc>
          <w:tcPr>
            <w:tcW w:w="3402" w:type="dxa"/>
            <w:vAlign w:val="center"/>
          </w:tcPr>
          <w:p>
            <w:pPr>
              <w:pStyle w:val="12"/>
            </w:pPr>
            <w:r>
              <w:t>一、一般公共服务支出</w:t>
            </w:r>
          </w:p>
        </w:tc>
        <w:tc>
          <w:tcPr>
            <w:tcW w:w="1474" w:type="dxa"/>
            <w:vAlign w:val="center"/>
          </w:tcPr>
          <w:p>
            <w:pPr>
              <w:pStyle w:val="11"/>
            </w:pPr>
            <w:r>
              <w:t>2338.22</w:t>
            </w:r>
          </w:p>
        </w:tc>
        <w:tc>
          <w:tcPr>
            <w:tcW w:w="1474" w:type="dxa"/>
            <w:vAlign w:val="center"/>
          </w:tcPr>
          <w:p>
            <w:pPr>
              <w:pStyle w:val="11"/>
            </w:pPr>
            <w:r>
              <w:t>2338.22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133.70</w:t>
            </w:r>
          </w:p>
        </w:tc>
        <w:tc>
          <w:tcPr>
            <w:tcW w:w="1474" w:type="dxa"/>
            <w:vAlign w:val="center"/>
          </w:tcPr>
          <w:p>
            <w:pPr>
              <w:pStyle w:val="11"/>
            </w:pPr>
            <w:r>
              <w:t>133.70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64.45</w:t>
            </w:r>
          </w:p>
        </w:tc>
        <w:tc>
          <w:tcPr>
            <w:tcW w:w="1474" w:type="dxa"/>
            <w:vAlign w:val="center"/>
          </w:tcPr>
          <w:p>
            <w:pPr>
              <w:pStyle w:val="11"/>
            </w:pPr>
            <w:r>
              <w:t>64.45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91.22</w:t>
            </w:r>
          </w:p>
        </w:tc>
        <w:tc>
          <w:tcPr>
            <w:tcW w:w="1474" w:type="dxa"/>
            <w:vAlign w:val="center"/>
          </w:tcPr>
          <w:p>
            <w:pPr>
              <w:pStyle w:val="11"/>
            </w:pPr>
            <w:r>
              <w:t>91.22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2627.59</w:t>
            </w:r>
          </w:p>
        </w:tc>
        <w:tc>
          <w:tcPr>
            <w:tcW w:w="3402" w:type="dxa"/>
            <w:vAlign w:val="center"/>
          </w:tcPr>
          <w:p>
            <w:pPr>
              <w:pStyle w:val="14"/>
            </w:pPr>
            <w:r>
              <w:t>本年支出合计</w:t>
            </w:r>
          </w:p>
        </w:tc>
        <w:tc>
          <w:tcPr>
            <w:tcW w:w="1474" w:type="dxa"/>
            <w:vAlign w:val="center"/>
          </w:tcPr>
          <w:p>
            <w:pPr>
              <w:pStyle w:val="15"/>
            </w:pPr>
            <w:r>
              <w:t>2627.59</w:t>
            </w:r>
          </w:p>
        </w:tc>
        <w:tc>
          <w:tcPr>
            <w:tcW w:w="1474" w:type="dxa"/>
            <w:vAlign w:val="center"/>
          </w:tcPr>
          <w:p>
            <w:pPr>
              <w:pStyle w:val="15"/>
            </w:pPr>
            <w:r>
              <w:t>2627.59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2627.59</w:t>
            </w:r>
          </w:p>
        </w:tc>
        <w:tc>
          <w:tcPr>
            <w:tcW w:w="3402" w:type="dxa"/>
            <w:vAlign w:val="center"/>
          </w:tcPr>
          <w:p>
            <w:pPr>
              <w:pStyle w:val="14"/>
            </w:pPr>
            <w:r>
              <w:t>支出总计</w:t>
            </w:r>
          </w:p>
        </w:tc>
        <w:tc>
          <w:tcPr>
            <w:tcW w:w="1474" w:type="dxa"/>
            <w:vAlign w:val="center"/>
          </w:tcPr>
          <w:p>
            <w:pPr>
              <w:pStyle w:val="15"/>
            </w:pPr>
            <w:r>
              <w:t>2627.59</w:t>
            </w:r>
          </w:p>
        </w:tc>
        <w:tc>
          <w:tcPr>
            <w:tcW w:w="1474" w:type="dxa"/>
            <w:vAlign w:val="center"/>
          </w:tcPr>
          <w:p>
            <w:pPr>
              <w:pStyle w:val="15"/>
            </w:pPr>
            <w:r>
              <w:t>2627.59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2627.59</w:t>
            </w:r>
          </w:p>
        </w:tc>
        <w:tc>
          <w:tcPr>
            <w:tcW w:w="2551" w:type="dxa"/>
            <w:vAlign w:val="center"/>
          </w:tcPr>
          <w:p>
            <w:pPr>
              <w:pStyle w:val="15"/>
            </w:pPr>
            <w:r>
              <w:t>1178.89</w:t>
            </w:r>
          </w:p>
        </w:tc>
        <w:tc>
          <w:tcPr>
            <w:tcW w:w="2551" w:type="dxa"/>
            <w:vAlign w:val="center"/>
          </w:tcPr>
          <w:p>
            <w:pPr>
              <w:pStyle w:val="15"/>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2338.22</w:t>
            </w:r>
          </w:p>
        </w:tc>
        <w:tc>
          <w:tcPr>
            <w:tcW w:w="2551" w:type="dxa"/>
            <w:vAlign w:val="center"/>
          </w:tcPr>
          <w:p>
            <w:pPr>
              <w:pStyle w:val="11"/>
            </w:pPr>
            <w:r>
              <w:t>889.52</w:t>
            </w:r>
          </w:p>
        </w:tc>
        <w:tc>
          <w:tcPr>
            <w:tcW w:w="2551" w:type="dxa"/>
            <w:vAlign w:val="center"/>
          </w:tcPr>
          <w:p>
            <w:pPr>
              <w:pStyle w:val="11"/>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2338.22</w:t>
            </w:r>
          </w:p>
        </w:tc>
        <w:tc>
          <w:tcPr>
            <w:tcW w:w="2551" w:type="dxa"/>
            <w:vAlign w:val="center"/>
          </w:tcPr>
          <w:p>
            <w:pPr>
              <w:pStyle w:val="11"/>
            </w:pPr>
            <w:r>
              <w:t>889.52</w:t>
            </w:r>
          </w:p>
        </w:tc>
        <w:tc>
          <w:tcPr>
            <w:tcW w:w="2551" w:type="dxa"/>
            <w:vAlign w:val="center"/>
          </w:tcPr>
          <w:p>
            <w:pPr>
              <w:pStyle w:val="11"/>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2010350</w:t>
            </w:r>
          </w:p>
        </w:tc>
        <w:tc>
          <w:tcPr>
            <w:tcW w:w="4535" w:type="dxa"/>
            <w:vAlign w:val="center"/>
          </w:tcPr>
          <w:p>
            <w:pPr>
              <w:pStyle w:val="12"/>
            </w:pPr>
            <w:r>
              <w:t>事业运行</w:t>
            </w:r>
          </w:p>
        </w:tc>
        <w:tc>
          <w:tcPr>
            <w:tcW w:w="2551" w:type="dxa"/>
            <w:vAlign w:val="center"/>
          </w:tcPr>
          <w:p>
            <w:pPr>
              <w:pStyle w:val="11"/>
            </w:pPr>
            <w:r>
              <w:t>889.52</w:t>
            </w:r>
          </w:p>
        </w:tc>
        <w:tc>
          <w:tcPr>
            <w:tcW w:w="2551" w:type="dxa"/>
            <w:vAlign w:val="center"/>
          </w:tcPr>
          <w:p>
            <w:pPr>
              <w:pStyle w:val="11"/>
            </w:pPr>
            <w:r>
              <w:t>889.52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2010399</w:t>
            </w:r>
          </w:p>
        </w:tc>
        <w:tc>
          <w:tcPr>
            <w:tcW w:w="4535" w:type="dxa"/>
            <w:vAlign w:val="center"/>
          </w:tcPr>
          <w:p>
            <w:pPr>
              <w:pStyle w:val="12"/>
            </w:pPr>
            <w:r>
              <w:t>其他政府办公厅（室）及相关机构事务支出</w:t>
            </w:r>
          </w:p>
        </w:tc>
        <w:tc>
          <w:tcPr>
            <w:tcW w:w="2551" w:type="dxa"/>
            <w:vAlign w:val="center"/>
          </w:tcPr>
          <w:p>
            <w:pPr>
              <w:pStyle w:val="11"/>
            </w:pPr>
            <w:r>
              <w:t>1448.70</w:t>
            </w:r>
          </w:p>
        </w:tc>
        <w:tc>
          <w:tcPr>
            <w:tcW w:w="2551" w:type="dxa"/>
            <w:vAlign w:val="center"/>
          </w:tcPr>
          <w:p>
            <w:pPr>
              <w:pStyle w:val="11"/>
            </w:pPr>
          </w:p>
        </w:tc>
        <w:tc>
          <w:tcPr>
            <w:tcW w:w="2551" w:type="dxa"/>
            <w:vAlign w:val="center"/>
          </w:tcPr>
          <w:p>
            <w:pPr>
              <w:pStyle w:val="11"/>
            </w:pPr>
            <w:r>
              <w:t>1448.70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133.70</w:t>
            </w:r>
          </w:p>
        </w:tc>
        <w:tc>
          <w:tcPr>
            <w:tcW w:w="2551" w:type="dxa"/>
            <w:vAlign w:val="center"/>
          </w:tcPr>
          <w:p>
            <w:pPr>
              <w:pStyle w:val="11"/>
            </w:pPr>
            <w:r>
              <w:t>133.70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127.93</w:t>
            </w:r>
          </w:p>
        </w:tc>
        <w:tc>
          <w:tcPr>
            <w:tcW w:w="2551" w:type="dxa"/>
            <w:vAlign w:val="center"/>
          </w:tcPr>
          <w:p>
            <w:pPr>
              <w:pStyle w:val="11"/>
            </w:pPr>
            <w:r>
              <w:t>127.93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102.93</w:t>
            </w:r>
          </w:p>
        </w:tc>
        <w:tc>
          <w:tcPr>
            <w:tcW w:w="2551" w:type="dxa"/>
            <w:vAlign w:val="center"/>
          </w:tcPr>
          <w:p>
            <w:pPr>
              <w:pStyle w:val="11"/>
            </w:pPr>
            <w:r>
              <w:t>102.93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5.77</w:t>
            </w:r>
          </w:p>
        </w:tc>
        <w:tc>
          <w:tcPr>
            <w:tcW w:w="2551" w:type="dxa"/>
            <w:vAlign w:val="center"/>
          </w:tcPr>
          <w:p>
            <w:pPr>
              <w:pStyle w:val="11"/>
            </w:pPr>
            <w:r>
              <w:t>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5.77</w:t>
            </w:r>
          </w:p>
        </w:tc>
        <w:tc>
          <w:tcPr>
            <w:tcW w:w="2551" w:type="dxa"/>
            <w:vAlign w:val="center"/>
          </w:tcPr>
          <w:p>
            <w:pPr>
              <w:pStyle w:val="11"/>
            </w:pPr>
            <w:r>
              <w:t>5.77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64.45</w:t>
            </w:r>
          </w:p>
        </w:tc>
        <w:tc>
          <w:tcPr>
            <w:tcW w:w="2551" w:type="dxa"/>
            <w:vAlign w:val="center"/>
          </w:tcPr>
          <w:p>
            <w:pPr>
              <w:pStyle w:val="11"/>
            </w:pPr>
            <w:r>
              <w:t>64.45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64.45</w:t>
            </w:r>
          </w:p>
        </w:tc>
        <w:tc>
          <w:tcPr>
            <w:tcW w:w="2551" w:type="dxa"/>
            <w:vAlign w:val="center"/>
          </w:tcPr>
          <w:p>
            <w:pPr>
              <w:pStyle w:val="11"/>
            </w:pPr>
            <w:r>
              <w:t>64.45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33.19</w:t>
            </w:r>
          </w:p>
        </w:tc>
        <w:tc>
          <w:tcPr>
            <w:tcW w:w="2551" w:type="dxa"/>
            <w:vAlign w:val="center"/>
          </w:tcPr>
          <w:p>
            <w:pPr>
              <w:pStyle w:val="11"/>
            </w:pPr>
            <w:r>
              <w:t>33.19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2101199</w:t>
            </w:r>
          </w:p>
        </w:tc>
        <w:tc>
          <w:tcPr>
            <w:tcW w:w="4535" w:type="dxa"/>
            <w:vAlign w:val="center"/>
          </w:tcPr>
          <w:p>
            <w:pPr>
              <w:pStyle w:val="12"/>
            </w:pPr>
            <w:r>
              <w:t>其他行政事业单位医疗支出</w:t>
            </w:r>
          </w:p>
        </w:tc>
        <w:tc>
          <w:tcPr>
            <w:tcW w:w="2551" w:type="dxa"/>
            <w:vAlign w:val="center"/>
          </w:tcPr>
          <w:p>
            <w:pPr>
              <w:pStyle w:val="11"/>
            </w:pPr>
            <w:r>
              <w:t>31.26</w:t>
            </w:r>
          </w:p>
        </w:tc>
        <w:tc>
          <w:tcPr>
            <w:tcW w:w="2551" w:type="dxa"/>
            <w:vAlign w:val="center"/>
          </w:tcPr>
          <w:p>
            <w:pPr>
              <w:pStyle w:val="11"/>
            </w:pPr>
            <w:r>
              <w:t>31.26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91.22</w:t>
            </w:r>
          </w:p>
        </w:tc>
        <w:tc>
          <w:tcPr>
            <w:tcW w:w="2551" w:type="dxa"/>
            <w:vAlign w:val="center"/>
          </w:tcPr>
          <w:p>
            <w:pPr>
              <w:pStyle w:val="11"/>
            </w:pPr>
            <w:r>
              <w:t>91.22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91.22</w:t>
            </w:r>
          </w:p>
        </w:tc>
        <w:tc>
          <w:tcPr>
            <w:tcW w:w="2551" w:type="dxa"/>
            <w:vAlign w:val="center"/>
          </w:tcPr>
          <w:p>
            <w:pPr>
              <w:pStyle w:val="11"/>
            </w:pPr>
            <w:r>
              <w:t>91.22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91.22</w:t>
            </w:r>
          </w:p>
        </w:tc>
        <w:tc>
          <w:tcPr>
            <w:tcW w:w="2551" w:type="dxa"/>
            <w:vAlign w:val="center"/>
          </w:tcPr>
          <w:p>
            <w:pPr>
              <w:pStyle w:val="11"/>
            </w:pPr>
            <w:r>
              <w:t>91.22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1178.89</w:t>
            </w:r>
          </w:p>
        </w:tc>
        <w:tc>
          <w:tcPr>
            <w:tcW w:w="2551" w:type="dxa"/>
            <w:vAlign w:val="center"/>
          </w:tcPr>
          <w:p>
            <w:pPr>
              <w:pStyle w:val="15"/>
            </w:pPr>
            <w:r>
              <w:t>1087.81</w:t>
            </w:r>
          </w:p>
        </w:tc>
        <w:tc>
          <w:tcPr>
            <w:tcW w:w="2551" w:type="dxa"/>
            <w:vAlign w:val="center"/>
          </w:tcPr>
          <w:p>
            <w:pPr>
              <w:pStyle w:val="15"/>
            </w:pPr>
            <w:r>
              <w:t>91.08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1087.49</w:t>
            </w:r>
          </w:p>
        </w:tc>
        <w:tc>
          <w:tcPr>
            <w:tcW w:w="2551" w:type="dxa"/>
            <w:vAlign w:val="center"/>
          </w:tcPr>
          <w:p>
            <w:pPr>
              <w:pStyle w:val="11"/>
            </w:pPr>
            <w:r>
              <w:t>1087.49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281.37</w:t>
            </w:r>
          </w:p>
        </w:tc>
        <w:tc>
          <w:tcPr>
            <w:tcW w:w="2551" w:type="dxa"/>
            <w:vAlign w:val="center"/>
          </w:tcPr>
          <w:p>
            <w:pPr>
              <w:pStyle w:val="11"/>
            </w:pPr>
            <w:r>
              <w:t>281.37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55.49</w:t>
            </w:r>
          </w:p>
        </w:tc>
        <w:tc>
          <w:tcPr>
            <w:tcW w:w="2551" w:type="dxa"/>
            <w:vAlign w:val="center"/>
          </w:tcPr>
          <w:p>
            <w:pPr>
              <w:pStyle w:val="11"/>
            </w:pPr>
            <w:r>
              <w:t>55.49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439.26</w:t>
            </w:r>
          </w:p>
        </w:tc>
        <w:tc>
          <w:tcPr>
            <w:tcW w:w="2551" w:type="dxa"/>
            <w:vAlign w:val="center"/>
          </w:tcPr>
          <w:p>
            <w:pPr>
              <w:pStyle w:val="11"/>
            </w:pPr>
            <w:r>
              <w:t>439.26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102.93</w:t>
            </w:r>
          </w:p>
        </w:tc>
        <w:tc>
          <w:tcPr>
            <w:tcW w:w="2551" w:type="dxa"/>
            <w:vAlign w:val="center"/>
          </w:tcPr>
          <w:p>
            <w:pPr>
              <w:pStyle w:val="11"/>
            </w:pPr>
            <w:r>
              <w:t>102.93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33.19</w:t>
            </w:r>
          </w:p>
        </w:tc>
        <w:tc>
          <w:tcPr>
            <w:tcW w:w="2551" w:type="dxa"/>
            <w:vAlign w:val="center"/>
          </w:tcPr>
          <w:p>
            <w:pPr>
              <w:pStyle w:val="11"/>
            </w:pPr>
            <w:r>
              <w:t>33.19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37.03</w:t>
            </w:r>
          </w:p>
        </w:tc>
        <w:tc>
          <w:tcPr>
            <w:tcW w:w="2551" w:type="dxa"/>
            <w:vAlign w:val="center"/>
          </w:tcPr>
          <w:p>
            <w:pPr>
              <w:pStyle w:val="11"/>
            </w:pPr>
            <w:r>
              <w:t>37.03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91.22</w:t>
            </w:r>
          </w:p>
        </w:tc>
        <w:tc>
          <w:tcPr>
            <w:tcW w:w="2551" w:type="dxa"/>
            <w:vAlign w:val="center"/>
          </w:tcPr>
          <w:p>
            <w:pPr>
              <w:pStyle w:val="11"/>
            </w:pPr>
            <w:r>
              <w:t>91.22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91.08</w:t>
            </w:r>
          </w:p>
        </w:tc>
        <w:tc>
          <w:tcPr>
            <w:tcW w:w="2551" w:type="dxa"/>
            <w:vAlign w:val="center"/>
          </w:tcPr>
          <w:p>
            <w:pPr>
              <w:pStyle w:val="11"/>
            </w:pPr>
          </w:p>
        </w:tc>
        <w:tc>
          <w:tcPr>
            <w:tcW w:w="2551" w:type="dxa"/>
            <w:vAlign w:val="center"/>
          </w:tcPr>
          <w:p>
            <w:pPr>
              <w:pStyle w:val="11"/>
            </w:pPr>
            <w:r>
              <w:t>91.08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2.40</w:t>
            </w:r>
          </w:p>
        </w:tc>
        <w:tc>
          <w:tcPr>
            <w:tcW w:w="2551" w:type="dxa"/>
            <w:vAlign w:val="center"/>
          </w:tcPr>
          <w:p>
            <w:pPr>
              <w:pStyle w:val="11"/>
            </w:pPr>
          </w:p>
        </w:tc>
        <w:tc>
          <w:tcPr>
            <w:tcW w:w="2551"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3.38</w:t>
            </w:r>
          </w:p>
        </w:tc>
        <w:tc>
          <w:tcPr>
            <w:tcW w:w="2551" w:type="dxa"/>
            <w:vAlign w:val="center"/>
          </w:tcPr>
          <w:p>
            <w:pPr>
              <w:pStyle w:val="11"/>
            </w:pPr>
          </w:p>
        </w:tc>
        <w:tc>
          <w:tcPr>
            <w:tcW w:w="2551" w:type="dxa"/>
            <w:vAlign w:val="center"/>
          </w:tcPr>
          <w:p>
            <w:pPr>
              <w:pStyle w:val="11"/>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9.62</w:t>
            </w:r>
          </w:p>
        </w:tc>
        <w:tc>
          <w:tcPr>
            <w:tcW w:w="2551" w:type="dxa"/>
            <w:vAlign w:val="center"/>
          </w:tcPr>
          <w:p>
            <w:pPr>
              <w:pStyle w:val="11"/>
            </w:pPr>
          </w:p>
        </w:tc>
        <w:tc>
          <w:tcPr>
            <w:tcW w:w="2551" w:type="dxa"/>
            <w:vAlign w:val="center"/>
          </w:tcPr>
          <w:p>
            <w:pPr>
              <w:pStyle w:val="11"/>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4.46</w:t>
            </w:r>
          </w:p>
        </w:tc>
        <w:tc>
          <w:tcPr>
            <w:tcW w:w="2551" w:type="dxa"/>
            <w:vAlign w:val="center"/>
          </w:tcPr>
          <w:p>
            <w:pPr>
              <w:pStyle w:val="11"/>
            </w:pPr>
          </w:p>
        </w:tc>
        <w:tc>
          <w:tcPr>
            <w:tcW w:w="2551" w:type="dxa"/>
            <w:vAlign w:val="center"/>
          </w:tcPr>
          <w:p>
            <w:pPr>
              <w:pStyle w:val="11"/>
            </w:pPr>
            <w:r>
              <w:t>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32.62</w:t>
            </w:r>
          </w:p>
        </w:tc>
        <w:tc>
          <w:tcPr>
            <w:tcW w:w="2551" w:type="dxa"/>
            <w:vAlign w:val="center"/>
          </w:tcPr>
          <w:p>
            <w:pPr>
              <w:pStyle w:val="11"/>
            </w:pPr>
          </w:p>
        </w:tc>
        <w:tc>
          <w:tcPr>
            <w:tcW w:w="2551" w:type="dxa"/>
            <w:vAlign w:val="center"/>
          </w:tcPr>
          <w:p>
            <w:pPr>
              <w:pStyle w:val="11"/>
            </w:pPr>
            <w:r>
              <w:t>32.62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36.00</w:t>
            </w:r>
          </w:p>
        </w:tc>
        <w:tc>
          <w:tcPr>
            <w:tcW w:w="2551" w:type="dxa"/>
            <w:vAlign w:val="center"/>
          </w:tcPr>
          <w:p>
            <w:pPr>
              <w:pStyle w:val="11"/>
            </w:pPr>
          </w:p>
        </w:tc>
        <w:tc>
          <w:tcPr>
            <w:tcW w:w="2551" w:type="dxa"/>
            <w:vAlign w:val="center"/>
          </w:tcPr>
          <w:p>
            <w:pPr>
              <w:pStyle w:val="11"/>
            </w:pPr>
            <w:r>
              <w:t>36.00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0.32</w:t>
            </w:r>
          </w:p>
        </w:tc>
        <w:tc>
          <w:tcPr>
            <w:tcW w:w="2551" w:type="dxa"/>
            <w:vAlign w:val="center"/>
          </w:tcPr>
          <w:p>
            <w:pPr>
              <w:pStyle w:val="11"/>
            </w:pPr>
            <w:r>
              <w:t>0.32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23.06</w:t>
            </w:r>
          </w:p>
        </w:tc>
        <w:tc>
          <w:tcPr>
            <w:tcW w:w="2381" w:type="dxa"/>
            <w:vAlign w:val="center"/>
          </w:tcPr>
          <w:p>
            <w:pPr>
              <w:pStyle w:val="15"/>
            </w:pPr>
            <w:r>
              <w:t>23.06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22.46</w:t>
            </w:r>
          </w:p>
        </w:tc>
        <w:tc>
          <w:tcPr>
            <w:tcW w:w="2381" w:type="dxa"/>
            <w:vAlign w:val="center"/>
          </w:tcPr>
          <w:p>
            <w:pPr>
              <w:pStyle w:val="11"/>
            </w:pPr>
            <w:r>
              <w:t>22.46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r>
              <w:t>18.00</w:t>
            </w:r>
          </w:p>
        </w:tc>
        <w:tc>
          <w:tcPr>
            <w:tcW w:w="2381" w:type="dxa"/>
            <w:vAlign w:val="center"/>
          </w:tcPr>
          <w:p>
            <w:pPr>
              <w:pStyle w:val="11"/>
            </w:pPr>
            <w:r>
              <w:t>18.00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4.46</w:t>
            </w:r>
          </w:p>
        </w:tc>
        <w:tc>
          <w:tcPr>
            <w:tcW w:w="2381" w:type="dxa"/>
            <w:vAlign w:val="center"/>
          </w:tcPr>
          <w:p>
            <w:pPr>
              <w:pStyle w:val="11"/>
            </w:pPr>
            <w:r>
              <w:t>4.46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0.60</w:t>
            </w:r>
          </w:p>
        </w:tc>
        <w:tc>
          <w:tcPr>
            <w:tcW w:w="2381" w:type="dxa"/>
            <w:vAlign w:val="center"/>
          </w:tcPr>
          <w:p>
            <w:pPr>
              <w:pStyle w:val="11"/>
            </w:pPr>
            <w:r>
              <w:t>0.60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石家庄市建设项目评审评估中心（本级）</w:t>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ab/>
      </w:r>
      <w:r>
        <w:rPr>
          <w:rFonts w:ascii="方正小标宋_GBK" w:hAnsi="方正小标宋_GBK" w:eastAsia="方正小标宋_GBK" w:cs="方正小标宋_GBK"/>
          <w:b w:val="0"/>
          <w:color w:val="000000"/>
          <w:sz w:val="44"/>
        </w:rPr>
        <w:tab/>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按照《中华人民共和国预算法》、《地方预决算公开操作规程》和《关于进一步推进预算公开工作的实施意见》规定，现将石家庄市建设项目评审评估中心（本级）</w:t>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ab/>
      </w:r>
    </w:p>
    <w:p>
      <w:pPr>
        <w:spacing w:before="0" w:after="0" w:line="500" w:lineRule="exact"/>
        <w:ind w:firstLine="560"/>
        <w:jc w:val="left"/>
        <w:outlineLvl w:val="9"/>
      </w:pPr>
      <w:r>
        <w:rPr>
          <w:rFonts w:ascii="Times New Roman" w:hAnsi="Times New Roman" w:eastAsia="方正仿宋_GBK" w:cs="Times New Roman"/>
          <w:b w:val="0"/>
          <w:color w:val="000000"/>
          <w:sz w:val="28"/>
        </w:rPr>
        <w:t>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spacing w:before="0" w:after="0" w:line="500" w:lineRule="exact"/>
        <w:ind w:firstLine="560"/>
        <w:jc w:val="left"/>
        <w:outlineLvl w:val="9"/>
      </w:pPr>
      <w:r>
        <w:rPr>
          <w:rFonts w:ascii="Times New Roman" w:hAnsi="Times New Roman" w:eastAsia="方正仿宋_GBK" w:cs="Times New Roman"/>
          <w:color w:val="000000"/>
          <w:sz w:val="28"/>
        </w:rPr>
        <w:t>根据《石家庄市建设项目评审评估中心职能配置、内设机构和人员编制规定》，石家庄市建设项目评审评估中心的主要职责是：</w:t>
      </w:r>
    </w:p>
    <w:p>
      <w:pPr>
        <w:pStyle w:val="22"/>
      </w:pPr>
      <w:r>
        <w:t>根据《关于明确市建设项目评审评估中心职责的通知》，石家庄市建设项目评审评估中心的主要职责是：</w:t>
      </w:r>
    </w:p>
    <w:p>
      <w:pPr>
        <w:pStyle w:val="22"/>
      </w:pPr>
      <w:r>
        <w:t>一、负责对政府投资（含预算单位自有资金，下同）、市属国有企业投资和以政府投资、市属国有企业投资为主以及其他关系国家利益和公共利益的公共工程项目的项目建设方案投资额、项目建议书、可行性研究报告、初步设计、概算、预算（拦标价）、竣工决（结）算等事项全过程的评估、评审提供事务性服务保障和技术支持；</w:t>
      </w:r>
    </w:p>
    <w:p>
      <w:pPr>
        <w:pStyle w:val="22"/>
      </w:pPr>
      <w:r>
        <w:t>二、负责对维修改造及改扩建项目，征地拆迁、土地储备、协议搬迁、土地前期整理项目，公共设施运行与维护、信息化项目建设与维护等项目的预算（拦标价）、竣工决（结）算等评估、评审工作提供事务性服务保障和技术支持；</w:t>
      </w:r>
    </w:p>
    <w:p>
      <w:pPr>
        <w:pStyle w:val="22"/>
      </w:pPr>
      <w:r>
        <w:t>三、负责对市委、市政府指定的评审项目，其他财政专项资金使用情况等评估、评审工作提供事务性服务保障和技术支持；</w:t>
      </w:r>
    </w:p>
    <w:p>
      <w:pPr>
        <w:pStyle w:val="22"/>
      </w:pPr>
      <w:r>
        <w:t>四、负责出具评估、评审意见等事务性工作；</w:t>
      </w:r>
    </w:p>
    <w:p>
      <w:pPr>
        <w:pStyle w:val="22"/>
      </w:pPr>
      <w:r>
        <w:t>五、负责对第三方出具的评估、评审结果进行复核；</w:t>
      </w:r>
    </w:p>
    <w:p>
      <w:pPr>
        <w:pStyle w:val="22"/>
        <w:sectPr>
          <w:pgSz w:w="11900" w:h="16840"/>
          <w:pgMar w:top="1361" w:right="1020" w:bottom="1361" w:left="1020" w:header="720" w:footer="720" w:gutter="0"/>
          <w:pgNumType w:start="1"/>
          <w:cols w:space="720" w:num="1"/>
        </w:sectPr>
      </w:pPr>
      <w:r>
        <w:t>六、承办市委、市政府交办的其他项目评估、评审工作。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石家庄市建设项目评审评估中心（本级）</w:t>
            </w:r>
            <w:r>
              <w:tab/>
            </w:r>
            <w:r>
              <w:tab/>
            </w:r>
          </w:p>
        </w:tc>
        <w:tc>
          <w:tcPr>
            <w:tcW w:w="1843" w:type="dxa"/>
            <w:vAlign w:val="center"/>
          </w:tcPr>
          <w:p>
            <w:pPr>
              <w:pStyle w:val="13"/>
            </w:pPr>
            <w:r>
              <w:t>事业</w:t>
            </w:r>
          </w:p>
        </w:tc>
        <w:tc>
          <w:tcPr>
            <w:tcW w:w="2126" w:type="dxa"/>
            <w:vAlign w:val="center"/>
          </w:tcPr>
          <w:p>
            <w:pPr>
              <w:pStyle w:val="13"/>
            </w:pPr>
            <w:r>
              <w:t>正处（县）级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2627.59万元，其中：一般公共预算收入2627.59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收支预算总表支出栏、基本支出表、项目支出表按经济分类和支出功能分类科目编制，反映石家庄市建设项目评审评估中心（本级）</w:t>
      </w:r>
      <w:r>
        <w:tab/>
      </w:r>
      <w:r>
        <w:tab/>
      </w:r>
      <w:r>
        <w:tab/>
      </w:r>
      <w:r>
        <w:tab/>
      </w:r>
    </w:p>
    <w:p>
      <w:pPr>
        <w:pStyle w:val="18"/>
      </w:pPr>
      <w:r>
        <w:t>年度单位预算中支出预算的总体情况。2026年支出预算2627.59万元，其中基本支出1178.89万元，包括人员经费1087.81万元和日常公用经费91.08万元；项目支出1448.70万元，主要为评审评估业务服务费、党组织活动经费、法律顾问服务费、文件资料印刷费、专用设备维修费、专用材料购置费、档案寄存费、信息化运行维护费、办公设备购置支出。；预计下年使用的单位资金结余0.00万元。委托业务费共计安排1353.00万元，主要用于因技术原因确需对外委托的辅助性工作和确有必要对外委托开展咨询、评审、规划等工作。</w:t>
      </w:r>
    </w:p>
    <w:p>
      <w:pPr>
        <w:pStyle w:val="18"/>
      </w:pPr>
      <w:r>
        <w:t>3、比上年增减情况</w:t>
      </w:r>
    </w:p>
    <w:p>
      <w:pPr>
        <w:pStyle w:val="18"/>
      </w:pPr>
      <w:r>
        <w:t>2026年预算收支安排2627.59万元，较2025年预算减少274.38万元，其中：基本支出增加182.74万元，主要为中心2025年新招录调入人员6名。项目支出减少457.12万元，主要为部分项目节省开支，压减项目预算，另有部分项目已执行完毕，2026年不需再申请预算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rPr>
          <w:rFonts w:hint="default" w:eastAsia="方正仿宋_GBK"/>
          <w:lang w:val="en-US" w:eastAsia="zh-CN"/>
        </w:rPr>
      </w:pPr>
      <w:r>
        <w:rPr>
          <w:rFonts w:hint="eastAsia"/>
          <w:lang w:val="en-US" w:eastAsia="zh-CN"/>
        </w:rPr>
        <w:t>2026年，我单位</w:t>
      </w:r>
      <w:r>
        <w:t>日常公用经费91.08万元</w:t>
      </w:r>
      <w:r>
        <w:rPr>
          <w:rFonts w:hint="eastAsia"/>
          <w:lang w:eastAsia="zh-CN"/>
        </w:rPr>
        <w:t>，</w:t>
      </w:r>
      <w:r>
        <w:rPr>
          <w:rFonts w:hint="eastAsia"/>
          <w:lang w:val="en-US" w:eastAsia="zh-CN"/>
        </w:rPr>
        <w:t>主要用于日常办公经费、公务用车运行维护费等日常支出。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6</w:t>
      </w:r>
      <w:r>
        <w:t>年，我部门财政拨款“三公”经费预算安排</w:t>
      </w:r>
      <w:r>
        <w:rPr>
          <w:rFonts w:hint="eastAsia"/>
          <w:lang w:val="en-US" w:eastAsia="zh-CN"/>
        </w:rPr>
        <w:t>23.06</w:t>
      </w:r>
      <w:r>
        <w:t>万元，其中因公出国（境）费0.00万元；公务用车购置及运维费</w:t>
      </w:r>
      <w:r>
        <w:rPr>
          <w:rFonts w:hint="eastAsia"/>
          <w:lang w:val="en-US" w:eastAsia="zh-CN"/>
        </w:rPr>
        <w:t>22.46</w:t>
      </w:r>
      <w:r>
        <w:t>万元（其中：公务用车购置费为</w:t>
      </w:r>
      <w:r>
        <w:rPr>
          <w:rFonts w:hint="eastAsia"/>
          <w:lang w:val="en-US" w:eastAsia="zh-CN"/>
        </w:rPr>
        <w:t>18</w:t>
      </w:r>
      <w:r>
        <w:t>万元，公务用车运维费</w:t>
      </w:r>
      <w:r>
        <w:rPr>
          <w:rFonts w:hint="eastAsia"/>
          <w:lang w:val="en-US" w:eastAsia="zh-CN"/>
        </w:rPr>
        <w:t>4.46</w:t>
      </w:r>
      <w:r>
        <w:t>万元)；公务接待费</w:t>
      </w:r>
      <w:r>
        <w:rPr>
          <w:rFonts w:hint="eastAsia"/>
          <w:lang w:val="en-US" w:eastAsia="zh-CN"/>
        </w:rPr>
        <w:t>0.6</w:t>
      </w:r>
      <w:r>
        <w:t>万元。与202</w:t>
      </w:r>
      <w:r>
        <w:rPr>
          <w:rFonts w:hint="eastAsia"/>
          <w:lang w:val="en-US" w:eastAsia="zh-CN"/>
        </w:rPr>
        <w:t>5</w:t>
      </w:r>
      <w:r>
        <w:t>年相比</w:t>
      </w:r>
      <w:r>
        <w:rPr>
          <w:rFonts w:hint="eastAsia"/>
          <w:lang w:val="en-US" w:eastAsia="zh-CN"/>
        </w:rPr>
        <w:t>增加19.56</w:t>
      </w:r>
      <w:r>
        <w:t>万元，增减变化的主要原因是</w:t>
      </w:r>
      <w:r>
        <w:rPr>
          <w:rFonts w:hint="eastAsia"/>
          <w:lang w:val="en-US" w:eastAsia="zh-CN"/>
        </w:rPr>
        <w:t>2026年拟购一辆新车，需18万元</w:t>
      </w:r>
      <w: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bookmarkStart w:id="2" w:name="_GoBack"/>
      <w:bookmarkEnd w:id="2"/>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13010026P00971210675H</w:t>
            </w:r>
          </w:p>
        </w:tc>
        <w:tc>
          <w:tcPr>
            <w:tcW w:w="2835" w:type="dxa"/>
            <w:vAlign w:val="center"/>
          </w:tcPr>
          <w:p>
            <w:pPr>
              <w:pStyle w:val="10"/>
            </w:pPr>
            <w:r>
              <w:t>项目名称</w:t>
            </w:r>
          </w:p>
        </w:tc>
        <w:tc>
          <w:tcPr>
            <w:tcW w:w="6095" w:type="dxa"/>
            <w:gridSpan w:val="3"/>
            <w:vAlign w:val="center"/>
          </w:tcPr>
          <w:p>
            <w:pPr>
              <w:pStyle w:val="12"/>
            </w:pPr>
            <w:r>
              <w:t>办公设备购置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17.05</w:t>
            </w:r>
          </w:p>
        </w:tc>
        <w:tc>
          <w:tcPr>
            <w:tcW w:w="2835" w:type="dxa"/>
            <w:vAlign w:val="center"/>
          </w:tcPr>
          <w:p>
            <w:pPr>
              <w:pStyle w:val="10"/>
            </w:pPr>
            <w:r>
              <w:t>其中：财政    资金</w:t>
            </w:r>
          </w:p>
        </w:tc>
        <w:tc>
          <w:tcPr>
            <w:tcW w:w="2551" w:type="dxa"/>
            <w:vAlign w:val="center"/>
          </w:tcPr>
          <w:p>
            <w:pPr>
              <w:pStyle w:val="12"/>
            </w:pPr>
            <w:r>
              <w:t>17.05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为保障评审评估工作正常运转及新招录人员正常办公需求。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1.为保障评审评估工作正常运转及新招录人员正常办公需求。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办公家具和办公设备购置数量</w:t>
            </w:r>
          </w:p>
        </w:tc>
        <w:tc>
          <w:tcPr>
            <w:tcW w:w="5386" w:type="dxa"/>
            <w:vAlign w:val="center"/>
          </w:tcPr>
          <w:p>
            <w:pPr>
              <w:pStyle w:val="12"/>
            </w:pPr>
            <w:r>
              <w:t>办公家具和办公设备购置数量（台/个/套）</w:t>
            </w:r>
          </w:p>
        </w:tc>
        <w:tc>
          <w:tcPr>
            <w:tcW w:w="2268" w:type="dxa"/>
            <w:vAlign w:val="center"/>
          </w:tcPr>
          <w:p>
            <w:pPr>
              <w:pStyle w:val="12"/>
            </w:pPr>
            <w:r>
              <w:t>≥56台（个、套）</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购置质量合格率</w:t>
            </w:r>
          </w:p>
        </w:tc>
        <w:tc>
          <w:tcPr>
            <w:tcW w:w="5386" w:type="dxa"/>
            <w:vAlign w:val="center"/>
          </w:tcPr>
          <w:p>
            <w:pPr>
              <w:pStyle w:val="12"/>
            </w:pPr>
            <w:r>
              <w:t>购置质量合格的数量占购置总数量的比率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办公设备采购完成时间</w:t>
            </w:r>
          </w:p>
        </w:tc>
        <w:tc>
          <w:tcPr>
            <w:tcW w:w="5386" w:type="dxa"/>
            <w:vAlign w:val="center"/>
          </w:tcPr>
          <w:p>
            <w:pPr>
              <w:pStyle w:val="12"/>
            </w:pPr>
            <w:r>
              <w:t>办公设备采购及时率</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办公设备购置费用</w:t>
            </w:r>
          </w:p>
        </w:tc>
        <w:tc>
          <w:tcPr>
            <w:tcW w:w="5386" w:type="dxa"/>
            <w:vAlign w:val="center"/>
          </w:tcPr>
          <w:p>
            <w:pPr>
              <w:pStyle w:val="12"/>
            </w:pPr>
            <w:r>
              <w:t>办公设备购置费用</w:t>
            </w:r>
          </w:p>
        </w:tc>
        <w:tc>
          <w:tcPr>
            <w:tcW w:w="2268" w:type="dxa"/>
            <w:vAlign w:val="center"/>
          </w:tcPr>
          <w:p>
            <w:pPr>
              <w:pStyle w:val="12"/>
            </w:pPr>
            <w:r>
              <w:t>≤17.05万元</w:t>
            </w:r>
          </w:p>
        </w:tc>
        <w:tc>
          <w:tcPr>
            <w:tcW w:w="1276"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业务保障能力提升情况</w:t>
            </w:r>
          </w:p>
        </w:tc>
        <w:tc>
          <w:tcPr>
            <w:tcW w:w="5386" w:type="dxa"/>
            <w:vAlign w:val="center"/>
          </w:tcPr>
          <w:p>
            <w:pPr>
              <w:pStyle w:val="12"/>
            </w:pPr>
            <w:r>
              <w:t>购置对业务保障能力的提升情况</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2、党组织活动经费绩效目标表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13010026P00971110558M</w:t>
            </w:r>
          </w:p>
        </w:tc>
        <w:tc>
          <w:tcPr>
            <w:tcW w:w="2835" w:type="dxa"/>
            <w:vAlign w:val="center"/>
          </w:tcPr>
          <w:p>
            <w:pPr>
              <w:pStyle w:val="10"/>
            </w:pPr>
            <w:r>
              <w:t>项目名称</w:t>
            </w:r>
          </w:p>
        </w:tc>
        <w:tc>
          <w:tcPr>
            <w:tcW w:w="6095" w:type="dxa"/>
            <w:gridSpan w:val="3"/>
            <w:vAlign w:val="center"/>
          </w:tcPr>
          <w:p>
            <w:pPr>
              <w:pStyle w:val="12"/>
            </w:pPr>
            <w:r>
              <w:t>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1.81</w:t>
            </w:r>
          </w:p>
        </w:tc>
        <w:tc>
          <w:tcPr>
            <w:tcW w:w="2835" w:type="dxa"/>
            <w:vAlign w:val="center"/>
          </w:tcPr>
          <w:p>
            <w:pPr>
              <w:pStyle w:val="10"/>
            </w:pPr>
            <w:r>
              <w:t>其中：财政    资金</w:t>
            </w:r>
          </w:p>
        </w:tc>
        <w:tc>
          <w:tcPr>
            <w:tcW w:w="2551" w:type="dxa"/>
            <w:vAlign w:val="center"/>
          </w:tcPr>
          <w:p>
            <w:pPr>
              <w:pStyle w:val="12"/>
            </w:pPr>
            <w:r>
              <w:t>1.81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购置多种党员学习用品、开展党组织活动等。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1.购置多种党员学习用品、开展党组织活动等。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开展党组织活动次数</w:t>
            </w:r>
          </w:p>
        </w:tc>
        <w:tc>
          <w:tcPr>
            <w:tcW w:w="5386" w:type="dxa"/>
            <w:vAlign w:val="center"/>
          </w:tcPr>
          <w:p>
            <w:pPr>
              <w:pStyle w:val="12"/>
            </w:pPr>
            <w:r>
              <w:t>全年开展党组织活动次数</w:t>
            </w:r>
          </w:p>
        </w:tc>
        <w:tc>
          <w:tcPr>
            <w:tcW w:w="2268" w:type="dxa"/>
            <w:vAlign w:val="center"/>
          </w:tcPr>
          <w:p>
            <w:pPr>
              <w:pStyle w:val="12"/>
            </w:pPr>
            <w:r>
              <w:t>≥2次</w:t>
            </w:r>
          </w:p>
        </w:tc>
        <w:tc>
          <w:tcPr>
            <w:tcW w:w="1276" w:type="dxa"/>
            <w:vAlign w:val="center"/>
          </w:tcPr>
          <w:p>
            <w:pPr>
              <w:pStyle w:val="12"/>
            </w:pPr>
            <w:r>
              <w:t>中心党建年度工作要点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实际参加党组织活动人数占应参加人员的比例</w:t>
            </w:r>
          </w:p>
        </w:tc>
        <w:tc>
          <w:tcPr>
            <w:tcW w:w="2268" w:type="dxa"/>
            <w:vAlign w:val="center"/>
          </w:tcPr>
          <w:p>
            <w:pPr>
              <w:pStyle w:val="12"/>
            </w:pPr>
            <w:r>
              <w:t>≥80%</w:t>
            </w:r>
          </w:p>
        </w:tc>
        <w:tc>
          <w:tcPr>
            <w:tcW w:w="1276" w:type="dxa"/>
            <w:vAlign w:val="center"/>
          </w:tcPr>
          <w:p>
            <w:pPr>
              <w:pStyle w:val="12"/>
            </w:pPr>
            <w:r>
              <w:t>中心党建年度工作要点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党组织活动开展频次</w:t>
            </w:r>
          </w:p>
        </w:tc>
        <w:tc>
          <w:tcPr>
            <w:tcW w:w="5386" w:type="dxa"/>
            <w:vAlign w:val="center"/>
          </w:tcPr>
          <w:p>
            <w:pPr>
              <w:pStyle w:val="12"/>
            </w:pPr>
            <w:r>
              <w:t>党组织活动开展频次</w:t>
            </w:r>
          </w:p>
        </w:tc>
        <w:tc>
          <w:tcPr>
            <w:tcW w:w="2268" w:type="dxa"/>
            <w:vAlign w:val="center"/>
          </w:tcPr>
          <w:p>
            <w:pPr>
              <w:pStyle w:val="12"/>
            </w:pPr>
            <w:r>
              <w:t>≥2次</w:t>
            </w:r>
          </w:p>
        </w:tc>
        <w:tc>
          <w:tcPr>
            <w:tcW w:w="1276" w:type="dxa"/>
            <w:vAlign w:val="center"/>
          </w:tcPr>
          <w:p>
            <w:pPr>
              <w:pStyle w:val="12"/>
            </w:pPr>
            <w:r>
              <w:t>中心党建年度工作要点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活动总成本</w:t>
            </w:r>
          </w:p>
        </w:tc>
        <w:tc>
          <w:tcPr>
            <w:tcW w:w="5386" w:type="dxa"/>
            <w:vAlign w:val="center"/>
          </w:tcPr>
          <w:p>
            <w:pPr>
              <w:pStyle w:val="12"/>
            </w:pPr>
            <w:r>
              <w:t>组织党员活动的总成本</w:t>
            </w:r>
          </w:p>
        </w:tc>
        <w:tc>
          <w:tcPr>
            <w:tcW w:w="2268" w:type="dxa"/>
            <w:vAlign w:val="center"/>
          </w:tcPr>
          <w:p>
            <w:pPr>
              <w:pStyle w:val="12"/>
            </w:pPr>
            <w:r>
              <w:t>≤1.81万元</w:t>
            </w:r>
          </w:p>
        </w:tc>
        <w:tc>
          <w:tcPr>
            <w:tcW w:w="1276"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党员建言献策的比率</w:t>
            </w:r>
          </w:p>
        </w:tc>
        <w:tc>
          <w:tcPr>
            <w:tcW w:w="5386" w:type="dxa"/>
            <w:vAlign w:val="center"/>
          </w:tcPr>
          <w:p>
            <w:pPr>
              <w:pStyle w:val="12"/>
            </w:pPr>
            <w:r>
              <w:t>建言献策的党员人数占参会总人数的比例</w:t>
            </w:r>
          </w:p>
        </w:tc>
        <w:tc>
          <w:tcPr>
            <w:tcW w:w="2268" w:type="dxa"/>
            <w:vAlign w:val="center"/>
          </w:tcPr>
          <w:p>
            <w:pPr>
              <w:pStyle w:val="12"/>
            </w:pPr>
            <w:r>
              <w:t>≥90%</w:t>
            </w:r>
          </w:p>
        </w:tc>
        <w:tc>
          <w:tcPr>
            <w:tcW w:w="1276" w:type="dxa"/>
            <w:vAlign w:val="center"/>
          </w:tcPr>
          <w:p>
            <w:pPr>
              <w:pStyle w:val="12"/>
            </w:pPr>
            <w:r>
              <w:t>中心党建年度工作要点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3、文件资料印刷费绩效目标表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13010026P009935103207</w:t>
            </w:r>
          </w:p>
        </w:tc>
        <w:tc>
          <w:tcPr>
            <w:tcW w:w="2835" w:type="dxa"/>
            <w:vAlign w:val="center"/>
          </w:tcPr>
          <w:p>
            <w:pPr>
              <w:pStyle w:val="10"/>
            </w:pPr>
            <w:r>
              <w:t>项目名称</w:t>
            </w:r>
          </w:p>
        </w:tc>
        <w:tc>
          <w:tcPr>
            <w:tcW w:w="6095" w:type="dxa"/>
            <w:gridSpan w:val="3"/>
            <w:vAlign w:val="center"/>
          </w:tcPr>
          <w:p>
            <w:pPr>
              <w:pStyle w:val="12"/>
            </w:pPr>
            <w:r>
              <w:t>文件资料印刷费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用于印制评审评估意见、政策汇编等。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1.用于印制评审评估意见、政策汇编等。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文件资料印刷册数</w:t>
            </w:r>
          </w:p>
        </w:tc>
        <w:tc>
          <w:tcPr>
            <w:tcW w:w="5386" w:type="dxa"/>
            <w:vAlign w:val="center"/>
          </w:tcPr>
          <w:p>
            <w:pPr>
              <w:pStyle w:val="12"/>
            </w:pPr>
            <w:r>
              <w:t>文件资料印刷册数</w:t>
            </w:r>
          </w:p>
        </w:tc>
        <w:tc>
          <w:tcPr>
            <w:tcW w:w="2268" w:type="dxa"/>
            <w:vAlign w:val="center"/>
          </w:tcPr>
          <w:p>
            <w:pPr>
              <w:pStyle w:val="12"/>
            </w:pPr>
            <w:r>
              <w:t>≥1000册</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印刷质量合格率</w:t>
            </w:r>
          </w:p>
        </w:tc>
        <w:tc>
          <w:tcPr>
            <w:tcW w:w="5386" w:type="dxa"/>
            <w:vAlign w:val="center"/>
          </w:tcPr>
          <w:p>
            <w:pPr>
              <w:pStyle w:val="12"/>
            </w:pPr>
            <w:r>
              <w:t>印刷品质量验收合格率</w:t>
            </w:r>
          </w:p>
        </w:tc>
        <w:tc>
          <w:tcPr>
            <w:tcW w:w="2268" w:type="dxa"/>
            <w:vAlign w:val="center"/>
          </w:tcPr>
          <w:p>
            <w:pPr>
              <w:pStyle w:val="12"/>
            </w:pPr>
            <w:r>
              <w:t>100%</w:t>
            </w:r>
          </w:p>
        </w:tc>
        <w:tc>
          <w:tcPr>
            <w:tcW w:w="1276" w:type="dxa"/>
            <w:vAlign w:val="center"/>
          </w:tcPr>
          <w:p>
            <w:pPr>
              <w:pStyle w:val="12"/>
            </w:pPr>
            <w:r>
              <w:t>印刷行业标准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按时间节点完成工作情况</w:t>
            </w:r>
          </w:p>
        </w:tc>
        <w:tc>
          <w:tcPr>
            <w:tcW w:w="2268" w:type="dxa"/>
            <w:vAlign w:val="center"/>
          </w:tcPr>
          <w:p>
            <w:pPr>
              <w:pStyle w:val="12"/>
            </w:pPr>
            <w:r>
              <w:t>≥95%</w:t>
            </w:r>
          </w:p>
        </w:tc>
        <w:tc>
          <w:tcPr>
            <w:tcW w:w="1276" w:type="dxa"/>
            <w:vAlign w:val="center"/>
          </w:tcPr>
          <w:p>
            <w:pPr>
              <w:pStyle w:val="12"/>
            </w:pPr>
            <w:r>
              <w:t>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平均成本</w:t>
            </w:r>
          </w:p>
        </w:tc>
        <w:tc>
          <w:tcPr>
            <w:tcW w:w="5386" w:type="dxa"/>
            <w:vAlign w:val="center"/>
          </w:tcPr>
          <w:p>
            <w:pPr>
              <w:pStyle w:val="12"/>
            </w:pPr>
            <w:r>
              <w:t>每册印刷成本</w:t>
            </w:r>
          </w:p>
        </w:tc>
        <w:tc>
          <w:tcPr>
            <w:tcW w:w="2268" w:type="dxa"/>
            <w:vAlign w:val="center"/>
          </w:tcPr>
          <w:p>
            <w:pPr>
              <w:pStyle w:val="12"/>
            </w:pPr>
            <w:r>
              <w:t>≤0.02万元/册</w:t>
            </w:r>
          </w:p>
        </w:tc>
        <w:tc>
          <w:tcPr>
            <w:tcW w:w="1276"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保障各类文件、材料正常印刷</w:t>
            </w:r>
          </w:p>
        </w:tc>
        <w:tc>
          <w:tcPr>
            <w:tcW w:w="2268" w:type="dxa"/>
            <w:vAlign w:val="center"/>
          </w:tcPr>
          <w:p>
            <w:pPr>
              <w:pStyle w:val="12"/>
            </w:pPr>
            <w:r>
              <w:t>≥95%</w:t>
            </w:r>
          </w:p>
        </w:tc>
        <w:tc>
          <w:tcPr>
            <w:tcW w:w="1276" w:type="dxa"/>
            <w:vAlign w:val="center"/>
          </w:tcPr>
          <w:p>
            <w:pPr>
              <w:pStyle w:val="12"/>
            </w:pPr>
            <w:r>
              <w:t>2026年工作计划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4、信息化项目运行维护费绩效目标表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13010026P00001510086W</w:t>
            </w:r>
          </w:p>
        </w:tc>
        <w:tc>
          <w:tcPr>
            <w:tcW w:w="2835" w:type="dxa"/>
            <w:vAlign w:val="center"/>
          </w:tcPr>
          <w:p>
            <w:pPr>
              <w:pStyle w:val="10"/>
            </w:pPr>
            <w:r>
              <w:t>项目名称</w:t>
            </w:r>
          </w:p>
        </w:tc>
        <w:tc>
          <w:tcPr>
            <w:tcW w:w="6095" w:type="dxa"/>
            <w:gridSpan w:val="3"/>
            <w:vAlign w:val="center"/>
          </w:tcPr>
          <w:p>
            <w:pPr>
              <w:pStyle w:val="12"/>
            </w:pPr>
            <w:r>
              <w:t>信息化项目运行维护费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23.24</w:t>
            </w:r>
          </w:p>
        </w:tc>
        <w:tc>
          <w:tcPr>
            <w:tcW w:w="2835" w:type="dxa"/>
            <w:vAlign w:val="center"/>
          </w:tcPr>
          <w:p>
            <w:pPr>
              <w:pStyle w:val="10"/>
            </w:pPr>
            <w:r>
              <w:t>其中：财政    资金</w:t>
            </w:r>
          </w:p>
        </w:tc>
        <w:tc>
          <w:tcPr>
            <w:tcW w:w="2551" w:type="dxa"/>
            <w:vAlign w:val="center"/>
          </w:tcPr>
          <w:p>
            <w:pPr>
              <w:pStyle w:val="12"/>
            </w:pPr>
            <w:r>
              <w:t>23.24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对各专业软件进行维护升级、续订，保障评审评估工作正常开展。</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1.对各专业软件进行维护升级、续订，保障评审评估工作正常开展。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软件维护数量（套）</w:t>
            </w:r>
          </w:p>
        </w:tc>
        <w:tc>
          <w:tcPr>
            <w:tcW w:w="5386" w:type="dxa"/>
            <w:vAlign w:val="center"/>
          </w:tcPr>
          <w:p>
            <w:pPr>
              <w:pStyle w:val="12"/>
            </w:pPr>
            <w:r>
              <w:t>软件维护数量（套）</w:t>
            </w:r>
          </w:p>
        </w:tc>
        <w:tc>
          <w:tcPr>
            <w:tcW w:w="2268" w:type="dxa"/>
            <w:vAlign w:val="center"/>
          </w:tcPr>
          <w:p>
            <w:pPr>
              <w:pStyle w:val="12"/>
            </w:pPr>
            <w:r>
              <w:t>≥42件/套</w:t>
            </w:r>
          </w:p>
        </w:tc>
        <w:tc>
          <w:tcPr>
            <w:tcW w:w="1276" w:type="dxa"/>
            <w:vAlign w:val="center"/>
          </w:tcPr>
          <w:p>
            <w:pPr>
              <w:pStyle w:val="12"/>
            </w:pPr>
            <w:r>
              <w:t>实际软件数量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系统运维完成率</w:t>
            </w:r>
          </w:p>
        </w:tc>
        <w:tc>
          <w:tcPr>
            <w:tcW w:w="5386" w:type="dxa"/>
            <w:vAlign w:val="center"/>
          </w:tcPr>
          <w:p>
            <w:pPr>
              <w:pStyle w:val="12"/>
            </w:pPr>
            <w:r>
              <w:t>系统运维工作完成数量占总数量的比例</w:t>
            </w:r>
          </w:p>
        </w:tc>
        <w:tc>
          <w:tcPr>
            <w:tcW w:w="2268" w:type="dxa"/>
            <w:vAlign w:val="center"/>
          </w:tcPr>
          <w:p>
            <w:pPr>
              <w:pStyle w:val="12"/>
            </w:pPr>
            <w:r>
              <w:t>100%</w:t>
            </w:r>
          </w:p>
        </w:tc>
        <w:tc>
          <w:tcPr>
            <w:tcW w:w="1276" w:type="dxa"/>
            <w:vAlign w:val="center"/>
          </w:tcPr>
          <w:p>
            <w:pPr>
              <w:pStyle w:val="12"/>
            </w:pPr>
            <w:r>
              <w:t>2026年度业务工作要求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系统运维完成时间</w:t>
            </w:r>
          </w:p>
        </w:tc>
        <w:tc>
          <w:tcPr>
            <w:tcW w:w="5386" w:type="dxa"/>
            <w:vAlign w:val="center"/>
          </w:tcPr>
          <w:p>
            <w:pPr>
              <w:pStyle w:val="12"/>
            </w:pPr>
            <w:r>
              <w:t>系统运维工作计划完成时间</w:t>
            </w:r>
          </w:p>
        </w:tc>
        <w:tc>
          <w:tcPr>
            <w:tcW w:w="2268" w:type="dxa"/>
            <w:vAlign w:val="center"/>
          </w:tcPr>
          <w:p>
            <w:pPr>
              <w:pStyle w:val="12"/>
            </w:pPr>
            <w:r>
              <w:t>2026年12月31日前</w:t>
            </w:r>
          </w:p>
        </w:tc>
        <w:tc>
          <w:tcPr>
            <w:tcW w:w="1276" w:type="dxa"/>
            <w:vAlign w:val="center"/>
          </w:tcPr>
          <w:p>
            <w:pPr>
              <w:pStyle w:val="12"/>
            </w:pPr>
            <w:r>
              <w:t>2026年度业务工作要求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单位系统运维成本</w:t>
            </w:r>
          </w:p>
        </w:tc>
        <w:tc>
          <w:tcPr>
            <w:tcW w:w="5386" w:type="dxa"/>
            <w:vAlign w:val="center"/>
          </w:tcPr>
          <w:p>
            <w:pPr>
              <w:pStyle w:val="12"/>
            </w:pPr>
            <w:r>
              <w:t>平均每个系统的运维成本</w:t>
            </w:r>
          </w:p>
        </w:tc>
        <w:tc>
          <w:tcPr>
            <w:tcW w:w="2268" w:type="dxa"/>
            <w:vAlign w:val="center"/>
          </w:tcPr>
          <w:p>
            <w:pPr>
              <w:pStyle w:val="12"/>
            </w:pPr>
            <w:r>
              <w:t>≤0.56万元</w:t>
            </w:r>
          </w:p>
        </w:tc>
        <w:tc>
          <w:tcPr>
            <w:tcW w:w="1276"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故障率</w:t>
            </w:r>
          </w:p>
        </w:tc>
        <w:tc>
          <w:tcPr>
            <w:tcW w:w="5386" w:type="dxa"/>
            <w:vAlign w:val="center"/>
          </w:tcPr>
          <w:p>
            <w:pPr>
              <w:pStyle w:val="12"/>
            </w:pPr>
            <w:r>
              <w:t>系统出现故障天数/365天</w:t>
            </w:r>
          </w:p>
        </w:tc>
        <w:tc>
          <w:tcPr>
            <w:tcW w:w="2268" w:type="dxa"/>
            <w:vAlign w:val="center"/>
          </w:tcPr>
          <w:p>
            <w:pPr>
              <w:pStyle w:val="12"/>
            </w:pPr>
            <w:r>
              <w:t>≤1%</w:t>
            </w:r>
          </w:p>
        </w:tc>
        <w:tc>
          <w:tcPr>
            <w:tcW w:w="1276" w:type="dxa"/>
            <w:vAlign w:val="center"/>
          </w:tcPr>
          <w:p>
            <w:pPr>
              <w:pStyle w:val="12"/>
            </w:pPr>
            <w:r>
              <w:t>2026年度业务工作要求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5、业务咨询委托费绩效目标表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13010026P009880103284</w:t>
            </w:r>
          </w:p>
        </w:tc>
        <w:tc>
          <w:tcPr>
            <w:tcW w:w="2835" w:type="dxa"/>
            <w:vAlign w:val="center"/>
          </w:tcPr>
          <w:p>
            <w:pPr>
              <w:pStyle w:val="10"/>
            </w:pPr>
            <w:r>
              <w:t>项目名称</w:t>
            </w:r>
          </w:p>
        </w:tc>
        <w:tc>
          <w:tcPr>
            <w:tcW w:w="6095" w:type="dxa"/>
            <w:gridSpan w:val="3"/>
            <w:vAlign w:val="center"/>
          </w:tcPr>
          <w:p>
            <w:pPr>
              <w:pStyle w:val="12"/>
            </w:pPr>
            <w:r>
              <w:t>业务咨询委托费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通过法律业务咨询等服务，为单位提供法律服务保障，提高工作人员法律意识，降低单位经济业务风险。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1.通过法律业务咨询等服务，为单位提供法律服务保障，提高工作人员法律意识，降低单位经济业务风险。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提供业务咨询次数</w:t>
            </w:r>
          </w:p>
        </w:tc>
        <w:tc>
          <w:tcPr>
            <w:tcW w:w="5386" w:type="dxa"/>
            <w:vAlign w:val="center"/>
          </w:tcPr>
          <w:p>
            <w:pPr>
              <w:pStyle w:val="12"/>
            </w:pPr>
            <w:r>
              <w:t>提供业务咨询次数</w:t>
            </w:r>
          </w:p>
        </w:tc>
        <w:tc>
          <w:tcPr>
            <w:tcW w:w="2268" w:type="dxa"/>
            <w:vAlign w:val="center"/>
          </w:tcPr>
          <w:p>
            <w:pPr>
              <w:pStyle w:val="12"/>
            </w:pPr>
            <w:r>
              <w:t>≥30次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聘请法律顾问资质达标率</w:t>
            </w:r>
          </w:p>
        </w:tc>
        <w:tc>
          <w:tcPr>
            <w:tcW w:w="5386" w:type="dxa"/>
            <w:vAlign w:val="center"/>
          </w:tcPr>
          <w:p>
            <w:pPr>
              <w:pStyle w:val="12"/>
            </w:pPr>
            <w:r>
              <w:t>考察聘请法律顾问资质达标的情况</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工作完成及时率</w:t>
            </w:r>
          </w:p>
        </w:tc>
        <w:tc>
          <w:tcPr>
            <w:tcW w:w="5386" w:type="dxa"/>
            <w:vAlign w:val="center"/>
          </w:tcPr>
          <w:p>
            <w:pPr>
              <w:pStyle w:val="12"/>
            </w:pPr>
            <w:r>
              <w:t>按时间节点完成工作情况</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委托业务成本</w:t>
            </w:r>
          </w:p>
        </w:tc>
        <w:tc>
          <w:tcPr>
            <w:tcW w:w="5386" w:type="dxa"/>
            <w:vAlign w:val="center"/>
          </w:tcPr>
          <w:p>
            <w:pPr>
              <w:pStyle w:val="12"/>
            </w:pPr>
            <w:r>
              <w:t>委托业务成本</w:t>
            </w:r>
          </w:p>
        </w:tc>
        <w:tc>
          <w:tcPr>
            <w:tcW w:w="2268" w:type="dxa"/>
            <w:vAlign w:val="center"/>
          </w:tcPr>
          <w:p>
            <w:pPr>
              <w:pStyle w:val="12"/>
            </w:pPr>
            <w:r>
              <w:t>≤5万元</w:t>
            </w:r>
          </w:p>
        </w:tc>
        <w:tc>
          <w:tcPr>
            <w:tcW w:w="1276"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法律风险次数</w:t>
            </w:r>
          </w:p>
        </w:tc>
        <w:tc>
          <w:tcPr>
            <w:tcW w:w="5386" w:type="dxa"/>
            <w:vAlign w:val="center"/>
          </w:tcPr>
          <w:p>
            <w:pPr>
              <w:pStyle w:val="12"/>
            </w:pPr>
            <w:r>
              <w:t>考察出现法律风险问题的次数</w:t>
            </w:r>
          </w:p>
        </w:tc>
        <w:tc>
          <w:tcPr>
            <w:tcW w:w="2268" w:type="dxa"/>
            <w:vAlign w:val="center"/>
          </w:tcPr>
          <w:p>
            <w:pPr>
              <w:pStyle w:val="12"/>
            </w:pPr>
            <w:r>
              <w:t>≤3次</w:t>
            </w:r>
          </w:p>
        </w:tc>
        <w:tc>
          <w:tcPr>
            <w:tcW w:w="1276" w:type="dxa"/>
            <w:vAlign w:val="center"/>
          </w:tcPr>
          <w:p>
            <w:pPr>
              <w:pStyle w:val="12"/>
            </w:pPr>
            <w:r>
              <w:t>2026年实际发生情况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6、专用材料购置绩效目标表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13010026P009817101801</w:t>
            </w:r>
          </w:p>
        </w:tc>
        <w:tc>
          <w:tcPr>
            <w:tcW w:w="2835" w:type="dxa"/>
            <w:vAlign w:val="center"/>
          </w:tcPr>
          <w:p>
            <w:pPr>
              <w:pStyle w:val="10"/>
            </w:pPr>
            <w:r>
              <w:t>项目名称</w:t>
            </w:r>
          </w:p>
        </w:tc>
        <w:tc>
          <w:tcPr>
            <w:tcW w:w="6095" w:type="dxa"/>
            <w:gridSpan w:val="3"/>
            <w:vAlign w:val="center"/>
          </w:tcPr>
          <w:p>
            <w:pPr>
              <w:pStyle w:val="12"/>
            </w:pPr>
            <w:r>
              <w:t>专用材料购置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w:t>
            </w:r>
          </w:p>
        </w:tc>
        <w:tc>
          <w:tcPr>
            <w:tcW w:w="2835" w:type="dxa"/>
            <w:vAlign w:val="center"/>
          </w:tcPr>
          <w:p>
            <w:pPr>
              <w:pStyle w:val="10"/>
            </w:pPr>
            <w:r>
              <w:t>其中：财政    资金</w:t>
            </w:r>
          </w:p>
        </w:tc>
        <w:tc>
          <w:tcPr>
            <w:tcW w:w="2551" w:type="dxa"/>
            <w:vAlign w:val="center"/>
          </w:tcPr>
          <w:p>
            <w:pPr>
              <w:pStyle w:val="12"/>
            </w:pPr>
            <w:r>
              <w:t>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及时购买专用材料，保证评审评估工作正常进行。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1.及时购买专用材料，保证评审评估工作正常进行。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专用材料购置数量/种类</w:t>
            </w:r>
          </w:p>
        </w:tc>
        <w:tc>
          <w:tcPr>
            <w:tcW w:w="5386" w:type="dxa"/>
            <w:vAlign w:val="center"/>
          </w:tcPr>
          <w:p>
            <w:pPr>
              <w:pStyle w:val="12"/>
            </w:pPr>
            <w:r>
              <w:t>购买材料的批次</w:t>
            </w:r>
          </w:p>
        </w:tc>
        <w:tc>
          <w:tcPr>
            <w:tcW w:w="2268" w:type="dxa"/>
            <w:vAlign w:val="center"/>
          </w:tcPr>
          <w:p>
            <w:pPr>
              <w:pStyle w:val="12"/>
            </w:pPr>
            <w:r>
              <w:t>≥10批次</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购置设备合格率</w:t>
            </w:r>
          </w:p>
        </w:tc>
        <w:tc>
          <w:tcPr>
            <w:tcW w:w="5386" w:type="dxa"/>
            <w:vAlign w:val="center"/>
          </w:tcPr>
          <w:p>
            <w:pPr>
              <w:pStyle w:val="12"/>
            </w:pPr>
            <w:r>
              <w:t>购置设备合格率</w:t>
            </w:r>
          </w:p>
        </w:tc>
        <w:tc>
          <w:tcPr>
            <w:tcW w:w="2268" w:type="dxa"/>
            <w:vAlign w:val="center"/>
          </w:tcPr>
          <w:p>
            <w:pPr>
              <w:pStyle w:val="12"/>
            </w:pPr>
            <w:r>
              <w:t>100%</w:t>
            </w:r>
          </w:p>
        </w:tc>
        <w:tc>
          <w:tcPr>
            <w:tcW w:w="1276" w:type="dxa"/>
            <w:vAlign w:val="center"/>
          </w:tcPr>
          <w:p>
            <w:pPr>
              <w:pStyle w:val="12"/>
            </w:pPr>
            <w:r>
              <w:t>验收单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专用材料购置完成的时间</w:t>
            </w:r>
          </w:p>
        </w:tc>
        <w:tc>
          <w:tcPr>
            <w:tcW w:w="2268" w:type="dxa"/>
            <w:vAlign w:val="center"/>
          </w:tcPr>
          <w:p>
            <w:pPr>
              <w:pStyle w:val="12"/>
            </w:pPr>
            <w:r>
              <w:t>2026年12月31日前</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单位购置成本</w:t>
            </w:r>
          </w:p>
        </w:tc>
        <w:tc>
          <w:tcPr>
            <w:tcW w:w="5386" w:type="dxa"/>
            <w:vAlign w:val="center"/>
          </w:tcPr>
          <w:p>
            <w:pPr>
              <w:pStyle w:val="12"/>
            </w:pPr>
            <w:r>
              <w:t>平均每批材料的购置成本</w:t>
            </w:r>
          </w:p>
        </w:tc>
        <w:tc>
          <w:tcPr>
            <w:tcW w:w="2268" w:type="dxa"/>
            <w:vAlign w:val="center"/>
          </w:tcPr>
          <w:p>
            <w:pPr>
              <w:pStyle w:val="12"/>
            </w:pPr>
            <w:r>
              <w:t>≤0.78万元/批次</w:t>
            </w:r>
          </w:p>
        </w:tc>
        <w:tc>
          <w:tcPr>
            <w:tcW w:w="1276"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业务保障率</w:t>
            </w:r>
          </w:p>
        </w:tc>
        <w:tc>
          <w:tcPr>
            <w:tcW w:w="5386" w:type="dxa"/>
            <w:vAlign w:val="center"/>
          </w:tcPr>
          <w:p>
            <w:pPr>
              <w:pStyle w:val="12"/>
            </w:pPr>
            <w:r>
              <w:t>通过购置专用材料保障评审业务的正常开展</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7、专用设备维修费绩效目标表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13010026P00462010162K</w:t>
            </w:r>
          </w:p>
        </w:tc>
        <w:tc>
          <w:tcPr>
            <w:tcW w:w="2835" w:type="dxa"/>
            <w:vAlign w:val="center"/>
          </w:tcPr>
          <w:p>
            <w:pPr>
              <w:pStyle w:val="10"/>
            </w:pPr>
            <w:r>
              <w:t>项目名称</w:t>
            </w:r>
          </w:p>
        </w:tc>
        <w:tc>
          <w:tcPr>
            <w:tcW w:w="6095" w:type="dxa"/>
            <w:gridSpan w:val="3"/>
            <w:vAlign w:val="center"/>
          </w:tcPr>
          <w:p>
            <w:pPr>
              <w:pStyle w:val="12"/>
            </w:pPr>
            <w:r>
              <w:t>专用设备维修费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7.80</w:t>
            </w:r>
          </w:p>
        </w:tc>
        <w:tc>
          <w:tcPr>
            <w:tcW w:w="2835" w:type="dxa"/>
            <w:vAlign w:val="center"/>
          </w:tcPr>
          <w:p>
            <w:pPr>
              <w:pStyle w:val="10"/>
            </w:pPr>
            <w:r>
              <w:t>其中：财政    资金</w:t>
            </w:r>
          </w:p>
        </w:tc>
        <w:tc>
          <w:tcPr>
            <w:tcW w:w="2551" w:type="dxa"/>
            <w:vAlign w:val="center"/>
          </w:tcPr>
          <w:p>
            <w:pPr>
              <w:pStyle w:val="12"/>
            </w:pPr>
            <w:r>
              <w:t>7.80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对办公设备进行定期维修及购置耗材，保障评审工作顺利进行。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1.对办公设备进行定期维修及购置耗材，保障评审工作顺利进行。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设备维护数量</w:t>
            </w:r>
          </w:p>
        </w:tc>
        <w:tc>
          <w:tcPr>
            <w:tcW w:w="5386" w:type="dxa"/>
            <w:vAlign w:val="center"/>
          </w:tcPr>
          <w:p>
            <w:pPr>
              <w:pStyle w:val="12"/>
            </w:pPr>
            <w:r>
              <w:t>设备维护数量</w:t>
            </w:r>
          </w:p>
        </w:tc>
        <w:tc>
          <w:tcPr>
            <w:tcW w:w="2268" w:type="dxa"/>
            <w:vAlign w:val="center"/>
          </w:tcPr>
          <w:p>
            <w:pPr>
              <w:pStyle w:val="12"/>
            </w:pPr>
            <w:r>
              <w:t>≥10台</w:t>
            </w:r>
          </w:p>
        </w:tc>
        <w:tc>
          <w:tcPr>
            <w:tcW w:w="1276" w:type="dxa"/>
            <w:vAlign w:val="center"/>
          </w:tcPr>
          <w:p>
            <w:pPr>
              <w:pStyle w:val="12"/>
            </w:pPr>
            <w:r>
              <w:t>实际设备数量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维修设备达标率</w:t>
            </w:r>
          </w:p>
        </w:tc>
        <w:tc>
          <w:tcPr>
            <w:tcW w:w="5386" w:type="dxa"/>
            <w:vAlign w:val="center"/>
          </w:tcPr>
          <w:p>
            <w:pPr>
              <w:pStyle w:val="12"/>
            </w:pPr>
            <w:r>
              <w:t>反映维修维护设施设备的达标情况</w:t>
            </w:r>
          </w:p>
        </w:tc>
        <w:tc>
          <w:tcPr>
            <w:tcW w:w="2268" w:type="dxa"/>
            <w:vAlign w:val="center"/>
          </w:tcPr>
          <w:p>
            <w:pPr>
              <w:pStyle w:val="12"/>
            </w:pPr>
            <w:r>
              <w:t>100%</w:t>
            </w:r>
          </w:p>
        </w:tc>
        <w:tc>
          <w:tcPr>
            <w:tcW w:w="1276" w:type="dxa"/>
            <w:vAlign w:val="center"/>
          </w:tcPr>
          <w:p>
            <w:pPr>
              <w:pStyle w:val="12"/>
            </w:pPr>
            <w:r>
              <w:t>采购合同要求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日常维修及时率（%）</w:t>
            </w:r>
          </w:p>
        </w:tc>
        <w:tc>
          <w:tcPr>
            <w:tcW w:w="5386" w:type="dxa"/>
            <w:vAlign w:val="center"/>
          </w:tcPr>
          <w:p>
            <w:pPr>
              <w:pStyle w:val="12"/>
            </w:pPr>
            <w:r>
              <w:t>有记录维修到场次数占维修到场次数的比率</w:t>
            </w:r>
          </w:p>
        </w:tc>
        <w:tc>
          <w:tcPr>
            <w:tcW w:w="2268" w:type="dxa"/>
            <w:vAlign w:val="center"/>
          </w:tcPr>
          <w:p>
            <w:pPr>
              <w:pStyle w:val="12"/>
            </w:pPr>
            <w:r>
              <w:t>≥95%</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单位维修维护成本</w:t>
            </w:r>
          </w:p>
        </w:tc>
        <w:tc>
          <w:tcPr>
            <w:tcW w:w="5386" w:type="dxa"/>
            <w:vAlign w:val="center"/>
          </w:tcPr>
          <w:p>
            <w:pPr>
              <w:pStyle w:val="12"/>
            </w:pPr>
            <w:r>
              <w:t>反映单位维修维护成本</w:t>
            </w:r>
          </w:p>
        </w:tc>
        <w:tc>
          <w:tcPr>
            <w:tcW w:w="2268" w:type="dxa"/>
            <w:vAlign w:val="center"/>
          </w:tcPr>
          <w:p>
            <w:pPr>
              <w:pStyle w:val="12"/>
            </w:pPr>
            <w:r>
              <w:t>≤0.78台/万元</w:t>
            </w:r>
          </w:p>
        </w:tc>
        <w:tc>
          <w:tcPr>
            <w:tcW w:w="1276"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设备正常运行率</w:t>
            </w:r>
          </w:p>
        </w:tc>
        <w:tc>
          <w:tcPr>
            <w:tcW w:w="5386" w:type="dxa"/>
            <w:vAlign w:val="center"/>
          </w:tcPr>
          <w:p>
            <w:pPr>
              <w:pStyle w:val="12"/>
            </w:pPr>
            <w:r>
              <w:t>设备正常运行的情况</w:t>
            </w:r>
          </w:p>
        </w:tc>
        <w:tc>
          <w:tcPr>
            <w:tcW w:w="2268" w:type="dxa"/>
            <w:vAlign w:val="center"/>
          </w:tcPr>
          <w:p>
            <w:pPr>
              <w:pStyle w:val="12"/>
            </w:pPr>
            <w:r>
              <w:t>≥95%</w:t>
            </w:r>
          </w:p>
        </w:tc>
        <w:tc>
          <w:tcPr>
            <w:tcW w:w="1276" w:type="dxa"/>
            <w:vAlign w:val="center"/>
          </w:tcPr>
          <w:p>
            <w:pPr>
              <w:pStyle w:val="12"/>
            </w:pPr>
            <w:r>
              <w:t>年度工作要求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8、档案寄存整理经费绩效目标表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13010026P009807100286</w:t>
            </w:r>
          </w:p>
        </w:tc>
        <w:tc>
          <w:tcPr>
            <w:tcW w:w="2835" w:type="dxa"/>
            <w:vAlign w:val="center"/>
          </w:tcPr>
          <w:p>
            <w:pPr>
              <w:pStyle w:val="10"/>
            </w:pPr>
            <w:r>
              <w:t>项目名称</w:t>
            </w:r>
          </w:p>
        </w:tc>
        <w:tc>
          <w:tcPr>
            <w:tcW w:w="6095" w:type="dxa"/>
            <w:gridSpan w:val="3"/>
            <w:vAlign w:val="center"/>
          </w:tcPr>
          <w:p>
            <w:pPr>
              <w:pStyle w:val="12"/>
            </w:pPr>
            <w:r>
              <w:t>档案寄存整理经费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委托有资质的档案管理机构对评审业务档案进行整理保存，提高工作效率。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1.委托有资质的档案管理机构对评审业务档案进行整理保存，提高工作效率。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档案寄存箱数</w:t>
            </w:r>
          </w:p>
        </w:tc>
        <w:tc>
          <w:tcPr>
            <w:tcW w:w="5386" w:type="dxa"/>
            <w:vAlign w:val="center"/>
          </w:tcPr>
          <w:p>
            <w:pPr>
              <w:pStyle w:val="12"/>
            </w:pPr>
            <w:r>
              <w:t>档案寄存箱数</w:t>
            </w:r>
          </w:p>
        </w:tc>
        <w:tc>
          <w:tcPr>
            <w:tcW w:w="2268" w:type="dxa"/>
            <w:vAlign w:val="center"/>
          </w:tcPr>
          <w:p>
            <w:pPr>
              <w:pStyle w:val="12"/>
            </w:pPr>
            <w:r>
              <w:t>≥3500箱</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档案整理、存放合格率</w:t>
            </w:r>
          </w:p>
        </w:tc>
        <w:tc>
          <w:tcPr>
            <w:tcW w:w="5386" w:type="dxa"/>
            <w:vAlign w:val="center"/>
          </w:tcPr>
          <w:p>
            <w:pPr>
              <w:pStyle w:val="12"/>
            </w:pPr>
            <w:r>
              <w:t>档案整理、存放合格率</w:t>
            </w:r>
          </w:p>
        </w:tc>
        <w:tc>
          <w:tcPr>
            <w:tcW w:w="2268" w:type="dxa"/>
            <w:vAlign w:val="center"/>
          </w:tcPr>
          <w:p>
            <w:pPr>
              <w:pStyle w:val="12"/>
            </w:pPr>
            <w:r>
              <w:t>100%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交办工作完成率</w:t>
            </w:r>
          </w:p>
        </w:tc>
        <w:tc>
          <w:tcPr>
            <w:tcW w:w="5386" w:type="dxa"/>
            <w:vAlign w:val="center"/>
          </w:tcPr>
          <w:p>
            <w:pPr>
              <w:pStyle w:val="12"/>
            </w:pPr>
            <w:r>
              <w:t>交办工作完成率</w:t>
            </w:r>
          </w:p>
        </w:tc>
        <w:tc>
          <w:tcPr>
            <w:tcW w:w="2268" w:type="dxa"/>
            <w:vAlign w:val="center"/>
          </w:tcPr>
          <w:p>
            <w:pPr>
              <w:pStyle w:val="12"/>
            </w:pPr>
            <w:r>
              <w:t>≥80%</w:t>
            </w:r>
          </w:p>
        </w:tc>
        <w:tc>
          <w:tcPr>
            <w:tcW w:w="1276" w:type="dxa"/>
            <w:vAlign w:val="center"/>
          </w:tcPr>
          <w:p>
            <w:pPr>
              <w:pStyle w:val="12"/>
            </w:pPr>
            <w:r>
              <w:t>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委托业务服务成本</w:t>
            </w:r>
          </w:p>
        </w:tc>
        <w:tc>
          <w:tcPr>
            <w:tcW w:w="5386" w:type="dxa"/>
            <w:vAlign w:val="center"/>
          </w:tcPr>
          <w:p>
            <w:pPr>
              <w:pStyle w:val="12"/>
            </w:pPr>
            <w:r>
              <w:t>委托业务服务成本</w:t>
            </w:r>
          </w:p>
        </w:tc>
        <w:tc>
          <w:tcPr>
            <w:tcW w:w="2268" w:type="dxa"/>
            <w:vAlign w:val="center"/>
          </w:tcPr>
          <w:p>
            <w:pPr>
              <w:pStyle w:val="12"/>
            </w:pPr>
            <w:r>
              <w:t>≤7万元</w:t>
            </w:r>
          </w:p>
        </w:tc>
        <w:tc>
          <w:tcPr>
            <w:tcW w:w="1276" w:type="dxa"/>
            <w:vAlign w:val="center"/>
          </w:tcPr>
          <w:p>
            <w:pPr>
              <w:pStyle w:val="12"/>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档案查询工作正常运转率</w:t>
            </w:r>
          </w:p>
        </w:tc>
        <w:tc>
          <w:tcPr>
            <w:tcW w:w="5386" w:type="dxa"/>
            <w:vAlign w:val="center"/>
          </w:tcPr>
          <w:p>
            <w:pPr>
              <w:pStyle w:val="12"/>
            </w:pPr>
            <w:r>
              <w:t>档案查询工作正常运转率</w:t>
            </w:r>
          </w:p>
        </w:tc>
        <w:tc>
          <w:tcPr>
            <w:tcW w:w="2268" w:type="dxa"/>
            <w:vAlign w:val="center"/>
          </w:tcPr>
          <w:p>
            <w:pPr>
              <w:pStyle w:val="12"/>
            </w:pPr>
            <w:r>
              <w:t>≥90%</w:t>
            </w:r>
          </w:p>
        </w:tc>
        <w:tc>
          <w:tcPr>
            <w:tcW w:w="1276" w:type="dxa"/>
            <w:vAlign w:val="center"/>
          </w:tcPr>
          <w:p>
            <w:pPr>
              <w:pStyle w:val="12"/>
            </w:pPr>
            <w:r>
              <w:t>2026年度工作计划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9、公务用车购置经费绩效目标表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13010026P008055101126</w:t>
            </w:r>
          </w:p>
        </w:tc>
        <w:tc>
          <w:tcPr>
            <w:tcW w:w="2835" w:type="dxa"/>
            <w:vAlign w:val="center"/>
          </w:tcPr>
          <w:p>
            <w:pPr>
              <w:pStyle w:val="10"/>
            </w:pPr>
            <w:r>
              <w:t>项目名称</w:t>
            </w:r>
          </w:p>
        </w:tc>
        <w:tc>
          <w:tcPr>
            <w:tcW w:w="6095" w:type="dxa"/>
            <w:gridSpan w:val="3"/>
            <w:vAlign w:val="center"/>
          </w:tcPr>
          <w:p>
            <w:pPr>
              <w:pStyle w:val="12"/>
            </w:pPr>
            <w:r>
              <w:t>公务用车购置经费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w:t>
            </w:r>
          </w:p>
        </w:tc>
        <w:tc>
          <w:tcPr>
            <w:tcW w:w="2835" w:type="dxa"/>
            <w:vAlign w:val="center"/>
          </w:tcPr>
          <w:p>
            <w:pPr>
              <w:pStyle w:val="10"/>
            </w:pPr>
            <w:r>
              <w:t>其中：财政    资金</w:t>
            </w:r>
          </w:p>
        </w:tc>
        <w:tc>
          <w:tcPr>
            <w:tcW w:w="2551" w:type="dxa"/>
            <w:vAlign w:val="center"/>
          </w:tcPr>
          <w:p>
            <w:pPr>
              <w:pStyle w:val="12"/>
            </w:pPr>
            <w:r>
              <w:t>18.00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购置一辆公务用车，满足单位公务出行任务。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1.满足单位公务出行任务，为单位运转提供保障。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公务用车购置数量</w:t>
            </w:r>
          </w:p>
        </w:tc>
        <w:tc>
          <w:tcPr>
            <w:tcW w:w="2268" w:type="dxa"/>
            <w:vAlign w:val="center"/>
          </w:tcPr>
          <w:p>
            <w:pPr>
              <w:pStyle w:val="12"/>
            </w:pPr>
            <w:r>
              <w:t>1辆</w:t>
            </w:r>
          </w:p>
        </w:tc>
        <w:tc>
          <w:tcPr>
            <w:tcW w:w="1276" w:type="dxa"/>
            <w:vAlign w:val="center"/>
          </w:tcPr>
          <w:p>
            <w:pPr>
              <w:pStyle w:val="12"/>
            </w:pPr>
            <w:r>
              <w:t>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车辆验收合格率</w:t>
            </w:r>
          </w:p>
        </w:tc>
        <w:tc>
          <w:tcPr>
            <w:tcW w:w="5386" w:type="dxa"/>
            <w:vAlign w:val="center"/>
          </w:tcPr>
          <w:p>
            <w:pPr>
              <w:pStyle w:val="12"/>
            </w:pPr>
            <w:r>
              <w:t>车辆验收合格率</w:t>
            </w:r>
          </w:p>
        </w:tc>
        <w:tc>
          <w:tcPr>
            <w:tcW w:w="2268" w:type="dxa"/>
            <w:vAlign w:val="center"/>
          </w:tcPr>
          <w:p>
            <w:pPr>
              <w:pStyle w:val="12"/>
            </w:pPr>
            <w:r>
              <w:t>100%</w:t>
            </w:r>
          </w:p>
        </w:tc>
        <w:tc>
          <w:tcPr>
            <w:tcW w:w="1276" w:type="dxa"/>
            <w:vAlign w:val="center"/>
          </w:tcPr>
          <w:p>
            <w:pPr>
              <w:pStyle w:val="12"/>
            </w:pPr>
            <w:r>
              <w:t>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采购完成时间</w:t>
            </w:r>
          </w:p>
        </w:tc>
        <w:tc>
          <w:tcPr>
            <w:tcW w:w="5386" w:type="dxa"/>
            <w:vAlign w:val="center"/>
          </w:tcPr>
          <w:p>
            <w:pPr>
              <w:pStyle w:val="12"/>
            </w:pPr>
            <w:r>
              <w:t>采购完成时间</w:t>
            </w:r>
          </w:p>
        </w:tc>
        <w:tc>
          <w:tcPr>
            <w:tcW w:w="2268" w:type="dxa"/>
            <w:vAlign w:val="center"/>
          </w:tcPr>
          <w:p>
            <w:pPr>
              <w:pStyle w:val="12"/>
            </w:pPr>
            <w:r>
              <w:t>2026年12月31日前</w:t>
            </w:r>
          </w:p>
        </w:tc>
        <w:tc>
          <w:tcPr>
            <w:tcW w:w="1276" w:type="dxa"/>
            <w:vAlign w:val="center"/>
          </w:tcPr>
          <w:p>
            <w:pPr>
              <w:pStyle w:val="12"/>
            </w:pPr>
            <w:r>
              <w:t>部门工作计划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购置成本</w:t>
            </w:r>
          </w:p>
        </w:tc>
        <w:tc>
          <w:tcPr>
            <w:tcW w:w="5386" w:type="dxa"/>
            <w:vAlign w:val="center"/>
          </w:tcPr>
          <w:p>
            <w:pPr>
              <w:pStyle w:val="12"/>
            </w:pPr>
            <w:r>
              <w:t>车辆购置成本</w:t>
            </w:r>
          </w:p>
        </w:tc>
        <w:tc>
          <w:tcPr>
            <w:tcW w:w="2268" w:type="dxa"/>
            <w:vAlign w:val="center"/>
          </w:tcPr>
          <w:p>
            <w:pPr>
              <w:pStyle w:val="12"/>
            </w:pPr>
            <w:r>
              <w:t>≤18万元</w:t>
            </w:r>
          </w:p>
        </w:tc>
        <w:tc>
          <w:tcPr>
            <w:tcW w:w="1276" w:type="dxa"/>
            <w:vAlign w:val="center"/>
          </w:tcPr>
          <w:p>
            <w:pPr>
              <w:pStyle w:val="12"/>
            </w:pPr>
            <w:r>
              <w:t>配置标准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业务保障能力</w:t>
            </w:r>
          </w:p>
        </w:tc>
        <w:tc>
          <w:tcPr>
            <w:tcW w:w="5386" w:type="dxa"/>
            <w:vAlign w:val="center"/>
          </w:tcPr>
          <w:p>
            <w:pPr>
              <w:pStyle w:val="12"/>
            </w:pPr>
            <w:r>
              <w:t>进一步满足单位用车需求，保障单位正常运转</w:t>
            </w:r>
          </w:p>
        </w:tc>
        <w:tc>
          <w:tcPr>
            <w:tcW w:w="2268" w:type="dxa"/>
            <w:vAlign w:val="center"/>
          </w:tcPr>
          <w:p>
            <w:pPr>
              <w:pStyle w:val="12"/>
            </w:pPr>
            <w:r>
              <w:t>进一步满足单位用车需求</w:t>
            </w:r>
          </w:p>
        </w:tc>
        <w:tc>
          <w:tcPr>
            <w:tcW w:w="1276" w:type="dxa"/>
            <w:vAlign w:val="center"/>
          </w:tcPr>
          <w:p>
            <w:pPr>
              <w:pStyle w:val="12"/>
            </w:pPr>
            <w:r>
              <w:t>部门工作计划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10、评审评估业务服务费绩效目标表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13010026P00986410013J</w:t>
            </w:r>
          </w:p>
        </w:tc>
        <w:tc>
          <w:tcPr>
            <w:tcW w:w="2835" w:type="dxa"/>
            <w:vAlign w:val="center"/>
          </w:tcPr>
          <w:p>
            <w:pPr>
              <w:pStyle w:val="10"/>
            </w:pPr>
            <w:r>
              <w:t>项目名称</w:t>
            </w:r>
          </w:p>
        </w:tc>
        <w:tc>
          <w:tcPr>
            <w:tcW w:w="6095" w:type="dxa"/>
            <w:gridSpan w:val="3"/>
            <w:vAlign w:val="center"/>
          </w:tcPr>
          <w:p>
            <w:pPr>
              <w:pStyle w:val="12"/>
            </w:pPr>
            <w:r>
              <w:t>评审评估业务服务费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1341.00</w:t>
            </w:r>
          </w:p>
        </w:tc>
        <w:tc>
          <w:tcPr>
            <w:tcW w:w="2835" w:type="dxa"/>
            <w:vAlign w:val="center"/>
          </w:tcPr>
          <w:p>
            <w:pPr>
              <w:pStyle w:val="10"/>
            </w:pPr>
            <w:r>
              <w:t>其中：财政    资金</w:t>
            </w:r>
          </w:p>
        </w:tc>
        <w:tc>
          <w:tcPr>
            <w:tcW w:w="2551" w:type="dxa"/>
            <w:vAlign w:val="center"/>
          </w:tcPr>
          <w:p>
            <w:pPr>
              <w:pStyle w:val="12"/>
            </w:pPr>
            <w:r>
              <w:t>1341.00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1.按规定委托中介机构进行项目评审评估，完成评审评估工作，提高评审评估效率。2.聘用专业技术劳务派遣人员，支付劳务费，完成评审评估工作，提高评审评估效率。</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1.1.按规定委托中介机构进行项目评审评估，完成评审评估工作，提高评审评估效率。2.聘用专业技术劳务派遣人员，支付劳务费，完成评审评估工作，提高评审评估效率。</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完成项目数</w:t>
            </w:r>
          </w:p>
        </w:tc>
        <w:tc>
          <w:tcPr>
            <w:tcW w:w="5386" w:type="dxa"/>
            <w:vAlign w:val="center"/>
          </w:tcPr>
          <w:p>
            <w:pPr>
              <w:pStyle w:val="12"/>
            </w:pPr>
            <w:r>
              <w:t>完成支付评审费项目数</w:t>
            </w:r>
          </w:p>
        </w:tc>
        <w:tc>
          <w:tcPr>
            <w:tcW w:w="2268" w:type="dxa"/>
            <w:vAlign w:val="center"/>
          </w:tcPr>
          <w:p>
            <w:pPr>
              <w:pStyle w:val="12"/>
            </w:pPr>
            <w:r>
              <w:t>≥290个</w:t>
            </w:r>
          </w:p>
        </w:tc>
        <w:tc>
          <w:tcPr>
            <w:tcW w:w="1276" w:type="dxa"/>
            <w:vAlign w:val="center"/>
          </w:tcPr>
          <w:p>
            <w:pPr>
              <w:pStyle w:val="12"/>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聘用劳务派遣人数</w:t>
            </w:r>
          </w:p>
        </w:tc>
        <w:tc>
          <w:tcPr>
            <w:tcW w:w="5386" w:type="dxa"/>
            <w:vAlign w:val="center"/>
          </w:tcPr>
          <w:p>
            <w:pPr>
              <w:pStyle w:val="12"/>
            </w:pPr>
            <w:r>
              <w:t>聘用劳务派遣人数</w:t>
            </w:r>
          </w:p>
        </w:tc>
        <w:tc>
          <w:tcPr>
            <w:tcW w:w="2268" w:type="dxa"/>
            <w:vAlign w:val="center"/>
          </w:tcPr>
          <w:p>
            <w:pPr>
              <w:pStyle w:val="12"/>
            </w:pPr>
            <w:r>
              <w:t>≥21人</w:t>
            </w:r>
          </w:p>
        </w:tc>
        <w:tc>
          <w:tcPr>
            <w:tcW w:w="1276" w:type="dxa"/>
            <w:vAlign w:val="center"/>
          </w:tcPr>
          <w:p>
            <w:pPr>
              <w:pStyle w:val="12"/>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劳务派遣人员考核通过率</w:t>
            </w:r>
          </w:p>
        </w:tc>
        <w:tc>
          <w:tcPr>
            <w:tcW w:w="5386" w:type="dxa"/>
            <w:vAlign w:val="center"/>
          </w:tcPr>
          <w:p>
            <w:pPr>
              <w:pStyle w:val="12"/>
            </w:pPr>
            <w:r>
              <w:t>劳务派遣人员考核通过率</w:t>
            </w:r>
          </w:p>
        </w:tc>
        <w:tc>
          <w:tcPr>
            <w:tcW w:w="2268" w:type="dxa"/>
            <w:vAlign w:val="center"/>
          </w:tcPr>
          <w:p>
            <w:pPr>
              <w:pStyle w:val="12"/>
            </w:pPr>
            <w:r>
              <w:t>≥90%</w:t>
            </w:r>
          </w:p>
        </w:tc>
        <w:tc>
          <w:tcPr>
            <w:tcW w:w="1276" w:type="dxa"/>
            <w:vAlign w:val="center"/>
          </w:tcPr>
          <w:p>
            <w:pPr>
              <w:pStyle w:val="12"/>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单项目考核低于60分项目数</w:t>
            </w:r>
          </w:p>
        </w:tc>
        <w:tc>
          <w:tcPr>
            <w:tcW w:w="5386" w:type="dxa"/>
            <w:vAlign w:val="center"/>
          </w:tcPr>
          <w:p>
            <w:pPr>
              <w:pStyle w:val="12"/>
            </w:pPr>
            <w:r>
              <w:t>单项目考核低于60分项目数</w:t>
            </w:r>
          </w:p>
        </w:tc>
        <w:tc>
          <w:tcPr>
            <w:tcW w:w="2268" w:type="dxa"/>
            <w:vAlign w:val="center"/>
          </w:tcPr>
          <w:p>
            <w:pPr>
              <w:pStyle w:val="12"/>
            </w:pPr>
            <w:r>
              <w:t>≤20个</w:t>
            </w:r>
          </w:p>
        </w:tc>
        <w:tc>
          <w:tcPr>
            <w:tcW w:w="1276" w:type="dxa"/>
            <w:vAlign w:val="center"/>
          </w:tcPr>
          <w:p>
            <w:pPr>
              <w:pStyle w:val="12"/>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劳动派遣人均成本</w:t>
            </w:r>
          </w:p>
        </w:tc>
        <w:tc>
          <w:tcPr>
            <w:tcW w:w="5386" w:type="dxa"/>
            <w:vAlign w:val="center"/>
          </w:tcPr>
          <w:p>
            <w:pPr>
              <w:pStyle w:val="12"/>
            </w:pPr>
            <w:r>
              <w:t>劳动派遣人均成本</w:t>
            </w:r>
          </w:p>
        </w:tc>
        <w:tc>
          <w:tcPr>
            <w:tcW w:w="2268" w:type="dxa"/>
            <w:vAlign w:val="center"/>
          </w:tcPr>
          <w:p>
            <w:pPr>
              <w:pStyle w:val="12"/>
            </w:pPr>
            <w:r>
              <w:t>≤13万元/人</w:t>
            </w:r>
          </w:p>
        </w:tc>
        <w:tc>
          <w:tcPr>
            <w:tcW w:w="1276" w:type="dxa"/>
            <w:vAlign w:val="center"/>
          </w:tcPr>
          <w:p>
            <w:pPr>
              <w:pStyle w:val="12"/>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按期提交初审的项目比例</w:t>
            </w:r>
          </w:p>
        </w:tc>
        <w:tc>
          <w:tcPr>
            <w:tcW w:w="5386" w:type="dxa"/>
            <w:vAlign w:val="center"/>
          </w:tcPr>
          <w:p>
            <w:pPr>
              <w:pStyle w:val="12"/>
            </w:pPr>
            <w:r>
              <w:t>中介机构按期提交初审项目数占完成支付评审费项目数的比例</w:t>
            </w:r>
          </w:p>
        </w:tc>
        <w:tc>
          <w:tcPr>
            <w:tcW w:w="2268" w:type="dxa"/>
            <w:vAlign w:val="center"/>
          </w:tcPr>
          <w:p>
            <w:pPr>
              <w:pStyle w:val="12"/>
            </w:pPr>
            <w:r>
              <w:t>≥70%</w:t>
            </w:r>
          </w:p>
        </w:tc>
        <w:tc>
          <w:tcPr>
            <w:tcW w:w="1276" w:type="dxa"/>
            <w:vAlign w:val="center"/>
          </w:tcPr>
          <w:p>
            <w:pPr>
              <w:pStyle w:val="12"/>
            </w:pPr>
            <w:r>
              <w:t>参考以往年度经验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评审工作正常开展率</w:t>
            </w:r>
          </w:p>
        </w:tc>
        <w:tc>
          <w:tcPr>
            <w:tcW w:w="5386" w:type="dxa"/>
            <w:vAlign w:val="center"/>
          </w:tcPr>
          <w:p>
            <w:pPr>
              <w:pStyle w:val="12"/>
            </w:pPr>
            <w:r>
              <w:t>评审工作正常开展率</w:t>
            </w:r>
          </w:p>
        </w:tc>
        <w:tc>
          <w:tcPr>
            <w:tcW w:w="2268" w:type="dxa"/>
            <w:vAlign w:val="center"/>
          </w:tcPr>
          <w:p>
            <w:pPr>
              <w:pStyle w:val="12"/>
            </w:pPr>
            <w:r>
              <w:t>≥90%</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1401.93</w:t>
            </w:r>
          </w:p>
        </w:tc>
        <w:tc>
          <w:tcPr>
            <w:tcW w:w="964" w:type="dxa"/>
            <w:vAlign w:val="center"/>
          </w:tcPr>
          <w:p>
            <w:pPr>
              <w:pStyle w:val="15"/>
            </w:pPr>
            <w:r>
              <w:t>1401.93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石家庄市建设项目评审评估中心（本级）</w:t>
            </w:r>
            <w:r>
              <w:tab/>
            </w:r>
            <w:r>
              <w:tab/>
            </w:r>
            <w:r>
              <w:tab/>
            </w:r>
            <w:r>
              <w:tab/>
            </w:r>
          </w:p>
          <w:p>
            <w:pPr>
              <w:pStyle w:val="14"/>
            </w:pPr>
            <w:r>
              <w:t>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1401.93</w:t>
            </w:r>
          </w:p>
        </w:tc>
        <w:tc>
          <w:tcPr>
            <w:tcW w:w="964" w:type="dxa"/>
            <w:vAlign w:val="center"/>
          </w:tcPr>
          <w:p>
            <w:pPr>
              <w:pStyle w:val="15"/>
            </w:pPr>
            <w:r>
              <w:t>1401.93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1381.17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58.46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700</w:t>
            </w:r>
          </w:p>
        </w:tc>
        <w:tc>
          <w:tcPr>
            <w:tcW w:w="850" w:type="dxa"/>
            <w:vAlign w:val="center"/>
          </w:tcPr>
          <w:p>
            <w:pPr>
              <w:pStyle w:val="11"/>
            </w:pPr>
            <w:r>
              <w:t>0.00</w:t>
            </w:r>
          </w:p>
        </w:tc>
        <w:tc>
          <w:tcPr>
            <w:tcW w:w="964" w:type="dxa"/>
            <w:vAlign w:val="center"/>
          </w:tcPr>
          <w:p>
            <w:pPr>
              <w:pStyle w:val="11"/>
            </w:pPr>
            <w:r>
              <w:t>1.54</w:t>
            </w:r>
          </w:p>
        </w:tc>
        <w:tc>
          <w:tcPr>
            <w:tcW w:w="964" w:type="dxa"/>
            <w:vAlign w:val="center"/>
          </w:tcPr>
          <w:p>
            <w:pPr>
              <w:pStyle w:val="11"/>
            </w:pPr>
            <w:r>
              <w:t>1.54</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58.46</w:t>
            </w:r>
          </w:p>
        </w:tc>
        <w:tc>
          <w:tcPr>
            <w:tcW w:w="1134" w:type="dxa"/>
            <w:vAlign w:val="center"/>
          </w:tcPr>
          <w:p>
            <w:pPr>
              <w:pStyle w:val="12"/>
            </w:pPr>
            <w:r>
              <w:t>财产保险服务</w:t>
            </w:r>
          </w:p>
        </w:tc>
        <w:tc>
          <w:tcPr>
            <w:tcW w:w="1134" w:type="dxa"/>
            <w:vAlign w:val="center"/>
          </w:tcPr>
          <w:p>
            <w:pPr>
              <w:pStyle w:val="12"/>
            </w:pPr>
            <w:r>
              <w:t>C18040102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0.90</w:t>
            </w:r>
          </w:p>
        </w:tc>
        <w:tc>
          <w:tcPr>
            <w:tcW w:w="964" w:type="dxa"/>
            <w:vAlign w:val="center"/>
          </w:tcPr>
          <w:p>
            <w:pPr>
              <w:pStyle w:val="11"/>
            </w:pPr>
            <w:r>
              <w:t>0.90</w:t>
            </w:r>
          </w:p>
        </w:tc>
        <w:tc>
          <w:tcPr>
            <w:tcW w:w="964" w:type="dxa"/>
            <w:vAlign w:val="center"/>
          </w:tcPr>
          <w:p>
            <w:pPr>
              <w:pStyle w:val="11"/>
            </w:pPr>
            <w:r>
              <w:t>0.90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58.46</w:t>
            </w:r>
          </w:p>
        </w:tc>
        <w:tc>
          <w:tcPr>
            <w:tcW w:w="1134" w:type="dxa"/>
            <w:vAlign w:val="center"/>
          </w:tcPr>
          <w:p>
            <w:pPr>
              <w:pStyle w:val="12"/>
            </w:pPr>
            <w:r>
              <w:t>车辆维修和保养服务</w:t>
            </w:r>
          </w:p>
        </w:tc>
        <w:tc>
          <w:tcPr>
            <w:tcW w:w="1134" w:type="dxa"/>
            <w:vAlign w:val="center"/>
          </w:tcPr>
          <w:p>
            <w:pPr>
              <w:pStyle w:val="12"/>
            </w:pPr>
            <w:r>
              <w:t>C23120301</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1.58</w:t>
            </w:r>
          </w:p>
        </w:tc>
        <w:tc>
          <w:tcPr>
            <w:tcW w:w="964" w:type="dxa"/>
            <w:vAlign w:val="center"/>
          </w:tcPr>
          <w:p>
            <w:pPr>
              <w:pStyle w:val="11"/>
            </w:pPr>
            <w:r>
              <w:t>1.58</w:t>
            </w:r>
          </w:p>
        </w:tc>
        <w:tc>
          <w:tcPr>
            <w:tcW w:w="964" w:type="dxa"/>
            <w:vAlign w:val="center"/>
          </w:tcPr>
          <w:p>
            <w:pPr>
              <w:pStyle w:val="11"/>
            </w:pPr>
            <w:r>
              <w:t>1.58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公用经费1</w:t>
            </w:r>
          </w:p>
        </w:tc>
        <w:tc>
          <w:tcPr>
            <w:tcW w:w="964" w:type="dxa"/>
            <w:vAlign w:val="center"/>
          </w:tcPr>
          <w:p>
            <w:pPr>
              <w:pStyle w:val="11"/>
            </w:pPr>
            <w:r>
              <w:t>58.46</w:t>
            </w:r>
          </w:p>
        </w:tc>
        <w:tc>
          <w:tcPr>
            <w:tcW w:w="1134" w:type="dxa"/>
            <w:vAlign w:val="center"/>
          </w:tcPr>
          <w:p>
            <w:pPr>
              <w:pStyle w:val="12"/>
            </w:pPr>
            <w:r>
              <w:t>车辆加油、添加燃料服务</w:t>
            </w:r>
          </w:p>
        </w:tc>
        <w:tc>
          <w:tcPr>
            <w:tcW w:w="1134" w:type="dxa"/>
            <w:vAlign w:val="center"/>
          </w:tcPr>
          <w:p>
            <w:pPr>
              <w:pStyle w:val="12"/>
            </w:pPr>
            <w:r>
              <w:t>C23120302</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1.86</w:t>
            </w:r>
          </w:p>
        </w:tc>
        <w:tc>
          <w:tcPr>
            <w:tcW w:w="964" w:type="dxa"/>
            <w:vAlign w:val="center"/>
          </w:tcPr>
          <w:p>
            <w:pPr>
              <w:pStyle w:val="11"/>
            </w:pPr>
            <w:r>
              <w:t>1.86</w:t>
            </w:r>
          </w:p>
        </w:tc>
        <w:tc>
          <w:tcPr>
            <w:tcW w:w="964" w:type="dxa"/>
            <w:vAlign w:val="center"/>
          </w:tcPr>
          <w:p>
            <w:pPr>
              <w:pStyle w:val="11"/>
            </w:pPr>
            <w:r>
              <w:t>1.86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15</w:t>
            </w:r>
          </w:p>
        </w:tc>
        <w:tc>
          <w:tcPr>
            <w:tcW w:w="850" w:type="dxa"/>
            <w:vAlign w:val="center"/>
          </w:tcPr>
          <w:p>
            <w:pPr>
              <w:pStyle w:val="11"/>
            </w:pPr>
            <w:r>
              <w:t>0.50</w:t>
            </w:r>
          </w:p>
        </w:tc>
        <w:tc>
          <w:tcPr>
            <w:tcW w:w="964" w:type="dxa"/>
            <w:vAlign w:val="center"/>
          </w:tcPr>
          <w:p>
            <w:pPr>
              <w:pStyle w:val="11"/>
            </w:pPr>
            <w:r>
              <w:t>7.50</w:t>
            </w:r>
          </w:p>
        </w:tc>
        <w:tc>
          <w:tcPr>
            <w:tcW w:w="964" w:type="dxa"/>
            <w:vAlign w:val="center"/>
          </w:tcPr>
          <w:p>
            <w:pPr>
              <w:pStyle w:val="11"/>
            </w:pPr>
            <w:r>
              <w:t>7.50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个</w:t>
            </w:r>
          </w:p>
        </w:tc>
        <w:tc>
          <w:tcPr>
            <w:tcW w:w="850" w:type="dxa"/>
            <w:vAlign w:val="center"/>
          </w:tcPr>
          <w:p>
            <w:pPr>
              <w:pStyle w:val="11"/>
            </w:pPr>
            <w:r>
              <w:t>3</w:t>
            </w:r>
          </w:p>
        </w:tc>
        <w:tc>
          <w:tcPr>
            <w:tcW w:w="850" w:type="dxa"/>
            <w:vAlign w:val="center"/>
          </w:tcPr>
          <w:p>
            <w:pPr>
              <w:pStyle w:val="11"/>
            </w:pPr>
            <w:r>
              <w:t>0.60</w:t>
            </w:r>
          </w:p>
        </w:tc>
        <w:tc>
          <w:tcPr>
            <w:tcW w:w="964" w:type="dxa"/>
            <w:vAlign w:val="center"/>
          </w:tcPr>
          <w:p>
            <w:pPr>
              <w:pStyle w:val="11"/>
            </w:pPr>
            <w:r>
              <w:t>1.80</w:t>
            </w:r>
          </w:p>
        </w:tc>
        <w:tc>
          <w:tcPr>
            <w:tcW w:w="964" w:type="dxa"/>
            <w:vAlign w:val="center"/>
          </w:tcPr>
          <w:p>
            <w:pPr>
              <w:pStyle w:val="11"/>
            </w:pPr>
            <w:r>
              <w:t>1.80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A4 黑白打印机</w:t>
            </w:r>
          </w:p>
        </w:tc>
        <w:tc>
          <w:tcPr>
            <w:tcW w:w="1134" w:type="dxa"/>
            <w:vAlign w:val="center"/>
          </w:tcPr>
          <w:p>
            <w:pPr>
              <w:pStyle w:val="12"/>
            </w:pPr>
            <w:r>
              <w:t>A02021003</w:t>
            </w:r>
          </w:p>
        </w:tc>
        <w:tc>
          <w:tcPr>
            <w:tcW w:w="709" w:type="dxa"/>
            <w:vAlign w:val="center"/>
          </w:tcPr>
          <w:p>
            <w:pPr>
              <w:pStyle w:val="13"/>
            </w:pPr>
            <w:r>
              <w:t>台</w:t>
            </w:r>
          </w:p>
        </w:tc>
        <w:tc>
          <w:tcPr>
            <w:tcW w:w="850" w:type="dxa"/>
            <w:vAlign w:val="center"/>
          </w:tcPr>
          <w:p>
            <w:pPr>
              <w:pStyle w:val="11"/>
            </w:pPr>
            <w:r>
              <w:t>12</w:t>
            </w:r>
          </w:p>
        </w:tc>
        <w:tc>
          <w:tcPr>
            <w:tcW w:w="850" w:type="dxa"/>
            <w:vAlign w:val="center"/>
          </w:tcPr>
          <w:p>
            <w:pPr>
              <w:pStyle w:val="11"/>
            </w:pPr>
            <w:r>
              <w:t>0.20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碎纸机</w:t>
            </w:r>
          </w:p>
        </w:tc>
        <w:tc>
          <w:tcPr>
            <w:tcW w:w="1134" w:type="dxa"/>
            <w:vAlign w:val="center"/>
          </w:tcPr>
          <w:p>
            <w:pPr>
              <w:pStyle w:val="12"/>
            </w:pPr>
            <w:r>
              <w:t>A02021301</w:t>
            </w:r>
          </w:p>
        </w:tc>
        <w:tc>
          <w:tcPr>
            <w:tcW w:w="709" w:type="dxa"/>
            <w:vAlign w:val="center"/>
          </w:tcPr>
          <w:p>
            <w:pPr>
              <w:pStyle w:val="13"/>
            </w:pPr>
            <w:r>
              <w:t>个</w:t>
            </w:r>
          </w:p>
        </w:tc>
        <w:tc>
          <w:tcPr>
            <w:tcW w:w="850" w:type="dxa"/>
            <w:vAlign w:val="center"/>
          </w:tcPr>
          <w:p>
            <w:pPr>
              <w:pStyle w:val="11"/>
            </w:pPr>
            <w:r>
              <w:t>5</w:t>
            </w:r>
          </w:p>
        </w:tc>
        <w:tc>
          <w:tcPr>
            <w:tcW w:w="850" w:type="dxa"/>
            <w:vAlign w:val="center"/>
          </w:tcPr>
          <w:p>
            <w:pPr>
              <w:pStyle w:val="11"/>
            </w:pPr>
            <w:r>
              <w:t>0.10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办公桌</w:t>
            </w:r>
          </w:p>
        </w:tc>
        <w:tc>
          <w:tcPr>
            <w:tcW w:w="1134" w:type="dxa"/>
            <w:vAlign w:val="center"/>
          </w:tcPr>
          <w:p>
            <w:pPr>
              <w:pStyle w:val="12"/>
            </w:pPr>
            <w:r>
              <w:t>A05010201</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0.15</w:t>
            </w:r>
          </w:p>
        </w:tc>
        <w:tc>
          <w:tcPr>
            <w:tcW w:w="964" w:type="dxa"/>
            <w:vAlign w:val="center"/>
          </w:tcPr>
          <w:p>
            <w:pPr>
              <w:pStyle w:val="11"/>
            </w:pPr>
            <w:r>
              <w:t>1.50</w:t>
            </w:r>
          </w:p>
        </w:tc>
        <w:tc>
          <w:tcPr>
            <w:tcW w:w="964" w:type="dxa"/>
            <w:vAlign w:val="center"/>
          </w:tcPr>
          <w:p>
            <w:pPr>
              <w:pStyle w:val="11"/>
            </w:pPr>
            <w:r>
              <w:t>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办公椅</w:t>
            </w:r>
          </w:p>
        </w:tc>
        <w:tc>
          <w:tcPr>
            <w:tcW w:w="1134" w:type="dxa"/>
            <w:vAlign w:val="center"/>
          </w:tcPr>
          <w:p>
            <w:pPr>
              <w:pStyle w:val="12"/>
            </w:pPr>
            <w:r>
              <w:t>A05010301</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0.04</w:t>
            </w:r>
          </w:p>
        </w:tc>
        <w:tc>
          <w:tcPr>
            <w:tcW w:w="964" w:type="dxa"/>
            <w:vAlign w:val="center"/>
          </w:tcPr>
          <w:p>
            <w:pPr>
              <w:pStyle w:val="11"/>
            </w:pPr>
            <w:r>
              <w:t>0.35</w:t>
            </w:r>
          </w:p>
        </w:tc>
        <w:tc>
          <w:tcPr>
            <w:tcW w:w="964" w:type="dxa"/>
            <w:vAlign w:val="center"/>
          </w:tcPr>
          <w:p>
            <w:pPr>
              <w:pStyle w:val="11"/>
            </w:pPr>
            <w:r>
              <w:t>0.35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办公设备购置</w:t>
            </w:r>
          </w:p>
        </w:tc>
        <w:tc>
          <w:tcPr>
            <w:tcW w:w="964" w:type="dxa"/>
            <w:vAlign w:val="center"/>
          </w:tcPr>
          <w:p>
            <w:pPr>
              <w:pStyle w:val="11"/>
            </w:pPr>
            <w:r>
              <w:t>17.05</w:t>
            </w:r>
          </w:p>
        </w:tc>
        <w:tc>
          <w:tcPr>
            <w:tcW w:w="1134" w:type="dxa"/>
            <w:vAlign w:val="center"/>
          </w:tcPr>
          <w:p>
            <w:pPr>
              <w:pStyle w:val="12"/>
            </w:pPr>
            <w:r>
              <w:t>文件柜</w:t>
            </w:r>
          </w:p>
        </w:tc>
        <w:tc>
          <w:tcPr>
            <w:tcW w:w="1134" w:type="dxa"/>
            <w:vAlign w:val="center"/>
          </w:tcPr>
          <w:p>
            <w:pPr>
              <w:pStyle w:val="12"/>
            </w:pPr>
            <w:r>
              <w:t>A05010502</w:t>
            </w:r>
          </w:p>
        </w:tc>
        <w:tc>
          <w:tcPr>
            <w:tcW w:w="709" w:type="dxa"/>
            <w:vAlign w:val="center"/>
          </w:tcPr>
          <w:p>
            <w:pPr>
              <w:pStyle w:val="13"/>
            </w:pPr>
            <w:r>
              <w:t>个</w:t>
            </w:r>
          </w:p>
        </w:tc>
        <w:tc>
          <w:tcPr>
            <w:tcW w:w="850" w:type="dxa"/>
            <w:vAlign w:val="center"/>
          </w:tcPr>
          <w:p>
            <w:pPr>
              <w:pStyle w:val="11"/>
            </w:pPr>
            <w:r>
              <w:t>10</w:t>
            </w:r>
          </w:p>
        </w:tc>
        <w:tc>
          <w:tcPr>
            <w:tcW w:w="850" w:type="dxa"/>
            <w:vAlign w:val="center"/>
          </w:tcPr>
          <w:p>
            <w:pPr>
              <w:pStyle w:val="11"/>
            </w:pPr>
            <w:r>
              <w:t>0.10</w:t>
            </w:r>
          </w:p>
        </w:tc>
        <w:tc>
          <w:tcPr>
            <w:tcW w:w="964" w:type="dxa"/>
            <w:vAlign w:val="center"/>
          </w:tcPr>
          <w:p>
            <w:pPr>
              <w:pStyle w:val="11"/>
            </w:pPr>
            <w:r>
              <w:t>1.00</w:t>
            </w:r>
          </w:p>
        </w:tc>
        <w:tc>
          <w:tcPr>
            <w:tcW w:w="964" w:type="dxa"/>
            <w:vAlign w:val="center"/>
          </w:tcPr>
          <w:p>
            <w:pPr>
              <w:pStyle w:val="11"/>
            </w:pPr>
            <w:r>
              <w:t>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文件资料印刷费</w:t>
            </w:r>
          </w:p>
        </w:tc>
        <w:tc>
          <w:tcPr>
            <w:tcW w:w="964" w:type="dxa"/>
            <w:vAlign w:val="center"/>
          </w:tcPr>
          <w:p>
            <w:pPr>
              <w:pStyle w:val="11"/>
            </w:pPr>
            <w:r>
              <w:t>20.00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20</w:t>
            </w:r>
          </w:p>
        </w:tc>
        <w:tc>
          <w:tcPr>
            <w:tcW w:w="850" w:type="dxa"/>
            <w:vAlign w:val="center"/>
          </w:tcPr>
          <w:p>
            <w:pPr>
              <w:pStyle w:val="11"/>
            </w:pPr>
            <w:r>
              <w:t>1.00</w:t>
            </w:r>
          </w:p>
        </w:tc>
        <w:tc>
          <w:tcPr>
            <w:tcW w:w="964" w:type="dxa"/>
            <w:vAlign w:val="center"/>
          </w:tcPr>
          <w:p>
            <w:pPr>
              <w:pStyle w:val="11"/>
            </w:pPr>
            <w:r>
              <w:t>20.00</w:t>
            </w:r>
          </w:p>
        </w:tc>
        <w:tc>
          <w:tcPr>
            <w:tcW w:w="964" w:type="dxa"/>
            <w:vAlign w:val="center"/>
          </w:tcPr>
          <w:p>
            <w:pPr>
              <w:pStyle w:val="11"/>
            </w:pPr>
            <w:r>
              <w:t>20.00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公务用车购置经费</w:t>
            </w:r>
          </w:p>
        </w:tc>
        <w:tc>
          <w:tcPr>
            <w:tcW w:w="964" w:type="dxa"/>
            <w:vAlign w:val="center"/>
          </w:tcPr>
          <w:p>
            <w:pPr>
              <w:pStyle w:val="11"/>
            </w:pPr>
            <w:r>
              <w:t>18.00</w:t>
            </w:r>
          </w:p>
        </w:tc>
        <w:tc>
          <w:tcPr>
            <w:tcW w:w="1134" w:type="dxa"/>
            <w:vAlign w:val="center"/>
          </w:tcPr>
          <w:p>
            <w:pPr>
              <w:pStyle w:val="12"/>
            </w:pPr>
            <w:r>
              <w:t>轿车</w:t>
            </w:r>
          </w:p>
        </w:tc>
        <w:tc>
          <w:tcPr>
            <w:tcW w:w="1134" w:type="dxa"/>
            <w:vAlign w:val="center"/>
          </w:tcPr>
          <w:p>
            <w:pPr>
              <w:pStyle w:val="12"/>
            </w:pPr>
            <w:r>
              <w:t>A02030501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18.00</w:t>
            </w:r>
          </w:p>
        </w:tc>
        <w:tc>
          <w:tcPr>
            <w:tcW w:w="964" w:type="dxa"/>
            <w:vAlign w:val="center"/>
          </w:tcPr>
          <w:p>
            <w:pPr>
              <w:pStyle w:val="11"/>
            </w:pPr>
            <w:r>
              <w:t>18.00</w:t>
            </w:r>
          </w:p>
        </w:tc>
        <w:tc>
          <w:tcPr>
            <w:tcW w:w="964" w:type="dxa"/>
            <w:vAlign w:val="center"/>
          </w:tcPr>
          <w:p>
            <w:pPr>
              <w:pStyle w:val="11"/>
            </w:pPr>
            <w:r>
              <w:t>18.00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评审评估业务服务费</w:t>
            </w:r>
          </w:p>
        </w:tc>
        <w:tc>
          <w:tcPr>
            <w:tcW w:w="964" w:type="dxa"/>
            <w:vAlign w:val="center"/>
          </w:tcPr>
          <w:p>
            <w:pPr>
              <w:pStyle w:val="11"/>
            </w:pPr>
            <w:r>
              <w:t>1341.00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项</w:t>
            </w:r>
          </w:p>
        </w:tc>
        <w:tc>
          <w:tcPr>
            <w:tcW w:w="850" w:type="dxa"/>
            <w:vAlign w:val="center"/>
          </w:tcPr>
          <w:p>
            <w:pPr>
              <w:pStyle w:val="11"/>
            </w:pPr>
            <w:r>
              <w:t>1341</w:t>
            </w:r>
          </w:p>
        </w:tc>
        <w:tc>
          <w:tcPr>
            <w:tcW w:w="850" w:type="dxa"/>
            <w:vAlign w:val="center"/>
          </w:tcPr>
          <w:p>
            <w:pPr>
              <w:pStyle w:val="11"/>
            </w:pPr>
            <w:r>
              <w:t>1.00</w:t>
            </w:r>
          </w:p>
        </w:tc>
        <w:tc>
          <w:tcPr>
            <w:tcW w:w="964" w:type="dxa"/>
            <w:vAlign w:val="center"/>
          </w:tcPr>
          <w:p>
            <w:pPr>
              <w:pStyle w:val="11"/>
            </w:pPr>
            <w:r>
              <w:t>1341.00</w:t>
            </w:r>
          </w:p>
        </w:tc>
        <w:tc>
          <w:tcPr>
            <w:tcW w:w="964" w:type="dxa"/>
            <w:vAlign w:val="center"/>
          </w:tcPr>
          <w:p>
            <w:pPr>
              <w:pStyle w:val="11"/>
            </w:pPr>
            <w:r>
              <w:t>1341.00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1341.00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石家庄市建设项目评审评估中心（本级）</w:t>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ab/>
      </w:r>
      <w:r>
        <w:rPr>
          <w:rFonts w:ascii="Times New Roman" w:hAnsi="Times New Roman" w:eastAsia="方正仿宋_GBK" w:cs="Times New Roman"/>
          <w:b w:val="0"/>
          <w:color w:val="000000"/>
          <w:sz w:val="28"/>
        </w:rPr>
        <w:tab/>
      </w:r>
    </w:p>
    <w:p>
      <w:pPr>
        <w:spacing w:before="0" w:after="0" w:line="500" w:lineRule="exact"/>
        <w:ind w:firstLine="560"/>
        <w:jc w:val="left"/>
        <w:outlineLvl w:val="9"/>
      </w:pPr>
      <w:r>
        <w:rPr>
          <w:rFonts w:ascii="Times New Roman" w:hAnsi="Times New Roman" w:eastAsia="方正仿宋_GBK" w:cs="Times New Roman"/>
          <w:b w:val="0"/>
          <w:color w:val="000000"/>
          <w:sz w:val="28"/>
        </w:rPr>
        <w:t>上年末固定资产金额为6006515.16万元（详见下表）。本年度拟购置固定资产总额为17.05万元，已按要求列入政府采购预算，详见政府采购预算表。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811001石家庄市建设项目评审评估中心（本级）</w:t>
            </w:r>
            <w:r>
              <w:tab/>
            </w:r>
            <w:r>
              <w:tab/>
            </w:r>
            <w:r>
              <w:tab/>
            </w:r>
            <w:r>
              <w:tab/>
            </w:r>
          </w:p>
          <w:p>
            <w:pPr>
              <w:pStyle w:val="9"/>
            </w:pP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6006515.16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439800.00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1697</w:t>
            </w:r>
          </w:p>
        </w:tc>
        <w:tc>
          <w:tcPr>
            <w:tcW w:w="2835" w:type="dxa"/>
            <w:vAlign w:val="center"/>
          </w:tcPr>
          <w:p>
            <w:pPr>
              <w:pStyle w:val="11"/>
            </w:pPr>
            <w:r>
              <w:t>5566715.16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AA50E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2026-02-10T10:11:00Z</dcterms:created>
  <dc:creator>Administrator</dc:creator>
  <cp:lastModifiedBy>Administrator</cp:lastModifiedBy>
  <dcterms:modified xsi:type="dcterms:W3CDTF">2026-02-10T03:09:04Z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6C8DD65DAD4C401C94CC2767D1906F07</vt:lpwstr>
  </property>
</Properties>
</file>