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1402.59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1110.82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1402.59</w:t>
            </w:r>
          </w:p>
        </w:tc>
        <w:tc>
          <w:tcPr>
            <w:tcW w:w="4535" w:type="dxa"/>
            <w:vAlign w:val="center"/>
          </w:tcPr>
          <w:p>
            <w:pPr>
              <w:pStyle w:val="14"/>
            </w:pPr>
            <w:r>
              <w:t>本年支出合计</w:t>
            </w:r>
          </w:p>
        </w:tc>
        <w:tc>
          <w:tcPr>
            <w:tcW w:w="2126" w:type="dxa"/>
            <w:vAlign w:val="center"/>
          </w:tcPr>
          <w:p>
            <w:pPr>
              <w:pStyle w:val="15"/>
            </w:pPr>
            <w:r>
              <w:t>1402.59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1402.59</w:t>
            </w:r>
          </w:p>
        </w:tc>
        <w:tc>
          <w:tcPr>
            <w:tcW w:w="4535" w:type="dxa"/>
            <w:vAlign w:val="center"/>
          </w:tcPr>
          <w:p>
            <w:pPr>
              <w:pStyle w:val="14"/>
            </w:pPr>
            <w:r>
              <w:t>支出总计</w:t>
            </w:r>
          </w:p>
        </w:tc>
        <w:tc>
          <w:tcPr>
            <w:tcW w:w="2126" w:type="dxa"/>
            <w:vAlign w:val="center"/>
          </w:tcPr>
          <w:p>
            <w:pPr>
              <w:pStyle w:val="15"/>
            </w:pPr>
            <w:r>
              <w:t>1402.59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1402.59</w:t>
            </w:r>
          </w:p>
        </w:tc>
        <w:tc>
          <w:tcPr>
            <w:tcW w:w="1134" w:type="dxa"/>
            <w:vAlign w:val="center"/>
          </w:tcPr>
          <w:p>
            <w:pPr>
              <w:pStyle w:val="15"/>
            </w:pPr>
            <w:r>
              <w:t>1402.59</w:t>
            </w:r>
          </w:p>
        </w:tc>
        <w:tc>
          <w:tcPr>
            <w:tcW w:w="1134" w:type="dxa"/>
            <w:vAlign w:val="center"/>
          </w:tcPr>
          <w:p>
            <w:pPr>
              <w:pStyle w:val="15"/>
            </w:pPr>
            <w:r>
              <w:t>1402.59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1110.82</w:t>
            </w:r>
          </w:p>
        </w:tc>
        <w:tc>
          <w:tcPr>
            <w:tcW w:w="1134" w:type="dxa"/>
            <w:vAlign w:val="center"/>
          </w:tcPr>
          <w:p>
            <w:pPr>
              <w:pStyle w:val="11"/>
            </w:pPr>
            <w:r>
              <w:t>1110.82</w:t>
            </w:r>
          </w:p>
        </w:tc>
        <w:tc>
          <w:tcPr>
            <w:tcW w:w="1134" w:type="dxa"/>
            <w:vAlign w:val="center"/>
          </w:tcPr>
          <w:p>
            <w:pPr>
              <w:pStyle w:val="11"/>
            </w:pPr>
            <w:r>
              <w:t>1110.82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1110.82</w:t>
            </w:r>
          </w:p>
        </w:tc>
        <w:tc>
          <w:tcPr>
            <w:tcW w:w="1134" w:type="dxa"/>
            <w:vAlign w:val="center"/>
          </w:tcPr>
          <w:p>
            <w:pPr>
              <w:pStyle w:val="11"/>
            </w:pPr>
            <w:r>
              <w:t>1110.82</w:t>
            </w:r>
          </w:p>
        </w:tc>
        <w:tc>
          <w:tcPr>
            <w:tcW w:w="1134" w:type="dxa"/>
            <w:vAlign w:val="center"/>
          </w:tcPr>
          <w:p>
            <w:pPr>
              <w:pStyle w:val="11"/>
            </w:pPr>
            <w:r>
              <w:t>1110.82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677.62</w:t>
            </w:r>
          </w:p>
        </w:tc>
        <w:tc>
          <w:tcPr>
            <w:tcW w:w="1134" w:type="dxa"/>
            <w:vAlign w:val="center"/>
          </w:tcPr>
          <w:p>
            <w:pPr>
              <w:pStyle w:val="11"/>
            </w:pPr>
            <w:r>
              <w:t>677.62</w:t>
            </w:r>
          </w:p>
        </w:tc>
        <w:tc>
          <w:tcPr>
            <w:tcW w:w="1134" w:type="dxa"/>
            <w:vAlign w:val="center"/>
          </w:tcPr>
          <w:p>
            <w:pPr>
              <w:pStyle w:val="11"/>
            </w:pPr>
            <w:r>
              <w:t>677.62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248.20</w:t>
            </w:r>
          </w:p>
        </w:tc>
        <w:tc>
          <w:tcPr>
            <w:tcW w:w="1134" w:type="dxa"/>
            <w:vAlign w:val="center"/>
          </w:tcPr>
          <w:p>
            <w:pPr>
              <w:pStyle w:val="11"/>
            </w:pPr>
            <w:r>
              <w:t>248.20</w:t>
            </w:r>
          </w:p>
        </w:tc>
        <w:tc>
          <w:tcPr>
            <w:tcW w:w="1134" w:type="dxa"/>
            <w:vAlign w:val="center"/>
          </w:tcPr>
          <w:p>
            <w:pPr>
              <w:pStyle w:val="11"/>
            </w:pPr>
            <w:r>
              <w:t>248.20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190.97</w:t>
            </w:r>
          </w:p>
        </w:tc>
        <w:tc>
          <w:tcPr>
            <w:tcW w:w="1134" w:type="dxa"/>
            <w:vAlign w:val="center"/>
          </w:tcPr>
          <w:p>
            <w:pPr>
              <w:pStyle w:val="11"/>
            </w:pPr>
            <w:r>
              <w:t>190.97</w:t>
            </w:r>
          </w:p>
        </w:tc>
        <w:tc>
          <w:tcPr>
            <w:tcW w:w="1134" w:type="dxa"/>
            <w:vAlign w:val="center"/>
          </w:tcPr>
          <w:p>
            <w:pPr>
              <w:pStyle w:val="11"/>
            </w:pPr>
            <w:r>
              <w:t>190.97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189.30</w:t>
            </w:r>
          </w:p>
        </w:tc>
        <w:tc>
          <w:tcPr>
            <w:tcW w:w="1134" w:type="dxa"/>
            <w:vAlign w:val="center"/>
          </w:tcPr>
          <w:p>
            <w:pPr>
              <w:pStyle w:val="11"/>
            </w:pPr>
            <w:r>
              <w:t>189.30</w:t>
            </w:r>
          </w:p>
        </w:tc>
        <w:tc>
          <w:tcPr>
            <w:tcW w:w="1134" w:type="dxa"/>
            <w:vAlign w:val="center"/>
          </w:tcPr>
          <w:p>
            <w:pPr>
              <w:pStyle w:val="11"/>
            </w:pPr>
            <w:r>
              <w:t>189.30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121.46</w:t>
            </w:r>
          </w:p>
        </w:tc>
        <w:tc>
          <w:tcPr>
            <w:tcW w:w="1134" w:type="dxa"/>
            <w:vAlign w:val="center"/>
          </w:tcPr>
          <w:p>
            <w:pPr>
              <w:pStyle w:val="11"/>
            </w:pPr>
            <w:r>
              <w:t>121.46</w:t>
            </w:r>
          </w:p>
        </w:tc>
        <w:tc>
          <w:tcPr>
            <w:tcW w:w="1134" w:type="dxa"/>
            <w:vAlign w:val="center"/>
          </w:tcPr>
          <w:p>
            <w:pPr>
              <w:pStyle w:val="11"/>
            </w:pPr>
            <w:r>
              <w:t>121.46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67.84</w:t>
            </w:r>
          </w:p>
        </w:tc>
        <w:tc>
          <w:tcPr>
            <w:tcW w:w="1134" w:type="dxa"/>
            <w:vAlign w:val="center"/>
          </w:tcPr>
          <w:p>
            <w:pPr>
              <w:pStyle w:val="11"/>
            </w:pPr>
            <w:r>
              <w:t>67.84</w:t>
            </w:r>
          </w:p>
        </w:tc>
        <w:tc>
          <w:tcPr>
            <w:tcW w:w="1134" w:type="dxa"/>
            <w:vAlign w:val="center"/>
          </w:tcPr>
          <w:p>
            <w:pPr>
              <w:pStyle w:val="11"/>
            </w:pPr>
            <w:r>
              <w:t>67.84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11.69</w:t>
            </w:r>
          </w:p>
        </w:tc>
        <w:tc>
          <w:tcPr>
            <w:tcW w:w="1134" w:type="dxa"/>
            <w:vAlign w:val="center"/>
          </w:tcPr>
          <w:p>
            <w:pPr>
              <w:pStyle w:val="11"/>
            </w:pPr>
            <w:r>
              <w:t>11.69</w:t>
            </w:r>
          </w:p>
        </w:tc>
        <w:tc>
          <w:tcPr>
            <w:tcW w:w="1134" w:type="dxa"/>
            <w:vAlign w:val="center"/>
          </w:tcPr>
          <w:p>
            <w:pPr>
              <w:pStyle w:val="11"/>
            </w:pPr>
            <w:r>
              <w:t>11.69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r>
              <w:t>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1402.59</w:t>
            </w:r>
          </w:p>
        </w:tc>
        <w:tc>
          <w:tcPr>
            <w:tcW w:w="1361" w:type="dxa"/>
            <w:vAlign w:val="center"/>
          </w:tcPr>
          <w:p>
            <w:pPr>
              <w:pStyle w:val="15"/>
            </w:pPr>
            <w:r>
              <w:t>969.39</w:t>
            </w:r>
          </w:p>
        </w:tc>
        <w:tc>
          <w:tcPr>
            <w:tcW w:w="1361" w:type="dxa"/>
            <w:vAlign w:val="center"/>
          </w:tcPr>
          <w:p>
            <w:pPr>
              <w:pStyle w:val="15"/>
            </w:pPr>
            <w:r>
              <w:t>433.20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1110.82</w:t>
            </w:r>
          </w:p>
        </w:tc>
        <w:tc>
          <w:tcPr>
            <w:tcW w:w="1361" w:type="dxa"/>
            <w:vAlign w:val="center"/>
          </w:tcPr>
          <w:p>
            <w:pPr>
              <w:pStyle w:val="11"/>
            </w:pPr>
            <w:r>
              <w:t>677.62</w:t>
            </w:r>
          </w:p>
        </w:tc>
        <w:tc>
          <w:tcPr>
            <w:tcW w:w="1361" w:type="dxa"/>
            <w:vAlign w:val="center"/>
          </w:tcPr>
          <w:p>
            <w:pPr>
              <w:pStyle w:val="11"/>
            </w:pPr>
            <w:r>
              <w:t>433.20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1110.82</w:t>
            </w:r>
          </w:p>
        </w:tc>
        <w:tc>
          <w:tcPr>
            <w:tcW w:w="1361" w:type="dxa"/>
            <w:vAlign w:val="center"/>
          </w:tcPr>
          <w:p>
            <w:pPr>
              <w:pStyle w:val="11"/>
            </w:pPr>
            <w:r>
              <w:t>677.62</w:t>
            </w:r>
          </w:p>
        </w:tc>
        <w:tc>
          <w:tcPr>
            <w:tcW w:w="1361" w:type="dxa"/>
            <w:vAlign w:val="center"/>
          </w:tcPr>
          <w:p>
            <w:pPr>
              <w:pStyle w:val="11"/>
            </w:pPr>
            <w:r>
              <w:t>433.20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677.62</w:t>
            </w:r>
          </w:p>
        </w:tc>
        <w:tc>
          <w:tcPr>
            <w:tcW w:w="1361" w:type="dxa"/>
            <w:vAlign w:val="center"/>
          </w:tcPr>
          <w:p>
            <w:pPr>
              <w:pStyle w:val="11"/>
            </w:pPr>
            <w:r>
              <w:t>677.62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248.20</w:t>
            </w:r>
          </w:p>
        </w:tc>
        <w:tc>
          <w:tcPr>
            <w:tcW w:w="1361" w:type="dxa"/>
            <w:vAlign w:val="center"/>
          </w:tcPr>
          <w:p>
            <w:pPr>
              <w:pStyle w:val="11"/>
            </w:pPr>
          </w:p>
        </w:tc>
        <w:tc>
          <w:tcPr>
            <w:tcW w:w="1361" w:type="dxa"/>
            <w:vAlign w:val="center"/>
          </w:tcPr>
          <w:p>
            <w:pPr>
              <w:pStyle w:val="11"/>
            </w:pPr>
            <w:r>
              <w:t>248.20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190.97</w:t>
            </w:r>
          </w:p>
        </w:tc>
        <w:tc>
          <w:tcPr>
            <w:tcW w:w="1361" w:type="dxa"/>
            <w:vAlign w:val="center"/>
          </w:tcPr>
          <w:p>
            <w:pPr>
              <w:pStyle w:val="11"/>
            </w:pPr>
            <w:r>
              <w:t>190.97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189.30</w:t>
            </w:r>
          </w:p>
        </w:tc>
        <w:tc>
          <w:tcPr>
            <w:tcW w:w="1361" w:type="dxa"/>
            <w:vAlign w:val="center"/>
          </w:tcPr>
          <w:p>
            <w:pPr>
              <w:pStyle w:val="11"/>
            </w:pPr>
            <w:r>
              <w:t>189.30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121.46</w:t>
            </w:r>
          </w:p>
        </w:tc>
        <w:tc>
          <w:tcPr>
            <w:tcW w:w="1361" w:type="dxa"/>
            <w:vAlign w:val="center"/>
          </w:tcPr>
          <w:p>
            <w:pPr>
              <w:pStyle w:val="11"/>
            </w:pPr>
            <w:r>
              <w:t>121.46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67.84</w:t>
            </w:r>
          </w:p>
        </w:tc>
        <w:tc>
          <w:tcPr>
            <w:tcW w:w="1361" w:type="dxa"/>
            <w:vAlign w:val="center"/>
          </w:tcPr>
          <w:p>
            <w:pPr>
              <w:pStyle w:val="11"/>
            </w:pPr>
            <w:r>
              <w:t>67.84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1.67</w:t>
            </w:r>
          </w:p>
        </w:tc>
        <w:tc>
          <w:tcPr>
            <w:tcW w:w="1361" w:type="dxa"/>
            <w:vAlign w:val="center"/>
          </w:tcPr>
          <w:p>
            <w:pPr>
              <w:pStyle w:val="11"/>
            </w:pPr>
            <w:r>
              <w:t>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1.67</w:t>
            </w:r>
          </w:p>
        </w:tc>
        <w:tc>
          <w:tcPr>
            <w:tcW w:w="1361" w:type="dxa"/>
            <w:vAlign w:val="center"/>
          </w:tcPr>
          <w:p>
            <w:pPr>
              <w:pStyle w:val="11"/>
            </w:pPr>
            <w:r>
              <w:t>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39.74</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39.74</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28.05</w:t>
            </w:r>
          </w:p>
        </w:tc>
        <w:tc>
          <w:tcPr>
            <w:tcW w:w="1361" w:type="dxa"/>
            <w:vAlign w:val="center"/>
          </w:tcPr>
          <w:p>
            <w:pPr>
              <w:pStyle w:val="11"/>
            </w:pPr>
            <w:r>
              <w:t>28.05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11.69</w:t>
            </w:r>
          </w:p>
        </w:tc>
        <w:tc>
          <w:tcPr>
            <w:tcW w:w="1361" w:type="dxa"/>
            <w:vAlign w:val="center"/>
          </w:tcPr>
          <w:p>
            <w:pPr>
              <w:pStyle w:val="11"/>
            </w:pPr>
            <w:r>
              <w:t>11.69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61.06</w:t>
            </w:r>
          </w:p>
        </w:tc>
        <w:tc>
          <w:tcPr>
            <w:tcW w:w="1361" w:type="dxa"/>
            <w:vAlign w:val="center"/>
          </w:tcPr>
          <w:p>
            <w:pPr>
              <w:pStyle w:val="11"/>
            </w:pPr>
            <w:r>
              <w:t>61.06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61.06</w:t>
            </w:r>
          </w:p>
        </w:tc>
        <w:tc>
          <w:tcPr>
            <w:tcW w:w="1361" w:type="dxa"/>
            <w:vAlign w:val="center"/>
          </w:tcPr>
          <w:p>
            <w:pPr>
              <w:pStyle w:val="11"/>
            </w:pPr>
            <w:r>
              <w:t>61.06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61.06</w:t>
            </w:r>
          </w:p>
        </w:tc>
        <w:tc>
          <w:tcPr>
            <w:tcW w:w="1361" w:type="dxa"/>
            <w:vAlign w:val="center"/>
          </w:tcPr>
          <w:p>
            <w:pPr>
              <w:pStyle w:val="11"/>
            </w:pPr>
            <w:r>
              <w:t>61.06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1402.59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1110.82</w:t>
            </w:r>
          </w:p>
        </w:tc>
        <w:tc>
          <w:tcPr>
            <w:tcW w:w="1474" w:type="dxa"/>
            <w:vAlign w:val="center"/>
          </w:tcPr>
          <w:p>
            <w:pPr>
              <w:pStyle w:val="11"/>
            </w:pPr>
            <w:r>
              <w:t>1110.82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190.97</w:t>
            </w:r>
          </w:p>
        </w:tc>
        <w:tc>
          <w:tcPr>
            <w:tcW w:w="1474" w:type="dxa"/>
            <w:vAlign w:val="center"/>
          </w:tcPr>
          <w:p>
            <w:pPr>
              <w:pStyle w:val="11"/>
            </w:pPr>
            <w:r>
              <w:t>190.97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39.74</w:t>
            </w:r>
          </w:p>
        </w:tc>
        <w:tc>
          <w:tcPr>
            <w:tcW w:w="1474" w:type="dxa"/>
            <w:vAlign w:val="center"/>
          </w:tcPr>
          <w:p>
            <w:pPr>
              <w:pStyle w:val="11"/>
            </w:pPr>
            <w:r>
              <w:t>39.74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61.06</w:t>
            </w:r>
          </w:p>
        </w:tc>
        <w:tc>
          <w:tcPr>
            <w:tcW w:w="1474" w:type="dxa"/>
            <w:vAlign w:val="center"/>
          </w:tcPr>
          <w:p>
            <w:pPr>
              <w:pStyle w:val="11"/>
            </w:pPr>
            <w:r>
              <w:t>61.06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1402.59</w:t>
            </w:r>
          </w:p>
        </w:tc>
        <w:tc>
          <w:tcPr>
            <w:tcW w:w="3402" w:type="dxa"/>
            <w:vAlign w:val="center"/>
          </w:tcPr>
          <w:p>
            <w:pPr>
              <w:pStyle w:val="14"/>
            </w:pPr>
            <w:r>
              <w:t>本年支出合计</w:t>
            </w:r>
          </w:p>
        </w:tc>
        <w:tc>
          <w:tcPr>
            <w:tcW w:w="1474" w:type="dxa"/>
            <w:vAlign w:val="center"/>
          </w:tcPr>
          <w:p>
            <w:pPr>
              <w:pStyle w:val="15"/>
            </w:pPr>
            <w:r>
              <w:t>1402.59</w:t>
            </w:r>
          </w:p>
        </w:tc>
        <w:tc>
          <w:tcPr>
            <w:tcW w:w="1474" w:type="dxa"/>
            <w:vAlign w:val="center"/>
          </w:tcPr>
          <w:p>
            <w:pPr>
              <w:pStyle w:val="15"/>
            </w:pPr>
            <w:r>
              <w:t>1402.59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1402.59</w:t>
            </w:r>
          </w:p>
        </w:tc>
        <w:tc>
          <w:tcPr>
            <w:tcW w:w="3402" w:type="dxa"/>
            <w:vAlign w:val="center"/>
          </w:tcPr>
          <w:p>
            <w:pPr>
              <w:pStyle w:val="14"/>
            </w:pPr>
            <w:r>
              <w:t>支出总计</w:t>
            </w:r>
          </w:p>
        </w:tc>
        <w:tc>
          <w:tcPr>
            <w:tcW w:w="1474" w:type="dxa"/>
            <w:vAlign w:val="center"/>
          </w:tcPr>
          <w:p>
            <w:pPr>
              <w:pStyle w:val="15"/>
            </w:pPr>
            <w:r>
              <w:t>1402.59</w:t>
            </w:r>
          </w:p>
        </w:tc>
        <w:tc>
          <w:tcPr>
            <w:tcW w:w="1474" w:type="dxa"/>
            <w:vAlign w:val="center"/>
          </w:tcPr>
          <w:p>
            <w:pPr>
              <w:pStyle w:val="15"/>
            </w:pPr>
            <w:r>
              <w:t>1402.59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1402.59</w:t>
            </w:r>
          </w:p>
        </w:tc>
        <w:tc>
          <w:tcPr>
            <w:tcW w:w="2551" w:type="dxa"/>
            <w:vAlign w:val="center"/>
          </w:tcPr>
          <w:p>
            <w:pPr>
              <w:pStyle w:val="15"/>
            </w:pPr>
            <w:r>
              <w:t>969.39</w:t>
            </w:r>
          </w:p>
        </w:tc>
        <w:tc>
          <w:tcPr>
            <w:tcW w:w="2551" w:type="dxa"/>
            <w:vAlign w:val="center"/>
          </w:tcPr>
          <w:p>
            <w:pPr>
              <w:pStyle w:val="15"/>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1110.82</w:t>
            </w:r>
          </w:p>
        </w:tc>
        <w:tc>
          <w:tcPr>
            <w:tcW w:w="2551" w:type="dxa"/>
            <w:vAlign w:val="center"/>
          </w:tcPr>
          <w:p>
            <w:pPr>
              <w:pStyle w:val="11"/>
            </w:pPr>
            <w:r>
              <w:t>677.62</w:t>
            </w:r>
          </w:p>
        </w:tc>
        <w:tc>
          <w:tcPr>
            <w:tcW w:w="2551" w:type="dxa"/>
            <w:vAlign w:val="center"/>
          </w:tcPr>
          <w:p>
            <w:pPr>
              <w:pStyle w:val="11"/>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1110.82</w:t>
            </w:r>
          </w:p>
        </w:tc>
        <w:tc>
          <w:tcPr>
            <w:tcW w:w="2551" w:type="dxa"/>
            <w:vAlign w:val="center"/>
          </w:tcPr>
          <w:p>
            <w:pPr>
              <w:pStyle w:val="11"/>
            </w:pPr>
            <w:r>
              <w:t>677.62</w:t>
            </w:r>
          </w:p>
        </w:tc>
        <w:tc>
          <w:tcPr>
            <w:tcW w:w="2551" w:type="dxa"/>
            <w:vAlign w:val="center"/>
          </w:tcPr>
          <w:p>
            <w:pPr>
              <w:pStyle w:val="11"/>
            </w:pPr>
            <w:r>
              <w:t>433.20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677.62</w:t>
            </w:r>
          </w:p>
        </w:tc>
        <w:tc>
          <w:tcPr>
            <w:tcW w:w="2551" w:type="dxa"/>
            <w:vAlign w:val="center"/>
          </w:tcPr>
          <w:p>
            <w:pPr>
              <w:pStyle w:val="11"/>
            </w:pPr>
            <w:r>
              <w:t>677.62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248.20</w:t>
            </w:r>
          </w:p>
        </w:tc>
        <w:tc>
          <w:tcPr>
            <w:tcW w:w="2551" w:type="dxa"/>
            <w:vAlign w:val="center"/>
          </w:tcPr>
          <w:p>
            <w:pPr>
              <w:pStyle w:val="11"/>
            </w:pPr>
          </w:p>
        </w:tc>
        <w:tc>
          <w:tcPr>
            <w:tcW w:w="2551" w:type="dxa"/>
            <w:vAlign w:val="center"/>
          </w:tcPr>
          <w:p>
            <w:pPr>
              <w:pStyle w:val="11"/>
            </w:pPr>
            <w:r>
              <w:t>248.20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190.97</w:t>
            </w:r>
          </w:p>
        </w:tc>
        <w:tc>
          <w:tcPr>
            <w:tcW w:w="2551" w:type="dxa"/>
            <w:vAlign w:val="center"/>
          </w:tcPr>
          <w:p>
            <w:pPr>
              <w:pStyle w:val="11"/>
            </w:pPr>
            <w:r>
              <w:t>190.97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189.30</w:t>
            </w:r>
          </w:p>
        </w:tc>
        <w:tc>
          <w:tcPr>
            <w:tcW w:w="2551" w:type="dxa"/>
            <w:vAlign w:val="center"/>
          </w:tcPr>
          <w:p>
            <w:pPr>
              <w:pStyle w:val="11"/>
            </w:pPr>
            <w:r>
              <w:t>189.30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121.46</w:t>
            </w:r>
          </w:p>
        </w:tc>
        <w:tc>
          <w:tcPr>
            <w:tcW w:w="2551" w:type="dxa"/>
            <w:vAlign w:val="center"/>
          </w:tcPr>
          <w:p>
            <w:pPr>
              <w:pStyle w:val="11"/>
            </w:pPr>
            <w:r>
              <w:t>121.46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67.84</w:t>
            </w:r>
          </w:p>
        </w:tc>
        <w:tc>
          <w:tcPr>
            <w:tcW w:w="2551" w:type="dxa"/>
            <w:vAlign w:val="center"/>
          </w:tcPr>
          <w:p>
            <w:pPr>
              <w:pStyle w:val="11"/>
            </w:pPr>
            <w:r>
              <w:t>67.84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1.67</w:t>
            </w:r>
          </w:p>
        </w:tc>
        <w:tc>
          <w:tcPr>
            <w:tcW w:w="2551" w:type="dxa"/>
            <w:vAlign w:val="center"/>
          </w:tcPr>
          <w:p>
            <w:pPr>
              <w:pStyle w:val="11"/>
            </w:pPr>
            <w:r>
              <w:t>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1.67</w:t>
            </w:r>
          </w:p>
        </w:tc>
        <w:tc>
          <w:tcPr>
            <w:tcW w:w="2551" w:type="dxa"/>
            <w:vAlign w:val="center"/>
          </w:tcPr>
          <w:p>
            <w:pPr>
              <w:pStyle w:val="11"/>
            </w:pPr>
            <w:r>
              <w:t>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11.69</w:t>
            </w:r>
          </w:p>
        </w:tc>
        <w:tc>
          <w:tcPr>
            <w:tcW w:w="2551" w:type="dxa"/>
            <w:vAlign w:val="center"/>
          </w:tcPr>
          <w:p>
            <w:pPr>
              <w:pStyle w:val="11"/>
            </w:pPr>
            <w:r>
              <w:t>11.69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61.06</w:t>
            </w:r>
          </w:p>
        </w:tc>
        <w:tc>
          <w:tcPr>
            <w:tcW w:w="2551" w:type="dxa"/>
            <w:vAlign w:val="center"/>
          </w:tcPr>
          <w:p>
            <w:pPr>
              <w:pStyle w:val="11"/>
            </w:pPr>
            <w:r>
              <w:t>61.06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61.06</w:t>
            </w:r>
          </w:p>
        </w:tc>
        <w:tc>
          <w:tcPr>
            <w:tcW w:w="2551" w:type="dxa"/>
            <w:vAlign w:val="center"/>
          </w:tcPr>
          <w:p>
            <w:pPr>
              <w:pStyle w:val="11"/>
            </w:pPr>
            <w:r>
              <w:t>61.06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61.06</w:t>
            </w:r>
          </w:p>
        </w:tc>
        <w:tc>
          <w:tcPr>
            <w:tcW w:w="2551" w:type="dxa"/>
            <w:vAlign w:val="center"/>
          </w:tcPr>
          <w:p>
            <w:pPr>
              <w:pStyle w:val="11"/>
            </w:pPr>
            <w:r>
              <w:t>61.06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969.39</w:t>
            </w:r>
          </w:p>
        </w:tc>
        <w:tc>
          <w:tcPr>
            <w:tcW w:w="2551" w:type="dxa"/>
            <w:vAlign w:val="center"/>
          </w:tcPr>
          <w:p>
            <w:pPr>
              <w:pStyle w:val="15"/>
            </w:pPr>
            <w:r>
              <w:t>892.69</w:t>
            </w:r>
          </w:p>
        </w:tc>
        <w:tc>
          <w:tcPr>
            <w:tcW w:w="2551" w:type="dxa"/>
            <w:vAlign w:val="center"/>
          </w:tcPr>
          <w:p>
            <w:pPr>
              <w:pStyle w:val="15"/>
            </w:pPr>
            <w:r>
              <w:t>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769.16</w:t>
            </w:r>
          </w:p>
        </w:tc>
        <w:tc>
          <w:tcPr>
            <w:tcW w:w="2551" w:type="dxa"/>
            <w:vAlign w:val="center"/>
          </w:tcPr>
          <w:p>
            <w:pPr>
              <w:pStyle w:val="11"/>
            </w:pPr>
            <w:r>
              <w:t>769.16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196.56</w:t>
            </w:r>
          </w:p>
        </w:tc>
        <w:tc>
          <w:tcPr>
            <w:tcW w:w="2551" w:type="dxa"/>
            <w:vAlign w:val="center"/>
          </w:tcPr>
          <w:p>
            <w:pPr>
              <w:pStyle w:val="11"/>
            </w:pPr>
            <w:r>
              <w:t>196.56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169.86</w:t>
            </w:r>
          </w:p>
        </w:tc>
        <w:tc>
          <w:tcPr>
            <w:tcW w:w="2551" w:type="dxa"/>
            <w:vAlign w:val="center"/>
          </w:tcPr>
          <w:p>
            <w:pPr>
              <w:pStyle w:val="11"/>
            </w:pPr>
            <w:r>
              <w:t>169.86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227.63</w:t>
            </w:r>
          </w:p>
        </w:tc>
        <w:tc>
          <w:tcPr>
            <w:tcW w:w="2551" w:type="dxa"/>
            <w:vAlign w:val="center"/>
          </w:tcPr>
          <w:p>
            <w:pPr>
              <w:pStyle w:val="11"/>
            </w:pPr>
            <w:r>
              <w:t>227.63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67.84</w:t>
            </w:r>
          </w:p>
        </w:tc>
        <w:tc>
          <w:tcPr>
            <w:tcW w:w="2551" w:type="dxa"/>
            <w:vAlign w:val="center"/>
          </w:tcPr>
          <w:p>
            <w:pPr>
              <w:pStyle w:val="11"/>
            </w:pPr>
            <w:r>
              <w:t>67.84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11.69</w:t>
            </w:r>
          </w:p>
        </w:tc>
        <w:tc>
          <w:tcPr>
            <w:tcW w:w="2551" w:type="dxa"/>
            <w:vAlign w:val="center"/>
          </w:tcPr>
          <w:p>
            <w:pPr>
              <w:pStyle w:val="11"/>
            </w:pPr>
            <w:r>
              <w:t>11.69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1.67</w:t>
            </w:r>
          </w:p>
        </w:tc>
        <w:tc>
          <w:tcPr>
            <w:tcW w:w="2551" w:type="dxa"/>
            <w:vAlign w:val="center"/>
          </w:tcPr>
          <w:p>
            <w:pPr>
              <w:pStyle w:val="11"/>
            </w:pPr>
            <w:r>
              <w:t>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61.06</w:t>
            </w:r>
          </w:p>
        </w:tc>
        <w:tc>
          <w:tcPr>
            <w:tcW w:w="2551" w:type="dxa"/>
            <w:vAlign w:val="center"/>
          </w:tcPr>
          <w:p>
            <w:pPr>
              <w:pStyle w:val="11"/>
            </w:pPr>
            <w:r>
              <w:t>61.06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76.70</w:t>
            </w:r>
          </w:p>
        </w:tc>
        <w:tc>
          <w:tcPr>
            <w:tcW w:w="2551" w:type="dxa"/>
            <w:vAlign w:val="center"/>
          </w:tcPr>
          <w:p>
            <w:pPr>
              <w:pStyle w:val="11"/>
            </w:pPr>
          </w:p>
        </w:tc>
        <w:tc>
          <w:tcPr>
            <w:tcW w:w="2551" w:type="dxa"/>
            <w:vAlign w:val="center"/>
          </w:tcPr>
          <w:p>
            <w:pPr>
              <w:pStyle w:val="11"/>
            </w:pPr>
            <w:r>
              <w:t>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3.77</w:t>
            </w:r>
          </w:p>
        </w:tc>
        <w:tc>
          <w:tcPr>
            <w:tcW w:w="2551" w:type="dxa"/>
            <w:vAlign w:val="center"/>
          </w:tcPr>
          <w:p>
            <w:pPr>
              <w:pStyle w:val="11"/>
            </w:pPr>
          </w:p>
        </w:tc>
        <w:tc>
          <w:tcPr>
            <w:tcW w:w="2551" w:type="dxa"/>
            <w:vAlign w:val="center"/>
          </w:tcPr>
          <w:p>
            <w:pPr>
              <w:pStyle w:val="11"/>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11.98</w:t>
            </w:r>
          </w:p>
        </w:tc>
        <w:tc>
          <w:tcPr>
            <w:tcW w:w="2551" w:type="dxa"/>
            <w:vAlign w:val="center"/>
          </w:tcPr>
          <w:p>
            <w:pPr>
              <w:pStyle w:val="11"/>
            </w:pPr>
          </w:p>
        </w:tc>
        <w:tc>
          <w:tcPr>
            <w:tcW w:w="2551" w:type="dxa"/>
            <w:vAlign w:val="center"/>
          </w:tcPr>
          <w:p>
            <w:pPr>
              <w:pStyle w:val="11"/>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6.20</w:t>
            </w:r>
          </w:p>
        </w:tc>
        <w:tc>
          <w:tcPr>
            <w:tcW w:w="2551" w:type="dxa"/>
            <w:vAlign w:val="center"/>
          </w:tcPr>
          <w:p>
            <w:pPr>
              <w:pStyle w:val="11"/>
            </w:pPr>
          </w:p>
        </w:tc>
        <w:tc>
          <w:tcPr>
            <w:tcW w:w="2551" w:type="dxa"/>
            <w:vAlign w:val="center"/>
          </w:tcPr>
          <w:p>
            <w:pPr>
              <w:pStyle w:val="11"/>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6.58</w:t>
            </w:r>
          </w:p>
        </w:tc>
        <w:tc>
          <w:tcPr>
            <w:tcW w:w="2551" w:type="dxa"/>
            <w:vAlign w:val="center"/>
          </w:tcPr>
          <w:p>
            <w:pPr>
              <w:pStyle w:val="11"/>
            </w:pPr>
          </w:p>
        </w:tc>
        <w:tc>
          <w:tcPr>
            <w:tcW w:w="2551" w:type="dxa"/>
            <w:vAlign w:val="center"/>
          </w:tcPr>
          <w:p>
            <w:pPr>
              <w:pStyle w:val="11"/>
            </w:pPr>
            <w:r>
              <w:t>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16.29</w:t>
            </w:r>
          </w:p>
        </w:tc>
        <w:tc>
          <w:tcPr>
            <w:tcW w:w="2551" w:type="dxa"/>
            <w:vAlign w:val="center"/>
          </w:tcPr>
          <w:p>
            <w:pPr>
              <w:pStyle w:val="11"/>
            </w:pPr>
          </w:p>
        </w:tc>
        <w:tc>
          <w:tcPr>
            <w:tcW w:w="2551" w:type="dxa"/>
            <w:vAlign w:val="center"/>
          </w:tcPr>
          <w:p>
            <w:pPr>
              <w:pStyle w:val="11"/>
            </w:pPr>
            <w:r>
              <w:t>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26.81</w:t>
            </w:r>
          </w:p>
        </w:tc>
        <w:tc>
          <w:tcPr>
            <w:tcW w:w="2551" w:type="dxa"/>
            <w:vAlign w:val="center"/>
          </w:tcPr>
          <w:p>
            <w:pPr>
              <w:pStyle w:val="11"/>
            </w:pPr>
          </w:p>
        </w:tc>
        <w:tc>
          <w:tcPr>
            <w:tcW w:w="2551" w:type="dxa"/>
            <w:vAlign w:val="center"/>
          </w:tcPr>
          <w:p>
            <w:pPr>
              <w:pStyle w:val="11"/>
            </w:pPr>
            <w:r>
              <w:t>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123.53</w:t>
            </w:r>
          </w:p>
        </w:tc>
        <w:tc>
          <w:tcPr>
            <w:tcW w:w="2551" w:type="dxa"/>
            <w:vAlign w:val="center"/>
          </w:tcPr>
          <w:p>
            <w:pPr>
              <w:pStyle w:val="11"/>
            </w:pPr>
            <w:r>
              <w:t>123.53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121.46</w:t>
            </w:r>
          </w:p>
        </w:tc>
        <w:tc>
          <w:tcPr>
            <w:tcW w:w="2551" w:type="dxa"/>
            <w:vAlign w:val="center"/>
          </w:tcPr>
          <w:p>
            <w:pPr>
              <w:pStyle w:val="11"/>
            </w:pPr>
            <w:r>
              <w:t>121.46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2.07</w:t>
            </w:r>
          </w:p>
        </w:tc>
        <w:tc>
          <w:tcPr>
            <w:tcW w:w="2551" w:type="dxa"/>
            <w:vAlign w:val="center"/>
          </w:tcPr>
          <w:p>
            <w:pPr>
              <w:pStyle w:val="11"/>
            </w:pPr>
            <w:r>
              <w:t>2.07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28.29</w:t>
            </w:r>
          </w:p>
        </w:tc>
        <w:tc>
          <w:tcPr>
            <w:tcW w:w="2381" w:type="dxa"/>
            <w:vAlign w:val="center"/>
          </w:tcPr>
          <w:p>
            <w:pPr>
              <w:pStyle w:val="15"/>
            </w:pPr>
            <w:r>
              <w:t>28.29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28.29</w:t>
            </w:r>
          </w:p>
        </w:tc>
        <w:tc>
          <w:tcPr>
            <w:tcW w:w="2381" w:type="dxa"/>
            <w:vAlign w:val="center"/>
          </w:tcPr>
          <w:p>
            <w:pPr>
              <w:pStyle w:val="11"/>
            </w:pPr>
            <w:r>
              <w:t>28.29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r>
              <w:t>12.00</w:t>
            </w:r>
          </w:p>
        </w:tc>
        <w:tc>
          <w:tcPr>
            <w:tcW w:w="2381" w:type="dxa"/>
            <w:vAlign w:val="center"/>
          </w:tcPr>
          <w:p>
            <w:pPr>
              <w:pStyle w:val="11"/>
            </w:pPr>
            <w:r>
              <w:t>12.00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16.29</w:t>
            </w:r>
          </w:p>
        </w:tc>
        <w:tc>
          <w:tcPr>
            <w:tcW w:w="2381" w:type="dxa"/>
            <w:vAlign w:val="center"/>
          </w:tcPr>
          <w:p>
            <w:pPr>
              <w:pStyle w:val="11"/>
            </w:pPr>
            <w:r>
              <w:t>16.29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石家庄市井陉矿区人民法院本级2026年单位预算信息公开情况说明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按照《中华人民共和国预算法》、《地方预决算公开操作规程》和《关于进一步推进预算公开工作的实施意见》规定，现将石家庄市井陉矿区人民法院本级2026年单位预算公开如下：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石家庄市井陉矿区人民法院本级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1402.59万元，其中：一般公共预算收入1402.59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人民法院本级年度单位预算中支出预算的总体情况。2026年支出预算1402.59万元，其中基本支出969.39万元，包括人员经费892.69万元和日常公用经费76.70万元；项目支出433.20万元，主要为劳务派遣经费、书记员经费、保安服务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1402.59万元，较2025年预算减少125.36万元，其中：基本支出减少20.62万元，主要为减少了人员经费支出。项目支出减少104.74万元，主要为减少了运转保障经费、印刷费等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2026年，我单位机关运行经费共计安排76.70万元，主要用于日常维修、办公用房水电费、办公用房取暖费、办公用房物业管理费等日常运行支出。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28.29万元，其中因公出国（境）费0.00万元；公务用车购置及运维费28.29万元（其中：公务用车购置费为12.00万元，公务用车运维费16.29万元)；公务接待费0.00万元。与2025年相比增加11.49万元，增减变化的主要原因是增加了公车购置费12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1、单位运行电费绩效目标表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13010026P000083102538</w:t>
            </w:r>
          </w:p>
        </w:tc>
        <w:tc>
          <w:tcPr>
            <w:tcW w:w="2835" w:type="dxa"/>
            <w:vAlign w:val="center"/>
          </w:tcPr>
          <w:p>
            <w:pPr>
              <w:pStyle w:val="10"/>
            </w:pPr>
            <w:r>
              <w:t>项目名称</w:t>
            </w:r>
          </w:p>
        </w:tc>
        <w:tc>
          <w:tcPr>
            <w:tcW w:w="6095" w:type="dxa"/>
            <w:gridSpan w:val="3"/>
            <w:vAlign w:val="center"/>
          </w:tcPr>
          <w:p>
            <w:pPr>
              <w:pStyle w:val="12"/>
            </w:pPr>
            <w:r>
              <w:t>单位运行电费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支付单位电费，确保办公办案工作正常运转。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1.支付单位电费，确保办公办案工作正常运转。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保障机关及派出法庭数量</w:t>
            </w:r>
          </w:p>
        </w:tc>
        <w:tc>
          <w:tcPr>
            <w:tcW w:w="5386" w:type="dxa"/>
            <w:vAlign w:val="center"/>
          </w:tcPr>
          <w:p>
            <w:pPr>
              <w:pStyle w:val="12"/>
            </w:pPr>
            <w:r>
              <w:t>保障机关及派出法庭数量</w:t>
            </w:r>
          </w:p>
        </w:tc>
        <w:tc>
          <w:tcPr>
            <w:tcW w:w="2268" w:type="dxa"/>
            <w:vAlign w:val="center"/>
          </w:tcPr>
          <w:p>
            <w:pPr>
              <w:pStyle w:val="12"/>
            </w:pPr>
            <w:r>
              <w:t>4个</w:t>
            </w:r>
          </w:p>
        </w:tc>
        <w:tc>
          <w:tcPr>
            <w:tcW w:w="1276" w:type="dxa"/>
            <w:vAlign w:val="center"/>
          </w:tcPr>
          <w:p>
            <w:pPr>
              <w:pStyle w:val="12"/>
            </w:pPr>
            <w:r>
              <w:t>历史经验（近三年电费明细）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设备电路故障率</w:t>
            </w:r>
          </w:p>
        </w:tc>
        <w:tc>
          <w:tcPr>
            <w:tcW w:w="5386" w:type="dxa"/>
            <w:vAlign w:val="center"/>
          </w:tcPr>
          <w:p>
            <w:pPr>
              <w:pStyle w:val="12"/>
            </w:pPr>
            <w:r>
              <w:t>设备电路故障率</w:t>
            </w:r>
          </w:p>
        </w:tc>
        <w:tc>
          <w:tcPr>
            <w:tcW w:w="2268" w:type="dxa"/>
            <w:vAlign w:val="center"/>
          </w:tcPr>
          <w:p>
            <w:pPr>
              <w:pStyle w:val="12"/>
            </w:pPr>
            <w:r>
              <w:t>≤10%</w:t>
            </w:r>
          </w:p>
        </w:tc>
        <w:tc>
          <w:tcPr>
            <w:tcW w:w="1276" w:type="dxa"/>
            <w:vAlign w:val="center"/>
          </w:tcPr>
          <w:p>
            <w:pPr>
              <w:pStyle w:val="12"/>
            </w:pPr>
            <w:r>
              <w:t>历史经验（近三年维修明细）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缴纳及时率</w:t>
            </w:r>
          </w:p>
        </w:tc>
        <w:tc>
          <w:tcPr>
            <w:tcW w:w="5386" w:type="dxa"/>
            <w:vAlign w:val="center"/>
          </w:tcPr>
          <w:p>
            <w:pPr>
              <w:pStyle w:val="12"/>
            </w:pPr>
            <w:r>
              <w:t>电费缴纳及时率</w:t>
            </w:r>
          </w:p>
        </w:tc>
        <w:tc>
          <w:tcPr>
            <w:tcW w:w="2268" w:type="dxa"/>
            <w:vAlign w:val="center"/>
          </w:tcPr>
          <w:p>
            <w:pPr>
              <w:pStyle w:val="12"/>
            </w:pPr>
            <w:r>
              <w:t>≥95%</w:t>
            </w:r>
          </w:p>
        </w:tc>
        <w:tc>
          <w:tcPr>
            <w:tcW w:w="1276" w:type="dxa"/>
            <w:vAlign w:val="center"/>
          </w:tcPr>
          <w:p>
            <w:pPr>
              <w:pStyle w:val="12"/>
            </w:pPr>
            <w:r>
              <w:t>预算资金支出情况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电费节约率</w:t>
            </w:r>
          </w:p>
        </w:tc>
        <w:tc>
          <w:tcPr>
            <w:tcW w:w="5386" w:type="dxa"/>
            <w:vAlign w:val="center"/>
          </w:tcPr>
          <w:p>
            <w:pPr>
              <w:pStyle w:val="12"/>
            </w:pPr>
            <w:r>
              <w:t>电费较上年节约率</w:t>
            </w:r>
          </w:p>
        </w:tc>
        <w:tc>
          <w:tcPr>
            <w:tcW w:w="2268" w:type="dxa"/>
            <w:vAlign w:val="center"/>
          </w:tcPr>
          <w:p>
            <w:pPr>
              <w:pStyle w:val="12"/>
            </w:pPr>
            <w:r>
              <w:t>≥3%</w:t>
            </w:r>
          </w:p>
        </w:tc>
        <w:tc>
          <w:tcPr>
            <w:tcW w:w="1276" w:type="dxa"/>
            <w:vAlign w:val="center"/>
          </w:tcPr>
          <w:p>
            <w:pPr>
              <w:pStyle w:val="12"/>
            </w:pPr>
            <w:r>
              <w:t>历史经验（近两年电费明细）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单位正常运转率</w:t>
            </w:r>
          </w:p>
        </w:tc>
        <w:tc>
          <w:tcPr>
            <w:tcW w:w="2268" w:type="dxa"/>
            <w:vAlign w:val="center"/>
          </w:tcPr>
          <w:p>
            <w:pPr>
              <w:pStyle w:val="12"/>
            </w:pPr>
            <w:r>
              <w:t>100%</w:t>
            </w:r>
          </w:p>
        </w:tc>
        <w:tc>
          <w:tcPr>
            <w:tcW w:w="1276" w:type="dxa"/>
            <w:vAlign w:val="center"/>
          </w:tcPr>
          <w:p>
            <w:pPr>
              <w:pStyle w:val="12"/>
            </w:pPr>
            <w:r>
              <w:t>历史经验（2025年度保障情况）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13010026P00971110570G</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通过印刷党建宣传手册，达到宣传效果；保障党建活动所需差旅支出，促进活动顺利开展。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1.通过印刷党建宣传手册，达到宣传效果；保障党建活动所需差旅支出，促进活动顺利开展。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宣传、活动开展次数</w:t>
            </w:r>
          </w:p>
        </w:tc>
        <w:tc>
          <w:tcPr>
            <w:tcW w:w="5386" w:type="dxa"/>
            <w:vAlign w:val="center"/>
          </w:tcPr>
          <w:p>
            <w:pPr>
              <w:pStyle w:val="12"/>
            </w:pPr>
            <w:r>
              <w:t>党建活动开展次数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≤2.7万元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党建政策到位率</w:t>
            </w:r>
          </w:p>
        </w:tc>
        <w:tc>
          <w:tcPr>
            <w:tcW w:w="5386" w:type="dxa"/>
            <w:vAlign w:val="center"/>
          </w:tcPr>
          <w:p>
            <w:pPr>
              <w:pStyle w:val="12"/>
            </w:pPr>
            <w:r>
              <w:t>党建政策到位率</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党员干部满意度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3、物业管理费（保安费）绩效目标表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13010026P00641210383B</w:t>
            </w:r>
          </w:p>
        </w:tc>
        <w:tc>
          <w:tcPr>
            <w:tcW w:w="2835" w:type="dxa"/>
            <w:vAlign w:val="center"/>
          </w:tcPr>
          <w:p>
            <w:pPr>
              <w:pStyle w:val="10"/>
            </w:pPr>
            <w:r>
              <w:t>项目名称</w:t>
            </w:r>
          </w:p>
        </w:tc>
        <w:tc>
          <w:tcPr>
            <w:tcW w:w="6095" w:type="dxa"/>
            <w:gridSpan w:val="3"/>
            <w:vAlign w:val="center"/>
          </w:tcPr>
          <w:p>
            <w:pPr>
              <w:pStyle w:val="12"/>
            </w:pPr>
            <w:r>
              <w:t>物业管理费（保安费）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12.60</w:t>
            </w:r>
          </w:p>
        </w:tc>
        <w:tc>
          <w:tcPr>
            <w:tcW w:w="2835" w:type="dxa"/>
            <w:vAlign w:val="center"/>
          </w:tcPr>
          <w:p>
            <w:pPr>
              <w:pStyle w:val="10"/>
            </w:pPr>
            <w:r>
              <w:t>其中：财政    资金</w:t>
            </w:r>
          </w:p>
        </w:tc>
        <w:tc>
          <w:tcPr>
            <w:tcW w:w="2551" w:type="dxa"/>
            <w:vAlign w:val="center"/>
          </w:tcPr>
          <w:p>
            <w:pPr>
              <w:pStyle w:val="12"/>
            </w:pPr>
            <w:r>
              <w:t>12.60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购买保安服务，保障审判工作。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1.购买保安服务，保障审判工作。</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保安服务天数</w:t>
            </w:r>
          </w:p>
        </w:tc>
        <w:tc>
          <w:tcPr>
            <w:tcW w:w="5386" w:type="dxa"/>
            <w:vAlign w:val="center"/>
          </w:tcPr>
          <w:p>
            <w:pPr>
              <w:pStyle w:val="12"/>
            </w:pPr>
            <w:r>
              <w:t>保安服务天数</w:t>
            </w:r>
          </w:p>
        </w:tc>
        <w:tc>
          <w:tcPr>
            <w:tcW w:w="2268" w:type="dxa"/>
            <w:vAlign w:val="center"/>
          </w:tcPr>
          <w:p>
            <w:pPr>
              <w:pStyle w:val="12"/>
            </w:pPr>
            <w:r>
              <w:t>365天</w:t>
            </w:r>
          </w:p>
        </w:tc>
        <w:tc>
          <w:tcPr>
            <w:tcW w:w="1276" w:type="dxa"/>
            <w:vAlign w:val="center"/>
          </w:tcPr>
          <w:p>
            <w:pPr>
              <w:pStyle w:val="12"/>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保安服务合格率</w:t>
            </w:r>
          </w:p>
        </w:tc>
        <w:tc>
          <w:tcPr>
            <w:tcW w:w="5386" w:type="dxa"/>
            <w:vAlign w:val="center"/>
          </w:tcPr>
          <w:p>
            <w:pPr>
              <w:pStyle w:val="12"/>
            </w:pPr>
            <w:r>
              <w:t>保安服务合格率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费用拨付及时率</w:t>
            </w:r>
          </w:p>
        </w:tc>
        <w:tc>
          <w:tcPr>
            <w:tcW w:w="5386" w:type="dxa"/>
            <w:vAlign w:val="center"/>
          </w:tcPr>
          <w:p>
            <w:pPr>
              <w:pStyle w:val="12"/>
            </w:pPr>
            <w:r>
              <w:t>费用拨付及时率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发放总金额</w:t>
            </w:r>
          </w:p>
        </w:tc>
        <w:tc>
          <w:tcPr>
            <w:tcW w:w="5386" w:type="dxa"/>
            <w:vAlign w:val="center"/>
          </w:tcPr>
          <w:p>
            <w:pPr>
              <w:pStyle w:val="12"/>
            </w:pPr>
            <w:r>
              <w:t>发放总金额</w:t>
            </w:r>
          </w:p>
        </w:tc>
        <w:tc>
          <w:tcPr>
            <w:tcW w:w="2268" w:type="dxa"/>
            <w:vAlign w:val="center"/>
          </w:tcPr>
          <w:p>
            <w:pPr>
              <w:pStyle w:val="12"/>
            </w:pPr>
            <w:r>
              <w:t>≤12.6万元</w:t>
            </w:r>
          </w:p>
        </w:tc>
        <w:tc>
          <w:tcPr>
            <w:tcW w:w="1276" w:type="dxa"/>
            <w:vAlign w:val="center"/>
          </w:tcPr>
          <w:p>
            <w:pPr>
              <w:pStyle w:val="12"/>
            </w:pPr>
            <w:r>
              <w:t>保安合同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审判安保工作保障率</w:t>
            </w:r>
          </w:p>
        </w:tc>
        <w:tc>
          <w:tcPr>
            <w:tcW w:w="5386" w:type="dxa"/>
            <w:vAlign w:val="center"/>
          </w:tcPr>
          <w:p>
            <w:pPr>
              <w:pStyle w:val="12"/>
            </w:pPr>
            <w:r>
              <w:t>审判安保工作保障率</w:t>
            </w:r>
          </w:p>
        </w:tc>
        <w:tc>
          <w:tcPr>
            <w:tcW w:w="2268" w:type="dxa"/>
            <w:vAlign w:val="center"/>
          </w:tcPr>
          <w:p>
            <w:pPr>
              <w:pStyle w:val="12"/>
            </w:pPr>
            <w:r>
              <w:t>100%</w:t>
            </w:r>
          </w:p>
        </w:tc>
        <w:tc>
          <w:tcPr>
            <w:tcW w:w="1276" w:type="dxa"/>
            <w:vAlign w:val="center"/>
          </w:tcPr>
          <w:p>
            <w:pPr>
              <w:pStyle w:val="12"/>
            </w:pPr>
            <w:r>
              <w:t>实际工作进展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4、专项邮电费绩效目标表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13010026P00667710116P</w:t>
            </w:r>
          </w:p>
        </w:tc>
        <w:tc>
          <w:tcPr>
            <w:tcW w:w="2835" w:type="dxa"/>
            <w:vAlign w:val="center"/>
          </w:tcPr>
          <w:p>
            <w:pPr>
              <w:pStyle w:val="10"/>
            </w:pPr>
            <w:r>
              <w:t>项目名称</w:t>
            </w:r>
          </w:p>
        </w:tc>
        <w:tc>
          <w:tcPr>
            <w:tcW w:w="6095" w:type="dxa"/>
            <w:gridSpan w:val="3"/>
            <w:vAlign w:val="center"/>
          </w:tcPr>
          <w:p>
            <w:pPr>
              <w:pStyle w:val="12"/>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及时准确邮寄法律文书。</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1.及时准确邮寄法律文书。</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邮寄次数</w:t>
            </w:r>
          </w:p>
        </w:tc>
        <w:tc>
          <w:tcPr>
            <w:tcW w:w="5386" w:type="dxa"/>
            <w:vAlign w:val="center"/>
          </w:tcPr>
          <w:p>
            <w:pPr>
              <w:pStyle w:val="12"/>
            </w:pPr>
            <w:r>
              <w:t>法律文书邮寄次数</w:t>
            </w:r>
          </w:p>
        </w:tc>
        <w:tc>
          <w:tcPr>
            <w:tcW w:w="2268" w:type="dxa"/>
            <w:vAlign w:val="center"/>
          </w:tcPr>
          <w:p>
            <w:pPr>
              <w:pStyle w:val="12"/>
            </w:pPr>
            <w:r>
              <w:t>≥5000次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邮寄及时率</w:t>
            </w:r>
          </w:p>
        </w:tc>
        <w:tc>
          <w:tcPr>
            <w:tcW w:w="5386" w:type="dxa"/>
            <w:vAlign w:val="center"/>
          </w:tcPr>
          <w:p>
            <w:pPr>
              <w:pStyle w:val="12"/>
            </w:pPr>
            <w:r>
              <w:t>邮寄及时率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业务保障工作效率提升率</w:t>
            </w:r>
          </w:p>
        </w:tc>
        <w:tc>
          <w:tcPr>
            <w:tcW w:w="5386" w:type="dxa"/>
            <w:vAlign w:val="center"/>
          </w:tcPr>
          <w:p>
            <w:pPr>
              <w:pStyle w:val="12"/>
            </w:pPr>
            <w:r>
              <w:t>业务保障工作效率提升率</w:t>
            </w:r>
          </w:p>
        </w:tc>
        <w:tc>
          <w:tcPr>
            <w:tcW w:w="2268" w:type="dxa"/>
            <w:vAlign w:val="center"/>
          </w:tcPr>
          <w:p>
            <w:pPr>
              <w:pStyle w:val="12"/>
            </w:pPr>
            <w:r>
              <w:t>≥3%</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13010025P00964210333E</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为劳务派遣人员发放工资，缴纳社会保险，全面提高办公办案效率。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1.为劳务派遣人员发放工资，缴纳社会保险，全面提高办公办案效率。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15人</w:t>
            </w:r>
          </w:p>
        </w:tc>
        <w:tc>
          <w:tcPr>
            <w:tcW w:w="1276" w:type="dxa"/>
            <w:vAlign w:val="center"/>
          </w:tcPr>
          <w:p>
            <w:pPr>
              <w:pStyle w:val="12"/>
            </w:pPr>
            <w:r>
              <w:t>劳务派遣人员管理工作方案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劳务派遣人员考核合格率</w:t>
            </w:r>
          </w:p>
        </w:tc>
        <w:tc>
          <w:tcPr>
            <w:tcW w:w="5386" w:type="dxa"/>
            <w:vAlign w:val="center"/>
          </w:tcPr>
          <w:p>
            <w:pPr>
              <w:pStyle w:val="12"/>
            </w:pPr>
            <w:r>
              <w:t>劳务派遣人员考核合格率</w:t>
            </w:r>
          </w:p>
        </w:tc>
        <w:tc>
          <w:tcPr>
            <w:tcW w:w="2268" w:type="dxa"/>
            <w:vAlign w:val="center"/>
          </w:tcPr>
          <w:p>
            <w:pPr>
              <w:pStyle w:val="12"/>
            </w:pPr>
            <w:r>
              <w:t>≥95%</w:t>
            </w:r>
          </w:p>
        </w:tc>
        <w:tc>
          <w:tcPr>
            <w:tcW w:w="1276" w:type="dxa"/>
            <w:vAlign w:val="center"/>
          </w:tcPr>
          <w:p>
            <w:pPr>
              <w:pStyle w:val="12"/>
            </w:pPr>
            <w:r>
              <w:t>历史经验（近三年考核情况）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≤0.3万元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审判工作保障率</w:t>
            </w:r>
          </w:p>
        </w:tc>
        <w:tc>
          <w:tcPr>
            <w:tcW w:w="5386" w:type="dxa"/>
            <w:vAlign w:val="center"/>
          </w:tcPr>
          <w:p>
            <w:pPr>
              <w:pStyle w:val="12"/>
            </w:pPr>
            <w:r>
              <w:t>审判工作保障率</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6、聘用制书记员经费绩效目标表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13010026P00010510130M</w:t>
            </w:r>
          </w:p>
        </w:tc>
        <w:tc>
          <w:tcPr>
            <w:tcW w:w="2835" w:type="dxa"/>
            <w:vAlign w:val="center"/>
          </w:tcPr>
          <w:p>
            <w:pPr>
              <w:pStyle w:val="10"/>
            </w:pPr>
            <w:r>
              <w:t>项目名称</w:t>
            </w:r>
          </w:p>
        </w:tc>
        <w:tc>
          <w:tcPr>
            <w:tcW w:w="6095" w:type="dxa"/>
            <w:gridSpan w:val="3"/>
            <w:vAlign w:val="center"/>
          </w:tcPr>
          <w:p>
            <w:pPr>
              <w:pStyle w:val="12"/>
            </w:pPr>
            <w:r>
              <w:t>聘用制书记员经费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为聘用制书记员发放工资，缴纳社会保险和住房公积金，保障法院工作顺利开展。</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1.为聘用制书记员发放工资，缴纳社会保险和住房公积金，保障法院工作顺利开展。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聘用制书记员人数</w:t>
            </w:r>
          </w:p>
        </w:tc>
        <w:tc>
          <w:tcPr>
            <w:tcW w:w="5386" w:type="dxa"/>
            <w:vAlign w:val="center"/>
          </w:tcPr>
          <w:p>
            <w:pPr>
              <w:pStyle w:val="12"/>
            </w:pPr>
            <w:r>
              <w:t>聘用制书记员人数</w:t>
            </w:r>
          </w:p>
        </w:tc>
        <w:tc>
          <w:tcPr>
            <w:tcW w:w="2268" w:type="dxa"/>
            <w:vAlign w:val="center"/>
          </w:tcPr>
          <w:p>
            <w:pPr>
              <w:pStyle w:val="12"/>
            </w:pPr>
            <w:r>
              <w:t>16人</w:t>
            </w:r>
          </w:p>
        </w:tc>
        <w:tc>
          <w:tcPr>
            <w:tcW w:w="1276" w:type="dxa"/>
            <w:vAlign w:val="center"/>
          </w:tcPr>
          <w:p>
            <w:pPr>
              <w:pStyle w:val="12"/>
            </w:pPr>
            <w:r>
              <w:t>聘用制书记招聘方案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聘用制书记员年度考核合格率</w:t>
            </w:r>
          </w:p>
        </w:tc>
        <w:tc>
          <w:tcPr>
            <w:tcW w:w="5386" w:type="dxa"/>
            <w:vAlign w:val="center"/>
          </w:tcPr>
          <w:p>
            <w:pPr>
              <w:pStyle w:val="12"/>
            </w:pPr>
            <w:r>
              <w:t>聘用制书记员年度考核合格率</w:t>
            </w:r>
          </w:p>
        </w:tc>
        <w:tc>
          <w:tcPr>
            <w:tcW w:w="2268" w:type="dxa"/>
            <w:vAlign w:val="center"/>
          </w:tcPr>
          <w:p>
            <w:pPr>
              <w:pStyle w:val="12"/>
            </w:pPr>
            <w:r>
              <w:t>≥100%</w:t>
            </w:r>
          </w:p>
        </w:tc>
        <w:tc>
          <w:tcPr>
            <w:tcW w:w="1276" w:type="dxa"/>
            <w:vAlign w:val="center"/>
          </w:tcPr>
          <w:p>
            <w:pPr>
              <w:pStyle w:val="12"/>
            </w:pPr>
            <w:r>
              <w:t>历史经验（近三年考核情况）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≤0.7万元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办案业务量较上年增长率</w:t>
            </w:r>
          </w:p>
        </w:tc>
        <w:tc>
          <w:tcPr>
            <w:tcW w:w="5386" w:type="dxa"/>
            <w:vAlign w:val="center"/>
          </w:tcPr>
          <w:p>
            <w:pPr>
              <w:pStyle w:val="12"/>
            </w:pPr>
            <w:r>
              <w:t>办案业务量较上年增长率</w:t>
            </w:r>
          </w:p>
        </w:tc>
        <w:tc>
          <w:tcPr>
            <w:tcW w:w="2268" w:type="dxa"/>
            <w:vAlign w:val="center"/>
          </w:tcPr>
          <w:p>
            <w:pPr>
              <w:pStyle w:val="12"/>
            </w:pPr>
            <w:r>
              <w:t>≥20%</w:t>
            </w:r>
          </w:p>
        </w:tc>
        <w:tc>
          <w:tcPr>
            <w:tcW w:w="1276" w:type="dxa"/>
            <w:vAlign w:val="center"/>
          </w:tcPr>
          <w:p>
            <w:pPr>
              <w:pStyle w:val="12"/>
            </w:pPr>
            <w:r>
              <w:t>历史经验（近三年业务数据）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聘用制书记员满意度</w:t>
            </w:r>
          </w:p>
        </w:tc>
        <w:tc>
          <w:tcPr>
            <w:tcW w:w="5386" w:type="dxa"/>
            <w:vAlign w:val="center"/>
          </w:tcPr>
          <w:p>
            <w:pPr>
              <w:pStyle w:val="12"/>
            </w:pPr>
            <w:r>
              <w:t>聘用制书记员满意度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7、提前下达2026年法院建设补助资金（“两庭”基础设施维修）绩效目标表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13010026P007DD310027B</w:t>
            </w:r>
          </w:p>
        </w:tc>
        <w:tc>
          <w:tcPr>
            <w:tcW w:w="2835" w:type="dxa"/>
            <w:vAlign w:val="center"/>
          </w:tcPr>
          <w:p>
            <w:pPr>
              <w:pStyle w:val="10"/>
            </w:pPr>
            <w:r>
              <w:t>项目名称</w:t>
            </w:r>
          </w:p>
        </w:tc>
        <w:tc>
          <w:tcPr>
            <w:tcW w:w="6095" w:type="dxa"/>
            <w:gridSpan w:val="3"/>
            <w:vAlign w:val="center"/>
          </w:tcPr>
          <w:p>
            <w:pPr>
              <w:pStyle w:val="12"/>
            </w:pPr>
            <w:r>
              <w:t>提前下达2026年法院建设补助资金（“两庭”基础设施维修）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按照最高院“四专六室”达标要求，建设囚车库一间，实现独立、密闭空间。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1.按照最高院“四专六室”达标要求，建设囚车库一间，实现独立、密闭空间。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囚车库设备数</w:t>
            </w:r>
          </w:p>
        </w:tc>
        <w:tc>
          <w:tcPr>
            <w:tcW w:w="5386" w:type="dxa"/>
            <w:vAlign w:val="center"/>
          </w:tcPr>
          <w:p>
            <w:pPr>
              <w:pStyle w:val="12"/>
            </w:pPr>
            <w:r>
              <w:t>囚车库设备数</w:t>
            </w:r>
          </w:p>
        </w:tc>
        <w:tc>
          <w:tcPr>
            <w:tcW w:w="2268" w:type="dxa"/>
            <w:vAlign w:val="center"/>
          </w:tcPr>
          <w:p>
            <w:pPr>
              <w:pStyle w:val="12"/>
            </w:pPr>
            <w:r>
              <w:t>5台</w:t>
            </w:r>
          </w:p>
        </w:tc>
        <w:tc>
          <w:tcPr>
            <w:tcW w:w="1276" w:type="dxa"/>
            <w:vAlign w:val="center"/>
          </w:tcPr>
          <w:p>
            <w:pPr>
              <w:pStyle w:val="12"/>
            </w:pPr>
            <w:r>
              <w:t>采购明细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安防系统无故障运行率</w:t>
            </w:r>
          </w:p>
        </w:tc>
        <w:tc>
          <w:tcPr>
            <w:tcW w:w="5386" w:type="dxa"/>
            <w:vAlign w:val="center"/>
          </w:tcPr>
          <w:p>
            <w:pPr>
              <w:pStyle w:val="12"/>
            </w:pPr>
            <w:r>
              <w:t>安防系统无故障运行率</w:t>
            </w:r>
          </w:p>
        </w:tc>
        <w:tc>
          <w:tcPr>
            <w:tcW w:w="2268" w:type="dxa"/>
            <w:vAlign w:val="center"/>
          </w:tcPr>
          <w:p>
            <w:pPr>
              <w:pStyle w:val="12"/>
            </w:pPr>
            <w:r>
              <w:t>≥98%</w:t>
            </w:r>
          </w:p>
        </w:tc>
        <w:tc>
          <w:tcPr>
            <w:tcW w:w="1276" w:type="dxa"/>
            <w:vAlign w:val="center"/>
          </w:tcPr>
          <w:p>
            <w:pPr>
              <w:pStyle w:val="12"/>
            </w:pPr>
            <w:r>
              <w:t>验收书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囚车库建设及时性</w:t>
            </w:r>
          </w:p>
        </w:tc>
        <w:tc>
          <w:tcPr>
            <w:tcW w:w="5386" w:type="dxa"/>
            <w:vAlign w:val="center"/>
          </w:tcPr>
          <w:p>
            <w:pPr>
              <w:pStyle w:val="12"/>
            </w:pPr>
            <w:r>
              <w:t>建设并投用时间</w:t>
            </w:r>
          </w:p>
        </w:tc>
        <w:tc>
          <w:tcPr>
            <w:tcW w:w="2268" w:type="dxa"/>
            <w:vAlign w:val="center"/>
          </w:tcPr>
          <w:p>
            <w:pPr>
              <w:pStyle w:val="12"/>
            </w:pPr>
            <w:r>
              <w:t>2026 年底前</w:t>
            </w:r>
          </w:p>
          <w:p>
            <w:pPr>
              <w:pStyle w:val="12"/>
            </w:pPr>
          </w:p>
        </w:tc>
        <w:tc>
          <w:tcPr>
            <w:tcW w:w="1276" w:type="dxa"/>
            <w:vAlign w:val="center"/>
          </w:tcPr>
          <w:p>
            <w:pPr>
              <w:pStyle w:val="12"/>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项目预算成本</w:t>
            </w:r>
          </w:p>
        </w:tc>
        <w:tc>
          <w:tcPr>
            <w:tcW w:w="2268" w:type="dxa"/>
            <w:vAlign w:val="center"/>
          </w:tcPr>
          <w:p>
            <w:pPr>
              <w:pStyle w:val="12"/>
            </w:pPr>
            <w:r>
              <w:t>≤20万元</w:t>
            </w:r>
          </w:p>
        </w:tc>
        <w:tc>
          <w:tcPr>
            <w:tcW w:w="1276" w:type="dxa"/>
            <w:vAlign w:val="center"/>
          </w:tcPr>
          <w:p>
            <w:pPr>
              <w:pStyle w:val="12"/>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服务质量提升率</w:t>
            </w:r>
          </w:p>
        </w:tc>
        <w:tc>
          <w:tcPr>
            <w:tcW w:w="5386" w:type="dxa"/>
            <w:vAlign w:val="center"/>
          </w:tcPr>
          <w:p>
            <w:pPr>
              <w:pStyle w:val="12"/>
            </w:pPr>
            <w:r>
              <w:t>服务质量提升率</w:t>
            </w:r>
          </w:p>
        </w:tc>
        <w:tc>
          <w:tcPr>
            <w:tcW w:w="2268" w:type="dxa"/>
            <w:vAlign w:val="center"/>
          </w:tcPr>
          <w:p>
            <w:pPr>
              <w:pStyle w:val="12"/>
            </w:pPr>
            <w:r>
              <w:t>≥5%</w:t>
            </w:r>
          </w:p>
        </w:tc>
        <w:tc>
          <w:tcPr>
            <w:tcW w:w="1276" w:type="dxa"/>
            <w:vAlign w:val="center"/>
          </w:tcPr>
          <w:p>
            <w:pPr>
              <w:pStyle w:val="12"/>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干警满意度</w:t>
            </w:r>
          </w:p>
        </w:tc>
        <w:tc>
          <w:tcPr>
            <w:tcW w:w="5386" w:type="dxa"/>
            <w:vAlign w:val="center"/>
          </w:tcPr>
          <w:p>
            <w:pPr>
              <w:pStyle w:val="12"/>
            </w:pPr>
            <w:r>
              <w:t>干警满意度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8、提前下达2026年法院建设补助资金（办案业务补助）绩效目标表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13010026P007DD310028Y</w:t>
            </w:r>
          </w:p>
        </w:tc>
        <w:tc>
          <w:tcPr>
            <w:tcW w:w="2835" w:type="dxa"/>
            <w:vAlign w:val="center"/>
          </w:tcPr>
          <w:p>
            <w:pPr>
              <w:pStyle w:val="10"/>
            </w:pPr>
            <w:r>
              <w:t>项目名称</w:t>
            </w:r>
          </w:p>
        </w:tc>
        <w:tc>
          <w:tcPr>
            <w:tcW w:w="6095" w:type="dxa"/>
            <w:gridSpan w:val="3"/>
            <w:vAlign w:val="center"/>
          </w:tcPr>
          <w:p>
            <w:pPr>
              <w:pStyle w:val="12"/>
            </w:pPr>
            <w:r>
              <w:t>提前下达2026年法院建设补助资金（办案业务补助）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为提高我院综合办案能力，提高审执效率，申请办案经费，保障法院工作正常开展。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1.为提高我院综合办案能力，提高审执效率，申请办案经费，保障法院工作正常开展。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案件数量</w:t>
            </w:r>
          </w:p>
        </w:tc>
        <w:tc>
          <w:tcPr>
            <w:tcW w:w="5386" w:type="dxa"/>
            <w:vAlign w:val="center"/>
          </w:tcPr>
          <w:p>
            <w:pPr>
              <w:pStyle w:val="12"/>
            </w:pPr>
            <w:r>
              <w:t>案件数量</w:t>
            </w:r>
          </w:p>
        </w:tc>
        <w:tc>
          <w:tcPr>
            <w:tcW w:w="2268" w:type="dxa"/>
            <w:vAlign w:val="center"/>
          </w:tcPr>
          <w:p>
            <w:pPr>
              <w:pStyle w:val="12"/>
            </w:pPr>
            <w:r>
              <w:t>≥3500件</w:t>
            </w:r>
          </w:p>
        </w:tc>
        <w:tc>
          <w:tcPr>
            <w:tcW w:w="1276" w:type="dxa"/>
            <w:vAlign w:val="center"/>
          </w:tcPr>
          <w:p>
            <w:pPr>
              <w:pStyle w:val="12"/>
            </w:pPr>
            <w:r>
              <w:t>案件实际数量</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上诉率、调撤率等办案指标</w:t>
            </w:r>
          </w:p>
        </w:tc>
        <w:tc>
          <w:tcPr>
            <w:tcW w:w="5386" w:type="dxa"/>
            <w:vAlign w:val="center"/>
          </w:tcPr>
          <w:p>
            <w:pPr>
              <w:pStyle w:val="12"/>
            </w:pPr>
            <w:r>
              <w:t>上诉率、调撤率等办案指标</w:t>
            </w:r>
          </w:p>
        </w:tc>
        <w:tc>
          <w:tcPr>
            <w:tcW w:w="2268" w:type="dxa"/>
            <w:vAlign w:val="center"/>
          </w:tcPr>
          <w:p>
            <w:pPr>
              <w:pStyle w:val="12"/>
            </w:pPr>
            <w:r>
              <w:t>≥2%</w:t>
            </w:r>
          </w:p>
        </w:tc>
        <w:tc>
          <w:tcPr>
            <w:tcW w:w="1276" w:type="dxa"/>
            <w:vAlign w:val="center"/>
          </w:tcPr>
          <w:p>
            <w:pPr>
              <w:pStyle w:val="12"/>
            </w:pPr>
            <w:r>
              <w:t>上诉率、调撤率等办案指标数据较上年提升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100%</w:t>
            </w:r>
          </w:p>
        </w:tc>
        <w:tc>
          <w:tcPr>
            <w:tcW w:w="1276" w:type="dxa"/>
            <w:vAlign w:val="center"/>
          </w:tcPr>
          <w:p>
            <w:pPr>
              <w:pStyle w:val="12"/>
            </w:pPr>
            <w:r>
              <w:t>送达凭证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项目预算成本</w:t>
            </w:r>
          </w:p>
        </w:tc>
        <w:tc>
          <w:tcPr>
            <w:tcW w:w="2268" w:type="dxa"/>
            <w:vAlign w:val="center"/>
          </w:tcPr>
          <w:p>
            <w:pPr>
              <w:pStyle w:val="12"/>
            </w:pPr>
            <w:r>
              <w:t>≤30万元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服务质量提升率</w:t>
            </w:r>
          </w:p>
        </w:tc>
        <w:tc>
          <w:tcPr>
            <w:tcW w:w="5386" w:type="dxa"/>
            <w:vAlign w:val="center"/>
          </w:tcPr>
          <w:p>
            <w:pPr>
              <w:pStyle w:val="12"/>
            </w:pPr>
            <w:r>
              <w:t>服务质量提升率</w:t>
            </w:r>
          </w:p>
        </w:tc>
        <w:tc>
          <w:tcPr>
            <w:tcW w:w="2268" w:type="dxa"/>
            <w:vAlign w:val="center"/>
          </w:tcPr>
          <w:p>
            <w:pPr>
              <w:pStyle w:val="12"/>
            </w:pPr>
            <w:r>
              <w:t>≥3%</w:t>
            </w:r>
          </w:p>
        </w:tc>
        <w:tc>
          <w:tcPr>
            <w:tcW w:w="1276" w:type="dxa"/>
            <w:vAlign w:val="center"/>
          </w:tcPr>
          <w:p>
            <w:pPr>
              <w:pStyle w:val="12"/>
            </w:pPr>
            <w:r>
              <w:t>历史经验较上年提升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干警满意度</w:t>
            </w:r>
          </w:p>
        </w:tc>
        <w:tc>
          <w:tcPr>
            <w:tcW w:w="5386" w:type="dxa"/>
            <w:vAlign w:val="center"/>
          </w:tcPr>
          <w:p>
            <w:pPr>
              <w:pStyle w:val="12"/>
            </w:pPr>
            <w:r>
              <w:t>干警满意度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9、提前下达2026年法院建设补助资金（业务装备购置补助）绩效目标表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13010026P007DD310029J</w:t>
            </w:r>
          </w:p>
        </w:tc>
        <w:tc>
          <w:tcPr>
            <w:tcW w:w="2835" w:type="dxa"/>
            <w:vAlign w:val="center"/>
          </w:tcPr>
          <w:p>
            <w:pPr>
              <w:pStyle w:val="10"/>
            </w:pPr>
            <w:r>
              <w:t>项目名称</w:t>
            </w:r>
          </w:p>
        </w:tc>
        <w:tc>
          <w:tcPr>
            <w:tcW w:w="6095" w:type="dxa"/>
            <w:gridSpan w:val="3"/>
            <w:vAlign w:val="center"/>
          </w:tcPr>
          <w:p>
            <w:pPr>
              <w:pStyle w:val="12"/>
            </w:pPr>
            <w:r>
              <w:t>提前下达2026年法院建设补助资金（业务装备购置补助）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按照石家庄市党政机关公务用车管理实施办法要求，更新公务用车一辆，保障法院工作正常开展。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1.按照石家庄市党政机关公务用车管理实施办法要求，更新公务用车一辆，保障法院工作正常开展。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车辆购置数</w:t>
            </w:r>
          </w:p>
        </w:tc>
        <w:tc>
          <w:tcPr>
            <w:tcW w:w="5386" w:type="dxa"/>
            <w:vAlign w:val="center"/>
          </w:tcPr>
          <w:p>
            <w:pPr>
              <w:pStyle w:val="12"/>
            </w:pPr>
            <w:r>
              <w:t>车辆购置数</w:t>
            </w:r>
          </w:p>
        </w:tc>
        <w:tc>
          <w:tcPr>
            <w:tcW w:w="2268" w:type="dxa"/>
            <w:vAlign w:val="center"/>
          </w:tcPr>
          <w:p>
            <w:pPr>
              <w:pStyle w:val="12"/>
            </w:pPr>
            <w:r>
              <w:t>1台</w:t>
            </w:r>
          </w:p>
        </w:tc>
        <w:tc>
          <w:tcPr>
            <w:tcW w:w="1276" w:type="dxa"/>
            <w:vAlign w:val="center"/>
          </w:tcPr>
          <w:p>
            <w:pPr>
              <w:pStyle w:val="12"/>
            </w:pPr>
            <w:r>
              <w:t>车辆购置明细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车辆合格率</w:t>
            </w:r>
          </w:p>
        </w:tc>
        <w:tc>
          <w:tcPr>
            <w:tcW w:w="5386" w:type="dxa"/>
            <w:vAlign w:val="center"/>
          </w:tcPr>
          <w:p>
            <w:pPr>
              <w:pStyle w:val="12"/>
            </w:pPr>
            <w:r>
              <w:t>车辆合格率</w:t>
            </w:r>
          </w:p>
        </w:tc>
        <w:tc>
          <w:tcPr>
            <w:tcW w:w="2268" w:type="dxa"/>
            <w:vAlign w:val="center"/>
          </w:tcPr>
          <w:p>
            <w:pPr>
              <w:pStyle w:val="12"/>
            </w:pPr>
            <w:r>
              <w:t>100%</w:t>
            </w:r>
          </w:p>
        </w:tc>
        <w:tc>
          <w:tcPr>
            <w:tcW w:w="1276" w:type="dxa"/>
            <w:vAlign w:val="center"/>
          </w:tcPr>
          <w:p>
            <w:pPr>
              <w:pStyle w:val="12"/>
            </w:pPr>
            <w:r>
              <w:t>验收书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车辆购置及时性</w:t>
            </w:r>
          </w:p>
        </w:tc>
        <w:tc>
          <w:tcPr>
            <w:tcW w:w="5386" w:type="dxa"/>
            <w:vAlign w:val="center"/>
          </w:tcPr>
          <w:p>
            <w:pPr>
              <w:pStyle w:val="12"/>
            </w:pPr>
            <w:r>
              <w:t>购置并使用时间</w:t>
            </w:r>
          </w:p>
        </w:tc>
        <w:tc>
          <w:tcPr>
            <w:tcW w:w="2268" w:type="dxa"/>
            <w:vAlign w:val="center"/>
          </w:tcPr>
          <w:p>
            <w:pPr>
              <w:pStyle w:val="12"/>
            </w:pPr>
            <w:r>
              <w:t>2026 年底前</w:t>
            </w:r>
          </w:p>
        </w:tc>
        <w:tc>
          <w:tcPr>
            <w:tcW w:w="1276" w:type="dxa"/>
            <w:vAlign w:val="center"/>
          </w:tcPr>
          <w:p>
            <w:pPr>
              <w:pStyle w:val="12"/>
            </w:pPr>
            <w:r>
              <w:t>省法院建设工作计划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项目预算成本</w:t>
            </w:r>
          </w:p>
        </w:tc>
        <w:tc>
          <w:tcPr>
            <w:tcW w:w="2268" w:type="dxa"/>
            <w:vAlign w:val="center"/>
          </w:tcPr>
          <w:p>
            <w:pPr>
              <w:pStyle w:val="12"/>
            </w:pPr>
            <w:r>
              <w:t>≤12万元</w:t>
            </w:r>
          </w:p>
        </w:tc>
        <w:tc>
          <w:tcPr>
            <w:tcW w:w="1276" w:type="dxa"/>
            <w:vAlign w:val="center"/>
          </w:tcPr>
          <w:p>
            <w:pPr>
              <w:pStyle w:val="12"/>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办案效率提升率</w:t>
            </w:r>
          </w:p>
        </w:tc>
        <w:tc>
          <w:tcPr>
            <w:tcW w:w="5386" w:type="dxa"/>
            <w:vAlign w:val="center"/>
          </w:tcPr>
          <w:p>
            <w:pPr>
              <w:pStyle w:val="12"/>
            </w:pPr>
            <w:r>
              <w:t>办案效率提升率</w:t>
            </w:r>
          </w:p>
        </w:tc>
        <w:tc>
          <w:tcPr>
            <w:tcW w:w="2268" w:type="dxa"/>
            <w:vAlign w:val="center"/>
          </w:tcPr>
          <w:p>
            <w:pPr>
              <w:pStyle w:val="12"/>
            </w:pPr>
            <w:r>
              <w:t>≥3%</w:t>
            </w:r>
          </w:p>
        </w:tc>
        <w:tc>
          <w:tcPr>
            <w:tcW w:w="1276" w:type="dxa"/>
            <w:vAlign w:val="center"/>
          </w:tcPr>
          <w:p>
            <w:pPr>
              <w:pStyle w:val="12"/>
            </w:pPr>
            <w:r>
              <w:t>法院各项办案指标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干警满意度</w:t>
            </w:r>
          </w:p>
        </w:tc>
        <w:tc>
          <w:tcPr>
            <w:tcW w:w="5386" w:type="dxa"/>
            <w:vAlign w:val="center"/>
          </w:tcPr>
          <w:p>
            <w:pPr>
              <w:pStyle w:val="12"/>
            </w:pPr>
            <w:r>
              <w:t>干警满意度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10、提前下达2026年省级基层公检法司转移支付资金绩效目标表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13010026P00RGN910048F</w:t>
            </w:r>
          </w:p>
        </w:tc>
        <w:tc>
          <w:tcPr>
            <w:tcW w:w="2835" w:type="dxa"/>
            <w:vAlign w:val="center"/>
          </w:tcPr>
          <w:p>
            <w:pPr>
              <w:pStyle w:val="10"/>
            </w:pPr>
            <w:r>
              <w:t>项目名称</w:t>
            </w:r>
          </w:p>
        </w:tc>
        <w:tc>
          <w:tcPr>
            <w:tcW w:w="6095" w:type="dxa"/>
            <w:gridSpan w:val="3"/>
            <w:vAlign w:val="center"/>
          </w:tcPr>
          <w:p>
            <w:pPr>
              <w:pStyle w:val="12"/>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转移支付资金绩效目标涉密</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11、提前下达2026年中央政法纪检监察转移支付资金绩效目标表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13010026P00CB3C100815</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94.00</w:t>
            </w:r>
          </w:p>
        </w:tc>
        <w:tc>
          <w:tcPr>
            <w:tcW w:w="2835" w:type="dxa"/>
            <w:vAlign w:val="center"/>
          </w:tcPr>
          <w:p>
            <w:pPr>
              <w:pStyle w:val="10"/>
            </w:pPr>
            <w:r>
              <w:t>其中：财政    资金</w:t>
            </w:r>
          </w:p>
        </w:tc>
        <w:tc>
          <w:tcPr>
            <w:tcW w:w="2551" w:type="dxa"/>
            <w:vAlign w:val="center"/>
          </w:tcPr>
          <w:p>
            <w:pPr>
              <w:pStyle w:val="12"/>
            </w:pPr>
            <w:r>
              <w:t>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转移支付资金绩效目标涉密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12、业务保障经费绩效目标表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13010026P00869510081P</w:t>
            </w:r>
          </w:p>
        </w:tc>
        <w:tc>
          <w:tcPr>
            <w:tcW w:w="2835" w:type="dxa"/>
            <w:vAlign w:val="center"/>
          </w:tcPr>
          <w:p>
            <w:pPr>
              <w:pStyle w:val="10"/>
            </w:pPr>
            <w:r>
              <w:t>项目名称</w:t>
            </w:r>
          </w:p>
        </w:tc>
        <w:tc>
          <w:tcPr>
            <w:tcW w:w="6095" w:type="dxa"/>
            <w:gridSpan w:val="3"/>
            <w:vAlign w:val="center"/>
          </w:tcPr>
          <w:p>
            <w:pPr>
              <w:pStyle w:val="12"/>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用于单位人员宣传费用、维修维护费、办公耗材费等支出，保障机关业务正常运行。</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1.用于单位人员宣传费用、维修维护费、办公耗材费等支出，保障机关业务正常运行。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业务保障人数</w:t>
            </w:r>
          </w:p>
        </w:tc>
        <w:tc>
          <w:tcPr>
            <w:tcW w:w="5386" w:type="dxa"/>
            <w:vAlign w:val="center"/>
          </w:tcPr>
          <w:p>
            <w:pPr>
              <w:pStyle w:val="12"/>
            </w:pPr>
            <w:r>
              <w:t>业务保障办公人数</w:t>
            </w:r>
          </w:p>
        </w:tc>
        <w:tc>
          <w:tcPr>
            <w:tcW w:w="2268" w:type="dxa"/>
            <w:vAlign w:val="center"/>
          </w:tcPr>
          <w:p>
            <w:pPr>
              <w:pStyle w:val="12"/>
            </w:pPr>
            <w:r>
              <w:t>≥44人</w:t>
            </w:r>
          </w:p>
        </w:tc>
        <w:tc>
          <w:tcPr>
            <w:tcW w:w="1276" w:type="dxa"/>
            <w:vAlign w:val="center"/>
          </w:tcPr>
          <w:p>
            <w:pPr>
              <w:pStyle w:val="12"/>
            </w:pPr>
            <w:r>
              <w:t>单位工作人员统计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业务保障率</w:t>
            </w:r>
          </w:p>
        </w:tc>
        <w:tc>
          <w:tcPr>
            <w:tcW w:w="2268" w:type="dxa"/>
            <w:vAlign w:val="center"/>
          </w:tcPr>
          <w:p>
            <w:pPr>
              <w:pStyle w:val="12"/>
            </w:pPr>
            <w:r>
              <w:t>≥90%</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业务保障期限</w:t>
            </w:r>
          </w:p>
        </w:tc>
        <w:tc>
          <w:tcPr>
            <w:tcW w:w="5386" w:type="dxa"/>
            <w:vAlign w:val="center"/>
          </w:tcPr>
          <w:p>
            <w:pPr>
              <w:pStyle w:val="12"/>
            </w:pPr>
            <w:r>
              <w:t>业务保障期限</w:t>
            </w:r>
          </w:p>
        </w:tc>
        <w:tc>
          <w:tcPr>
            <w:tcW w:w="2268" w:type="dxa"/>
            <w:vAlign w:val="center"/>
          </w:tcPr>
          <w:p>
            <w:pPr>
              <w:pStyle w:val="12"/>
            </w:pPr>
            <w:r>
              <w:t>1年</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机关运转经费控制金额</w:t>
            </w:r>
          </w:p>
        </w:tc>
        <w:tc>
          <w:tcPr>
            <w:tcW w:w="5386" w:type="dxa"/>
            <w:vAlign w:val="center"/>
          </w:tcPr>
          <w:p>
            <w:pPr>
              <w:pStyle w:val="12"/>
            </w:pPr>
            <w:r>
              <w:t>机关运转经费控制金额</w:t>
            </w:r>
          </w:p>
        </w:tc>
        <w:tc>
          <w:tcPr>
            <w:tcW w:w="2268" w:type="dxa"/>
            <w:vAlign w:val="center"/>
          </w:tcPr>
          <w:p>
            <w:pPr>
              <w:pStyle w:val="12"/>
            </w:pPr>
            <w:r>
              <w:t>≤2.8万元/人</w:t>
            </w:r>
          </w:p>
        </w:tc>
        <w:tc>
          <w:tcPr>
            <w:tcW w:w="1276" w:type="dxa"/>
            <w:vAlign w:val="center"/>
          </w:tcPr>
          <w:p>
            <w:pPr>
              <w:pStyle w:val="12"/>
            </w:pPr>
            <w:r>
              <w:t>年度预决算文本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部门正常运转率</w:t>
            </w:r>
          </w:p>
        </w:tc>
        <w:tc>
          <w:tcPr>
            <w:tcW w:w="5386" w:type="dxa"/>
            <w:vAlign w:val="center"/>
          </w:tcPr>
          <w:p>
            <w:pPr>
              <w:pStyle w:val="12"/>
            </w:pPr>
            <w:r>
              <w:t>部门正常运转率</w:t>
            </w:r>
          </w:p>
        </w:tc>
        <w:tc>
          <w:tcPr>
            <w:tcW w:w="2268" w:type="dxa"/>
            <w:vAlign w:val="center"/>
          </w:tcPr>
          <w:p>
            <w:pPr>
              <w:pStyle w:val="12"/>
            </w:pPr>
            <w:r>
              <w:t>≥95%</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65.20</w:t>
            </w:r>
          </w:p>
        </w:tc>
        <w:tc>
          <w:tcPr>
            <w:tcW w:w="964" w:type="dxa"/>
            <w:vAlign w:val="center"/>
          </w:tcPr>
          <w:p>
            <w:pPr>
              <w:pStyle w:val="15"/>
            </w:pPr>
            <w:r>
              <w:t>65.20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65.20</w:t>
            </w:r>
          </w:p>
        </w:tc>
        <w:tc>
          <w:tcPr>
            <w:tcW w:w="964" w:type="dxa"/>
            <w:vAlign w:val="center"/>
          </w:tcPr>
          <w:p>
            <w:pPr>
              <w:pStyle w:val="15"/>
            </w:pPr>
            <w:r>
              <w:t>65.20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提前下达2026年法院建设补助资金（“两庭”基础设施维修）</w:t>
            </w:r>
          </w:p>
        </w:tc>
        <w:tc>
          <w:tcPr>
            <w:tcW w:w="964" w:type="dxa"/>
            <w:vAlign w:val="center"/>
          </w:tcPr>
          <w:p>
            <w:pPr>
              <w:pStyle w:val="11"/>
            </w:pPr>
            <w:r>
              <w:t>20.00</w:t>
            </w:r>
          </w:p>
        </w:tc>
        <w:tc>
          <w:tcPr>
            <w:tcW w:w="1134" w:type="dxa"/>
            <w:vAlign w:val="center"/>
          </w:tcPr>
          <w:p>
            <w:pPr>
              <w:pStyle w:val="12"/>
            </w:pPr>
            <w:r>
              <w:t>安全、检查、监视、报警设备</w:t>
            </w:r>
          </w:p>
        </w:tc>
        <w:tc>
          <w:tcPr>
            <w:tcW w:w="1134" w:type="dxa"/>
            <w:vAlign w:val="center"/>
          </w:tcPr>
          <w:p>
            <w:pPr>
              <w:pStyle w:val="12"/>
            </w:pPr>
            <w:r>
              <w:t>A02370400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提前下达2026年法院建设补助资金（业务装备购置补助）</w:t>
            </w:r>
          </w:p>
        </w:tc>
        <w:tc>
          <w:tcPr>
            <w:tcW w:w="964" w:type="dxa"/>
            <w:vAlign w:val="center"/>
          </w:tcPr>
          <w:p>
            <w:pPr>
              <w:pStyle w:val="11"/>
            </w:pPr>
            <w:r>
              <w:t>12.00</w:t>
            </w:r>
          </w:p>
        </w:tc>
        <w:tc>
          <w:tcPr>
            <w:tcW w:w="1134" w:type="dxa"/>
            <w:vAlign w:val="center"/>
          </w:tcPr>
          <w:p>
            <w:pPr>
              <w:pStyle w:val="12"/>
            </w:pPr>
            <w:r>
              <w:t>轿车</w:t>
            </w:r>
          </w:p>
        </w:tc>
        <w:tc>
          <w:tcPr>
            <w:tcW w:w="1134" w:type="dxa"/>
            <w:vAlign w:val="center"/>
          </w:tcPr>
          <w:p>
            <w:pPr>
              <w:pStyle w:val="12"/>
            </w:pPr>
            <w:r>
              <w:t>A02030501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1"/>
            </w:pPr>
            <w:r>
              <w:t>29.00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1"/>
            </w:pPr>
            <w:r>
              <w:t>29.00</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1"/>
            </w:pPr>
            <w:r>
              <w:t>29.00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9.40</w:t>
            </w:r>
          </w:p>
        </w:tc>
        <w:tc>
          <w:tcPr>
            <w:tcW w:w="964" w:type="dxa"/>
            <w:vAlign w:val="center"/>
          </w:tcPr>
          <w:p>
            <w:pPr>
              <w:pStyle w:val="11"/>
            </w:pPr>
            <w:r>
              <w:t>9.40</w:t>
            </w:r>
          </w:p>
        </w:tc>
        <w:tc>
          <w:tcPr>
            <w:tcW w:w="964" w:type="dxa"/>
            <w:vAlign w:val="center"/>
          </w:tcPr>
          <w:p>
            <w:pPr>
              <w:pStyle w:val="11"/>
            </w:pPr>
            <w:r>
              <w:t>9.40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94.00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94.00</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94.00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94.00</w:t>
            </w:r>
          </w:p>
        </w:tc>
        <w:tc>
          <w:tcPr>
            <w:tcW w:w="1134" w:type="dxa"/>
            <w:vAlign w:val="center"/>
          </w:tcPr>
          <w:p>
            <w:pPr>
              <w:pStyle w:val="12"/>
            </w:pPr>
            <w:r>
              <w:t>其他柜类</w:t>
            </w:r>
          </w:p>
        </w:tc>
        <w:tc>
          <w:tcPr>
            <w:tcW w:w="1134" w:type="dxa"/>
            <w:vAlign w:val="center"/>
          </w:tcPr>
          <w:p>
            <w:pPr>
              <w:pStyle w:val="12"/>
            </w:pPr>
            <w:r>
              <w:t>A05010599</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0.33</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94.00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500</w:t>
            </w:r>
          </w:p>
        </w:tc>
        <w:tc>
          <w:tcPr>
            <w:tcW w:w="850" w:type="dxa"/>
            <w:vAlign w:val="center"/>
          </w:tcPr>
          <w:p>
            <w:pPr>
              <w:pStyle w:val="11"/>
            </w:pPr>
            <w:r>
              <w:t>0.02</w:t>
            </w:r>
          </w:p>
        </w:tc>
        <w:tc>
          <w:tcPr>
            <w:tcW w:w="964" w:type="dxa"/>
            <w:vAlign w:val="center"/>
          </w:tcPr>
          <w:p>
            <w:pPr>
              <w:pStyle w:val="11"/>
            </w:pPr>
            <w:r>
              <w:t>8.50</w:t>
            </w:r>
          </w:p>
        </w:tc>
        <w:tc>
          <w:tcPr>
            <w:tcW w:w="964" w:type="dxa"/>
            <w:vAlign w:val="center"/>
          </w:tcPr>
          <w:p>
            <w:pPr>
              <w:pStyle w:val="11"/>
            </w:pPr>
            <w:r>
              <w:t>8.50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石家庄市井陉矿区人民法院本级上年末固定资产金额为</w:t>
      </w:r>
      <w:r>
        <w:rPr>
          <w:rFonts w:hint="eastAsia" w:eastAsia="方正仿宋_GBK" w:cs="Times New Roman"/>
          <w:b w:val="0"/>
          <w:color w:val="000000"/>
          <w:sz w:val="28"/>
          <w:lang w:val="en-US" w:eastAsia="zh-CN"/>
        </w:rPr>
        <w:t>1904.24</w:t>
      </w:r>
      <w:bookmarkStart w:id="1" w:name="_GoBack"/>
      <w:bookmarkEnd w:id="1"/>
      <w:r>
        <w:rPr>
          <w:rFonts w:ascii="Times New Roman" w:hAnsi="Times New Roman" w:eastAsia="方正仿宋_GBK" w:cs="Times New Roman"/>
          <w:b w:val="0"/>
          <w:color w:val="000000"/>
          <w:sz w:val="28"/>
        </w:rPr>
        <w:t>万元（详见下表）。本年度拟购置固定资产总额为65.20万元，已按要求列入政府采购预算，详见政府采购预算表。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ind w:firstLine="0" w:firstLineChars="0"/>
            </w:pPr>
            <w:r>
              <w:rPr>
                <w:rFonts w:hint="eastAsia"/>
                <w:lang w:val="en-US" w:eastAsia="zh-CN"/>
              </w:rPr>
              <w:t>2061</w:t>
            </w:r>
          </w:p>
        </w:tc>
        <w:tc>
          <w:tcPr>
            <w:tcW w:w="2835" w:type="dxa"/>
            <w:vAlign w:val="center"/>
          </w:tcPr>
          <w:p>
            <w:pPr>
              <w:pStyle w:val="11"/>
              <w:ind w:firstLine="0" w:firstLineChars="0"/>
            </w:pPr>
            <w:r>
              <w:rPr>
                <w:rFonts w:hint="eastAsia"/>
                <w:lang w:val="en-US" w:eastAsia="zh-CN"/>
              </w:rPr>
              <w:t>1904.24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ind w:firstLine="0" w:firstLineChars="0"/>
            </w:pPr>
            <w:r>
              <w:rPr>
                <w:rFonts w:hint="eastAsia"/>
                <w:lang w:val="en-US" w:eastAsia="zh-CN"/>
              </w:rPr>
              <w:t>4052</w:t>
            </w:r>
          </w:p>
        </w:tc>
        <w:tc>
          <w:tcPr>
            <w:tcW w:w="2835" w:type="dxa"/>
            <w:vAlign w:val="center"/>
          </w:tcPr>
          <w:p>
            <w:pPr>
              <w:pStyle w:val="11"/>
              <w:ind w:firstLine="0" w:firstLineChars="0"/>
            </w:pPr>
            <w:r>
              <w:rPr>
                <w:rFonts w:hint="eastAsia"/>
                <w:lang w:val="en-US" w:eastAsia="zh-CN"/>
              </w:rPr>
              <w:t>421.47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ind w:firstLine="0" w:firstLineChars="0"/>
            </w:pPr>
            <w:r>
              <w:rPr>
                <w:rFonts w:hint="eastAsia"/>
                <w:lang w:val="en-US" w:eastAsia="zh-CN"/>
              </w:rPr>
              <w:t>3982</w:t>
            </w:r>
          </w:p>
        </w:tc>
        <w:tc>
          <w:tcPr>
            <w:tcW w:w="2835" w:type="dxa"/>
            <w:vAlign w:val="center"/>
          </w:tcPr>
          <w:p>
            <w:pPr>
              <w:pStyle w:val="11"/>
              <w:ind w:firstLine="0" w:firstLineChars="0"/>
            </w:pPr>
            <w:r>
              <w:rPr>
                <w:rFonts w:hint="eastAsia"/>
                <w:lang w:val="en-US" w:eastAsia="zh-CN"/>
              </w:rPr>
              <w:t>421.36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ind w:firstLine="0" w:firstLineChars="0"/>
            </w:pPr>
            <w:r>
              <w:rPr>
                <w:rFonts w:hint="eastAsia"/>
                <w:lang w:val="en-US" w:eastAsia="zh-CN"/>
              </w:rPr>
              <w:t>6</w:t>
            </w:r>
          </w:p>
        </w:tc>
        <w:tc>
          <w:tcPr>
            <w:tcW w:w="2835" w:type="dxa"/>
            <w:vAlign w:val="center"/>
          </w:tcPr>
          <w:p>
            <w:pPr>
              <w:pStyle w:val="11"/>
              <w:ind w:firstLine="0" w:firstLineChars="0"/>
            </w:pPr>
            <w:r>
              <w:rPr>
                <w:rFonts w:hint="eastAsia"/>
                <w:lang w:val="en-US" w:eastAsia="zh-CN"/>
              </w:rP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ind w:firstLine="0" w:firstLineChars="0"/>
            </w:pPr>
            <w:r>
              <w:rPr>
                <w:rFonts w:hint="eastAsia"/>
                <w:lang w:val="en-US" w:eastAsia="zh-CN"/>
              </w:rPr>
              <w:t>8</w:t>
            </w:r>
          </w:p>
        </w:tc>
        <w:tc>
          <w:tcPr>
            <w:tcW w:w="2835" w:type="dxa"/>
            <w:vAlign w:val="center"/>
          </w:tcPr>
          <w:p>
            <w:pPr>
              <w:pStyle w:val="11"/>
              <w:ind w:firstLine="0" w:firstLineChars="0"/>
            </w:pPr>
            <w:r>
              <w:rPr>
                <w:rFonts w:hint="eastAsia"/>
                <w:lang w:val="en-US" w:eastAsia="zh-CN"/>
              </w:rPr>
              <w:t>386.06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ind w:firstLine="0" w:firstLineChars="0"/>
            </w:pPr>
            <w:r>
              <w:rPr>
                <w:rFonts w:hint="eastAsia"/>
                <w:lang w:val="en-US" w:eastAsia="zh-CN"/>
              </w:rPr>
              <w:t>2041</w:t>
            </w:r>
          </w:p>
        </w:tc>
        <w:tc>
          <w:tcPr>
            <w:tcW w:w="2835" w:type="dxa"/>
            <w:vAlign w:val="center"/>
          </w:tcPr>
          <w:p>
            <w:pPr>
              <w:pStyle w:val="11"/>
              <w:ind w:firstLine="0" w:firstLineChars="0"/>
            </w:pPr>
            <w:r>
              <w:rPr>
                <w:rFonts w:hint="eastAsia"/>
                <w:lang w:val="en-US" w:eastAsia="zh-CN"/>
              </w:rPr>
              <w:t>982.33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07996"/>
    <w:rsid w:val="2097213B"/>
    <w:rsid w:val="224D11C6"/>
    <w:rsid w:val="558D0A77"/>
    <w:rsid w:val="55C966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2026-02-05T10:07:00Z</dcterms:created>
  <dc:creator>Sumd</dc:creator>
  <cp:lastModifiedBy>。。</cp:lastModifiedBy>
  <dcterms:modified xsi:type="dcterms:W3CDTF">2026-02-09T06:32:43Z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E19B1637BBDE46BD9E32293F76F81D12</vt:lpwstr>
  </property>
</Properties>
</file>