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9BF241">
      <w:pPr>
        <w:keepNext w:val="0"/>
        <w:keepLines w:val="0"/>
        <w:pageBreakBefore w:val="0"/>
        <w:widowControl w:val="0"/>
        <w:kinsoku/>
        <w:wordWrap/>
        <w:overflowPunct/>
        <w:topLinePunct w:val="0"/>
        <w:autoSpaceDE/>
        <w:autoSpaceDN/>
        <w:bidi w:val="0"/>
        <w:spacing w:line="600" w:lineRule="exact"/>
        <w:ind w:left="0" w:leftChars="0" w:right="0"/>
        <w:jc w:val="center"/>
        <w:textAlignment w:val="auto"/>
        <w:outlineLvl w:val="9"/>
        <w:rPr>
          <w:rFonts w:hint="eastAsia" w:ascii="方正小标宋简体" w:hAnsi="方正小标宋简体" w:eastAsia="方正小标宋简体" w:cs="方正小标宋简体"/>
          <w:b w:val="0"/>
          <w:bCs w:val="0"/>
          <w:color w:val="auto"/>
          <w:sz w:val="44"/>
          <w:szCs w:val="44"/>
          <w:highlight w:val="none"/>
          <w:lang w:val="en-US" w:eastAsia="zh-CN"/>
        </w:rPr>
      </w:pPr>
      <w:r>
        <w:rPr>
          <w:rFonts w:hint="eastAsia" w:ascii="方正小标宋简体" w:hAnsi="方正小标宋简体" w:eastAsia="方正小标宋简体" w:cs="方正小标宋简体"/>
          <w:b w:val="0"/>
          <w:bCs w:val="0"/>
          <w:color w:val="auto"/>
          <w:sz w:val="44"/>
          <w:szCs w:val="44"/>
          <w:highlight w:val="none"/>
          <w:lang w:val="en-US" w:eastAsia="zh-CN"/>
        </w:rPr>
        <w:t>石家庄市数据局</w:t>
      </w:r>
    </w:p>
    <w:p w14:paraId="3EBB529F">
      <w:pPr>
        <w:keepNext w:val="0"/>
        <w:keepLines w:val="0"/>
        <w:pageBreakBefore w:val="0"/>
        <w:widowControl w:val="0"/>
        <w:kinsoku/>
        <w:wordWrap/>
        <w:overflowPunct/>
        <w:topLinePunct w:val="0"/>
        <w:autoSpaceDE/>
        <w:autoSpaceDN/>
        <w:bidi w:val="0"/>
        <w:spacing w:line="600" w:lineRule="exact"/>
        <w:ind w:left="0" w:leftChars="0" w:right="0"/>
        <w:jc w:val="center"/>
        <w:textAlignment w:val="auto"/>
        <w:outlineLvl w:val="9"/>
        <w:rPr>
          <w:rFonts w:hint="eastAsia" w:ascii="方正仿宋_GB2312" w:hAnsi="方正仿宋_GB2312" w:eastAsia="方正仿宋_GB2312" w:cs="方正仿宋_GB2312"/>
          <w:b/>
          <w:bCs/>
          <w:color w:val="auto"/>
          <w:sz w:val="44"/>
          <w:szCs w:val="44"/>
          <w:highlight w:val="none"/>
          <w:lang w:eastAsia="zh-CN"/>
        </w:rPr>
      </w:pPr>
      <w:r>
        <w:rPr>
          <w:rFonts w:hint="eastAsia" w:ascii="方正小标宋简体" w:hAnsi="方正小标宋简体" w:eastAsia="方正小标宋简体" w:cs="方正小标宋简体"/>
          <w:b w:val="0"/>
          <w:bCs w:val="0"/>
          <w:color w:val="auto"/>
          <w:sz w:val="44"/>
          <w:szCs w:val="44"/>
          <w:highlight w:val="none"/>
          <w:lang w:val="en-US" w:eastAsia="zh-CN"/>
        </w:rPr>
        <w:t>2023年度整体支出绩效</w:t>
      </w:r>
      <w:r>
        <w:rPr>
          <w:rFonts w:hint="eastAsia" w:ascii="方正小标宋简体" w:hAnsi="方正小标宋简体" w:eastAsia="方正小标宋简体" w:cs="方正小标宋简体"/>
          <w:b w:val="0"/>
          <w:bCs w:val="0"/>
          <w:color w:val="auto"/>
          <w:sz w:val="44"/>
          <w:szCs w:val="44"/>
          <w:highlight w:val="none"/>
        </w:rPr>
        <w:t>自评报告</w:t>
      </w:r>
    </w:p>
    <w:p w14:paraId="7982C6D4">
      <w:pPr>
        <w:keepNext w:val="0"/>
        <w:keepLines w:val="0"/>
        <w:pageBreakBefore w:val="0"/>
        <w:widowControl w:val="0"/>
        <w:kinsoku/>
        <w:wordWrap/>
        <w:overflowPunct/>
        <w:topLinePunct w:val="0"/>
        <w:autoSpaceDE/>
        <w:autoSpaceDN/>
        <w:bidi w:val="0"/>
        <w:spacing w:line="600" w:lineRule="exact"/>
        <w:ind w:left="0" w:leftChars="0" w:right="0"/>
        <w:jc w:val="center"/>
        <w:textAlignment w:val="auto"/>
        <w:outlineLvl w:val="9"/>
        <w:rPr>
          <w:rFonts w:hint="eastAsia" w:ascii="方正仿宋_GB2312" w:hAnsi="方正仿宋_GB2312" w:eastAsia="方正仿宋_GB2312" w:cs="方正仿宋_GB2312"/>
          <w:color w:val="auto"/>
          <w:sz w:val="44"/>
          <w:szCs w:val="44"/>
          <w:highlight w:val="none"/>
        </w:rPr>
      </w:pPr>
    </w:p>
    <w:p w14:paraId="1CD1B00A">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贯彻落实</w:t>
      </w:r>
      <w:r>
        <w:rPr>
          <w:rFonts w:hint="eastAsia" w:ascii="仿宋_GB2312" w:hAnsi="仿宋_GB2312" w:eastAsia="仿宋_GB2312" w:cs="仿宋_GB2312"/>
          <w:color w:val="auto"/>
          <w:sz w:val="32"/>
          <w:szCs w:val="32"/>
          <w:highlight w:val="none"/>
          <w:lang w:eastAsia="zh-CN"/>
        </w:rPr>
        <w:t>市委市政府《关于全面落实预算绩效管理的实施意见》（石发﹝</w:t>
      </w:r>
      <w:r>
        <w:rPr>
          <w:rFonts w:hint="eastAsia" w:ascii="仿宋_GB2312" w:hAnsi="仿宋_GB2312" w:eastAsia="仿宋_GB2312" w:cs="仿宋_GB2312"/>
          <w:color w:val="auto"/>
          <w:sz w:val="32"/>
          <w:szCs w:val="32"/>
          <w:highlight w:val="none"/>
          <w:lang w:val="en-US" w:eastAsia="zh-CN"/>
        </w:rPr>
        <w:t>2019</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8号</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文件精神，遵循“科学性、规范性、客观性和公正性”的原则，对</w:t>
      </w:r>
      <w:r>
        <w:rPr>
          <w:rFonts w:hint="eastAsia" w:ascii="仿宋_GB2312" w:hAnsi="仿宋_GB2312" w:eastAsia="仿宋_GB2312" w:cs="仿宋_GB2312"/>
          <w:color w:val="auto"/>
          <w:sz w:val="32"/>
          <w:szCs w:val="32"/>
          <w:highlight w:val="none"/>
          <w:lang w:val="en-US" w:eastAsia="zh-CN"/>
        </w:rPr>
        <w:t>石家庄市数据局（原</w:t>
      </w:r>
      <w:r>
        <w:rPr>
          <w:rFonts w:hint="eastAsia" w:ascii="仿宋_GB2312" w:hAnsi="仿宋_GB2312" w:eastAsia="仿宋_GB2312" w:cs="仿宋_GB2312"/>
          <w:color w:val="auto"/>
          <w:sz w:val="32"/>
          <w:szCs w:val="32"/>
          <w:highlight w:val="none"/>
          <w:lang w:eastAsia="zh-CN"/>
        </w:rPr>
        <w:t>石家庄市</w:t>
      </w:r>
      <w:r>
        <w:rPr>
          <w:rFonts w:hint="eastAsia" w:ascii="仿宋_GB2312" w:hAnsi="仿宋_GB2312" w:eastAsia="仿宋_GB2312" w:cs="仿宋_GB2312"/>
          <w:color w:val="auto"/>
          <w:sz w:val="32"/>
          <w:szCs w:val="32"/>
          <w:highlight w:val="none"/>
          <w:lang w:val="en-US" w:eastAsia="zh-CN"/>
        </w:rPr>
        <w:t>数据资源管理局于2024年3月更名为石家庄市数据局</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2023年</w:t>
      </w:r>
      <w:r>
        <w:rPr>
          <w:rFonts w:hint="eastAsia" w:ascii="仿宋_GB2312" w:hAnsi="仿宋_GB2312" w:eastAsia="仿宋_GB2312" w:cs="仿宋_GB2312"/>
          <w:color w:val="auto"/>
          <w:sz w:val="32"/>
          <w:szCs w:val="32"/>
          <w:highlight w:val="none"/>
          <w:lang w:eastAsia="zh-CN"/>
        </w:rPr>
        <w:t>整体支出情况</w:t>
      </w:r>
      <w:r>
        <w:rPr>
          <w:rFonts w:hint="eastAsia" w:ascii="仿宋_GB2312" w:hAnsi="仿宋_GB2312" w:eastAsia="仿宋_GB2312" w:cs="仿宋_GB2312"/>
          <w:color w:val="auto"/>
          <w:sz w:val="32"/>
          <w:szCs w:val="32"/>
          <w:highlight w:val="none"/>
        </w:rPr>
        <w:t>实施了财政支出绩效自评价，形成本评价报告。</w:t>
      </w:r>
    </w:p>
    <w:p w14:paraId="36EC2200">
      <w:pPr>
        <w:keepNext w:val="0"/>
        <w:keepLines w:val="0"/>
        <w:pageBreakBefore w:val="0"/>
        <w:widowControl w:val="0"/>
        <w:numPr>
          <w:ilvl w:val="0"/>
          <w:numId w:val="1"/>
        </w:numPr>
        <w:kinsoku/>
        <w:wordWrap/>
        <w:overflowPunct/>
        <w:topLinePunct w:val="0"/>
        <w:autoSpaceDE/>
        <w:autoSpaceDN/>
        <w:bidi w:val="0"/>
        <w:adjustRightInd w:val="0"/>
        <w:snapToGrid w:val="0"/>
        <w:spacing w:line="600" w:lineRule="exact"/>
        <w:ind w:right="0" w:firstLine="640" w:firstLineChars="200"/>
        <w:textAlignment w:val="auto"/>
        <w:outlineLvl w:val="9"/>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lang w:eastAsia="zh-CN"/>
        </w:rPr>
        <w:t>部门</w:t>
      </w:r>
      <w:r>
        <w:rPr>
          <w:rFonts w:hint="eastAsia" w:ascii="黑体" w:hAnsi="黑体" w:eastAsia="黑体" w:cs="黑体"/>
          <w:color w:val="auto"/>
          <w:sz w:val="32"/>
          <w:szCs w:val="32"/>
          <w:highlight w:val="none"/>
        </w:rPr>
        <w:t>基本情况</w:t>
      </w:r>
    </w:p>
    <w:p w14:paraId="59F884EF">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right="0" w:rightChars="0" w:firstLine="640" w:firstLineChars="200"/>
        <w:textAlignment w:val="auto"/>
        <w:outlineLvl w:val="9"/>
        <w:rPr>
          <w:rFonts w:hint="eastAsia" w:ascii="楷体_GB2312" w:hAnsi="楷体_GB2312" w:eastAsia="楷体_GB2312" w:cs="楷体_GB2312"/>
          <w:b w:val="0"/>
          <w:bCs w:val="0"/>
          <w:color w:val="auto"/>
          <w:sz w:val="32"/>
          <w:szCs w:val="32"/>
          <w:highlight w:val="none"/>
        </w:rPr>
      </w:pPr>
      <w:r>
        <w:rPr>
          <w:rFonts w:hint="eastAsia" w:ascii="楷体_GB2312" w:hAnsi="楷体_GB2312" w:eastAsia="楷体_GB2312" w:cs="楷体_GB2312"/>
          <w:b w:val="0"/>
          <w:bCs w:val="0"/>
          <w:color w:val="auto"/>
          <w:sz w:val="32"/>
          <w:szCs w:val="32"/>
          <w:highlight w:val="none"/>
        </w:rPr>
        <w:t>（一）</w:t>
      </w:r>
      <w:r>
        <w:rPr>
          <w:rFonts w:hint="eastAsia" w:ascii="楷体_GB2312" w:hAnsi="楷体_GB2312" w:eastAsia="楷体_GB2312" w:cs="楷体_GB2312"/>
          <w:b w:val="0"/>
          <w:bCs w:val="0"/>
          <w:color w:val="auto"/>
          <w:sz w:val="32"/>
          <w:szCs w:val="32"/>
          <w:highlight w:val="none"/>
          <w:lang w:eastAsia="zh-CN"/>
        </w:rPr>
        <w:t>部门</w:t>
      </w:r>
      <w:r>
        <w:rPr>
          <w:rFonts w:hint="eastAsia" w:ascii="楷体_GB2312" w:hAnsi="楷体_GB2312" w:eastAsia="楷体_GB2312" w:cs="楷体_GB2312"/>
          <w:b w:val="0"/>
          <w:bCs w:val="0"/>
          <w:color w:val="auto"/>
          <w:sz w:val="32"/>
          <w:szCs w:val="32"/>
          <w:highlight w:val="none"/>
        </w:rPr>
        <w:t>概况</w:t>
      </w:r>
    </w:p>
    <w:p w14:paraId="683E9066">
      <w:pPr>
        <w:keepNext w:val="0"/>
        <w:keepLines w:val="0"/>
        <w:pageBreakBefore w:val="0"/>
        <w:widowControl w:val="0"/>
        <w:numPr>
          <w:ilvl w:val="0"/>
          <w:numId w:val="2"/>
        </w:numPr>
        <w:kinsoku/>
        <w:wordWrap/>
        <w:overflowPunct/>
        <w:topLinePunct w:val="0"/>
        <w:autoSpaceDE/>
        <w:autoSpaceDN/>
        <w:bidi w:val="0"/>
        <w:spacing w:line="600" w:lineRule="exact"/>
        <w:ind w:left="0" w:leftChars="0" w:firstLine="640" w:firstLineChars="200"/>
        <w:jc w:val="both"/>
        <w:textAlignment w:val="auto"/>
        <w:outlineLvl w:val="9"/>
        <w:rPr>
          <w:rFonts w:hint="eastAsia" w:ascii="仿宋_GB2312" w:hAnsi="仿宋_GB2312" w:eastAsia="仿宋_GB2312" w:cs="仿宋_GB2312"/>
          <w:b w:val="0"/>
          <w:bCs w:val="0"/>
          <w:color w:val="auto"/>
          <w:kern w:val="2"/>
          <w:sz w:val="32"/>
          <w:szCs w:val="32"/>
          <w:highlight w:val="none"/>
          <w:lang w:val="en-US" w:eastAsia="zh-CN" w:bidi="ar-SA"/>
        </w:rPr>
      </w:pPr>
      <w:r>
        <w:rPr>
          <w:rFonts w:hint="eastAsia" w:ascii="仿宋_GB2312" w:hAnsi="仿宋_GB2312" w:eastAsia="仿宋_GB2312" w:cs="仿宋_GB2312"/>
          <w:b w:val="0"/>
          <w:bCs w:val="0"/>
          <w:color w:val="auto"/>
          <w:kern w:val="2"/>
          <w:sz w:val="32"/>
          <w:szCs w:val="32"/>
          <w:highlight w:val="none"/>
          <w:lang w:val="en-US" w:eastAsia="zh-CN" w:bidi="ar-SA"/>
        </w:rPr>
        <w:t>部门主要职责</w:t>
      </w:r>
    </w:p>
    <w:p w14:paraId="1016F106">
      <w:pPr>
        <w:keepNext w:val="0"/>
        <w:keepLines w:val="0"/>
        <w:pageBreakBefore w:val="0"/>
        <w:widowControl w:val="0"/>
        <w:kinsoku/>
        <w:wordWrap/>
        <w:overflowPunct/>
        <w:topLinePunct w:val="0"/>
        <w:autoSpaceDE/>
        <w:autoSpaceDN/>
        <w:bidi w:val="0"/>
        <w:spacing w:line="600" w:lineRule="exact"/>
        <w:ind w:firstLine="640" w:firstLineChars="200"/>
        <w:jc w:val="both"/>
        <w:textAlignment w:val="auto"/>
        <w:outlineLvl w:val="9"/>
        <w:rPr>
          <w:rFonts w:hint="eastAsia" w:ascii="仿宋_GB2312" w:hAnsi="仿宋_GB2312" w:eastAsia="仿宋_GB2312" w:cs="仿宋_GB2312"/>
          <w:b w:val="0"/>
          <w:bCs w:val="0"/>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根据《石家庄市数据资源管理局职能配置、内设机构和人员编制规定》（注：</w:t>
      </w:r>
      <w:r>
        <w:rPr>
          <w:rFonts w:hint="eastAsia" w:ascii="仿宋_GB2312" w:hAnsi="仿宋_GB2312" w:eastAsia="仿宋_GB2312" w:cs="仿宋_GB2312"/>
          <w:color w:val="auto"/>
          <w:sz w:val="32"/>
          <w:szCs w:val="32"/>
          <w:highlight w:val="none"/>
          <w:lang w:val="en-US" w:eastAsia="zh-CN"/>
        </w:rPr>
        <w:t>原</w:t>
      </w:r>
      <w:r>
        <w:rPr>
          <w:rFonts w:hint="eastAsia" w:ascii="仿宋_GB2312" w:hAnsi="仿宋_GB2312" w:eastAsia="仿宋_GB2312" w:cs="仿宋_GB2312"/>
          <w:color w:val="auto"/>
          <w:sz w:val="32"/>
          <w:szCs w:val="32"/>
          <w:highlight w:val="none"/>
          <w:lang w:eastAsia="zh-CN"/>
        </w:rPr>
        <w:t>石家庄市</w:t>
      </w:r>
      <w:r>
        <w:rPr>
          <w:rFonts w:hint="eastAsia" w:ascii="仿宋_GB2312" w:hAnsi="仿宋_GB2312" w:eastAsia="仿宋_GB2312" w:cs="仿宋_GB2312"/>
          <w:color w:val="auto"/>
          <w:sz w:val="32"/>
          <w:szCs w:val="32"/>
          <w:highlight w:val="none"/>
          <w:lang w:val="en-US" w:eastAsia="zh-CN"/>
        </w:rPr>
        <w:t>数据资源管理局于2024年3月更名为石家庄市数据局，文件名称中沿用原名</w:t>
      </w:r>
      <w:r>
        <w:rPr>
          <w:rFonts w:hint="eastAsia" w:ascii="仿宋_GB2312" w:hAnsi="仿宋_GB2312" w:eastAsia="仿宋_GB2312" w:cs="仿宋_GB2312"/>
          <w:color w:val="auto"/>
          <w:kern w:val="2"/>
          <w:sz w:val="32"/>
          <w:szCs w:val="32"/>
          <w:highlight w:val="none"/>
          <w:lang w:val="en-US" w:eastAsia="zh-CN" w:bidi="ar-SA"/>
        </w:rPr>
        <w:t>），</w:t>
      </w:r>
      <w:r>
        <w:rPr>
          <w:rFonts w:hint="eastAsia" w:ascii="仿宋_GB2312" w:hAnsi="仿宋_GB2312" w:eastAsia="仿宋_GB2312" w:cs="仿宋_GB2312"/>
          <w:b w:val="0"/>
          <w:bCs w:val="0"/>
          <w:color w:val="auto"/>
          <w:kern w:val="2"/>
          <w:sz w:val="32"/>
          <w:szCs w:val="32"/>
          <w:highlight w:val="none"/>
          <w:lang w:val="en-US" w:eastAsia="zh-CN" w:bidi="ar-SA"/>
        </w:rPr>
        <w:t>石家庄市数据局的主要职责是：</w:t>
      </w:r>
    </w:p>
    <w:p w14:paraId="025069A3">
      <w:pPr>
        <w:keepNext w:val="0"/>
        <w:keepLines w:val="0"/>
        <w:pageBreakBefore w:val="0"/>
        <w:widowControl w:val="0"/>
        <w:numPr>
          <w:ilvl w:val="0"/>
          <w:numId w:val="3"/>
        </w:numPr>
        <w:kinsoku/>
        <w:wordWrap/>
        <w:overflowPunct/>
        <w:topLinePunct w:val="0"/>
        <w:autoSpaceDE/>
        <w:autoSpaceDN/>
        <w:bidi w:val="0"/>
        <w:spacing w:line="600" w:lineRule="exact"/>
        <w:ind w:firstLine="640" w:firstLineChars="200"/>
        <w:jc w:val="both"/>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贯彻执行国家、省有关电子政务、智慧城市、政务服务和数据资源管理的方针政策和法律法规，起草相关地方性法规、政府规章草案，拟订全市数据资源管理发展规划、年度计划、政策措施和评价体系并组织实施。</w:t>
      </w:r>
    </w:p>
    <w:p w14:paraId="7B99253B">
      <w:pPr>
        <w:keepNext w:val="0"/>
        <w:keepLines w:val="0"/>
        <w:pageBreakBefore w:val="0"/>
        <w:widowControl w:val="0"/>
        <w:numPr>
          <w:ilvl w:val="0"/>
          <w:numId w:val="3"/>
        </w:numPr>
        <w:kinsoku/>
        <w:wordWrap/>
        <w:overflowPunct/>
        <w:topLinePunct w:val="0"/>
        <w:autoSpaceDE/>
        <w:autoSpaceDN/>
        <w:bidi w:val="0"/>
        <w:spacing w:line="600" w:lineRule="exact"/>
        <w:ind w:firstLine="640" w:firstLineChars="200"/>
        <w:jc w:val="both"/>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组织实施国家和地方数据技术标准；研究制定我市数据资源采集、存储、使用、开放、共享等标准规范并监督实施。</w:t>
      </w:r>
    </w:p>
    <w:p w14:paraId="718BEE88">
      <w:pPr>
        <w:keepNext w:val="0"/>
        <w:keepLines w:val="0"/>
        <w:pageBreakBefore w:val="0"/>
        <w:widowControl w:val="0"/>
        <w:numPr>
          <w:ilvl w:val="0"/>
          <w:numId w:val="3"/>
        </w:numPr>
        <w:kinsoku/>
        <w:wordWrap/>
        <w:overflowPunct/>
        <w:topLinePunct w:val="0"/>
        <w:autoSpaceDE/>
        <w:autoSpaceDN/>
        <w:bidi w:val="0"/>
        <w:spacing w:line="600" w:lineRule="exact"/>
        <w:ind w:firstLine="640" w:firstLineChars="200"/>
        <w:jc w:val="both"/>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会同政务服务管理部门做好“互联网+政务服务”工作的规划及有关项目建设工作。负责在线政务服务平台建设。推进在线政务服务平台规范化、标准化、集约化建设。</w:t>
      </w:r>
    </w:p>
    <w:p w14:paraId="790A3F92">
      <w:pPr>
        <w:keepNext w:val="0"/>
        <w:keepLines w:val="0"/>
        <w:pageBreakBefore w:val="0"/>
        <w:widowControl w:val="0"/>
        <w:numPr>
          <w:ilvl w:val="0"/>
          <w:numId w:val="3"/>
        </w:numPr>
        <w:kinsoku/>
        <w:wordWrap/>
        <w:overflowPunct/>
        <w:topLinePunct w:val="0"/>
        <w:autoSpaceDE/>
        <w:autoSpaceDN/>
        <w:bidi w:val="0"/>
        <w:spacing w:line="600" w:lineRule="exact"/>
        <w:ind w:firstLine="640" w:firstLineChars="200"/>
        <w:jc w:val="both"/>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拟订全市政务数据和公共数据资源的目录制定、归集管理、整理利用、共享开放管理办法并组织实施，推动数据资源在政府管理和社会治理领域的应用。</w:t>
      </w:r>
    </w:p>
    <w:p w14:paraId="5426BED8">
      <w:pPr>
        <w:keepNext w:val="0"/>
        <w:keepLines w:val="0"/>
        <w:pageBreakBefore w:val="0"/>
        <w:widowControl w:val="0"/>
        <w:numPr>
          <w:ilvl w:val="0"/>
          <w:numId w:val="3"/>
        </w:numPr>
        <w:kinsoku/>
        <w:wordWrap/>
        <w:overflowPunct/>
        <w:topLinePunct w:val="0"/>
        <w:autoSpaceDE/>
        <w:autoSpaceDN/>
        <w:bidi w:val="0"/>
        <w:spacing w:line="600" w:lineRule="exact"/>
        <w:ind w:firstLine="640" w:firstLineChars="200"/>
        <w:jc w:val="both"/>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负责市电子政务组织推动工作，负责市政务网络建设管理和党政机关信息化应用建设指导，负责市级智慧城市项目建设和数据资源基础设施建设管理，提出各部门统筹安排市级信息化项目及资金的使用建议。</w:t>
      </w:r>
    </w:p>
    <w:p w14:paraId="30A6C49F">
      <w:pPr>
        <w:keepNext w:val="0"/>
        <w:keepLines w:val="0"/>
        <w:pageBreakBefore w:val="0"/>
        <w:widowControl w:val="0"/>
        <w:numPr>
          <w:ilvl w:val="0"/>
          <w:numId w:val="3"/>
        </w:numPr>
        <w:kinsoku/>
        <w:wordWrap/>
        <w:overflowPunct/>
        <w:topLinePunct w:val="0"/>
        <w:autoSpaceDE/>
        <w:autoSpaceDN/>
        <w:bidi w:val="0"/>
        <w:spacing w:line="600" w:lineRule="exact"/>
        <w:ind w:firstLine="640" w:firstLineChars="200"/>
        <w:jc w:val="both"/>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负责全市数据资源、政务信息化领域的对外交流合作；会同有关部门做好全市数据资源、政务信息化人才培养等工作。</w:t>
      </w:r>
    </w:p>
    <w:p w14:paraId="46A37CA8">
      <w:pPr>
        <w:keepNext w:val="0"/>
        <w:keepLines w:val="0"/>
        <w:pageBreakBefore w:val="0"/>
        <w:widowControl w:val="0"/>
        <w:numPr>
          <w:ilvl w:val="0"/>
          <w:numId w:val="3"/>
        </w:numPr>
        <w:kinsoku/>
        <w:wordWrap/>
        <w:overflowPunct/>
        <w:topLinePunct w:val="0"/>
        <w:autoSpaceDE/>
        <w:autoSpaceDN/>
        <w:bidi w:val="0"/>
        <w:spacing w:line="600" w:lineRule="exact"/>
        <w:ind w:firstLine="640" w:firstLineChars="200"/>
        <w:jc w:val="both"/>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负责指导全市经济社会各领域的数据资源开发利用工作，促进全市数据资源产业发展；负责数据资源相关技术研发、行业数据分析成果转化等工作。</w:t>
      </w:r>
    </w:p>
    <w:p w14:paraId="08968349">
      <w:pPr>
        <w:keepNext w:val="0"/>
        <w:keepLines w:val="0"/>
        <w:pageBreakBefore w:val="0"/>
        <w:widowControl w:val="0"/>
        <w:numPr>
          <w:ilvl w:val="0"/>
          <w:numId w:val="3"/>
        </w:numPr>
        <w:kinsoku/>
        <w:wordWrap/>
        <w:overflowPunct/>
        <w:topLinePunct w:val="0"/>
        <w:autoSpaceDE/>
        <w:autoSpaceDN/>
        <w:bidi w:val="0"/>
        <w:spacing w:line="600" w:lineRule="exact"/>
        <w:ind w:firstLine="640" w:firstLineChars="200"/>
        <w:jc w:val="both"/>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负责政府门户网站的建设与管理等工作，指导各县（市、区）政府和市直党政群机关门户网站建设。</w:t>
      </w:r>
    </w:p>
    <w:p w14:paraId="3D9B879F">
      <w:pPr>
        <w:keepNext w:val="0"/>
        <w:keepLines w:val="0"/>
        <w:pageBreakBefore w:val="0"/>
        <w:widowControl w:val="0"/>
        <w:numPr>
          <w:ilvl w:val="0"/>
          <w:numId w:val="3"/>
        </w:numPr>
        <w:kinsoku/>
        <w:wordWrap/>
        <w:overflowPunct/>
        <w:topLinePunct w:val="0"/>
        <w:autoSpaceDE/>
        <w:autoSpaceDN/>
        <w:bidi w:val="0"/>
        <w:spacing w:line="600" w:lineRule="exact"/>
        <w:ind w:firstLine="640" w:firstLineChars="200"/>
        <w:jc w:val="both"/>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2"/>
          <w:sz w:val="32"/>
          <w:szCs w:val="32"/>
          <w:highlight w:val="none"/>
          <w:lang w:val="en-US" w:eastAsia="zh-CN" w:bidi="ar-SA"/>
        </w:rPr>
        <w:t>负责全市数据资源安全保障体系建设，会同有关部门指导各级各部门政务数据资源和公共数据资源的安全保障工作。</w:t>
      </w:r>
    </w:p>
    <w:p w14:paraId="418C4B2B">
      <w:pPr>
        <w:keepNext w:val="0"/>
        <w:keepLines w:val="0"/>
        <w:pageBreakBefore w:val="0"/>
        <w:widowControl w:val="0"/>
        <w:numPr>
          <w:ilvl w:val="0"/>
          <w:numId w:val="3"/>
        </w:numPr>
        <w:kinsoku/>
        <w:wordWrap/>
        <w:overflowPunct/>
        <w:topLinePunct w:val="0"/>
        <w:autoSpaceDE/>
        <w:autoSpaceDN/>
        <w:bidi w:val="0"/>
        <w:spacing w:line="600" w:lineRule="exact"/>
        <w:ind w:firstLine="640" w:firstLineChars="200"/>
        <w:jc w:val="both"/>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2"/>
          <w:sz w:val="32"/>
          <w:szCs w:val="32"/>
          <w:highlight w:val="none"/>
          <w:lang w:val="en-US" w:eastAsia="zh-CN" w:bidi="ar-SA"/>
        </w:rPr>
        <w:t>完成市委、市政府交办的其他任务。</w:t>
      </w:r>
    </w:p>
    <w:p w14:paraId="196BB998">
      <w:pPr>
        <w:keepNext w:val="0"/>
        <w:keepLines w:val="0"/>
        <w:pageBreakBefore w:val="0"/>
        <w:widowControl w:val="0"/>
        <w:numPr>
          <w:ilvl w:val="0"/>
          <w:numId w:val="2"/>
        </w:numPr>
        <w:kinsoku/>
        <w:wordWrap/>
        <w:overflowPunct/>
        <w:topLinePunct w:val="0"/>
        <w:autoSpaceDE/>
        <w:autoSpaceDN/>
        <w:bidi w:val="0"/>
        <w:spacing w:line="600" w:lineRule="exact"/>
        <w:ind w:left="0" w:leftChars="0" w:firstLine="640" w:firstLineChars="200"/>
        <w:jc w:val="both"/>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部门组织机构及人员编制情况</w:t>
      </w:r>
    </w:p>
    <w:p w14:paraId="03CBAA93">
      <w:pPr>
        <w:pStyle w:val="3"/>
        <w:keepNext w:val="0"/>
        <w:keepLines w:val="0"/>
        <w:pageBreakBefore w:val="0"/>
        <w:widowControl w:val="0"/>
        <w:kinsoku/>
        <w:wordWrap/>
        <w:overflowPunct/>
        <w:topLinePunct w:val="0"/>
        <w:autoSpaceDE/>
        <w:autoSpaceDN/>
        <w:bidi w:val="0"/>
        <w:adjustRightInd/>
        <w:snapToGrid/>
        <w:spacing w:after="0" w:line="600" w:lineRule="exact"/>
        <w:ind w:left="0" w:leftChars="0" w:right="0" w:rightChars="0" w:firstLine="640" w:firstLineChars="200"/>
        <w:jc w:val="both"/>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根据《中共</w:t>
      </w:r>
      <w:r>
        <w:rPr>
          <w:rFonts w:hint="eastAsia" w:ascii="仿宋_GB2312" w:hAnsi="仿宋_GB2312" w:eastAsia="仿宋_GB2312" w:cs="仿宋_GB2312"/>
          <w:color w:val="auto"/>
          <w:kern w:val="2"/>
          <w:sz w:val="32"/>
          <w:szCs w:val="32"/>
          <w:highlight w:val="none"/>
          <w:lang w:val="en-US" w:eastAsia="zh-CN" w:bidi="ar-SA"/>
        </w:rPr>
        <w:fldChar w:fldCharType="begin"/>
      </w:r>
      <w:r>
        <w:rPr>
          <w:rFonts w:hint="eastAsia" w:ascii="仿宋_GB2312" w:hAnsi="仿宋_GB2312" w:eastAsia="仿宋_GB2312" w:cs="仿宋_GB2312"/>
          <w:color w:val="auto"/>
          <w:kern w:val="2"/>
          <w:sz w:val="32"/>
          <w:szCs w:val="32"/>
          <w:highlight w:val="none"/>
          <w:lang w:val="en-US" w:eastAsia="zh-CN" w:bidi="ar-SA"/>
        </w:rPr>
        <w:instrText xml:space="preserve"> HYPERLINK "https://baike.baidu.com/item/%E6%B2%B3%E5%8C%97%E7%9C%81/153775" \t "https://baike.baidu.com/item/%E7%9F%B3%E5%AE%B6%E5%BA%84%E5%B8%82%E6%95%B0%E6%8D%AE%E8%B5%84%E6%BA%90%E7%AE%A1%E7%90%86%E5%B1%80/_blank" </w:instrText>
      </w:r>
      <w:r>
        <w:rPr>
          <w:rFonts w:hint="eastAsia" w:ascii="仿宋_GB2312" w:hAnsi="仿宋_GB2312" w:eastAsia="仿宋_GB2312" w:cs="仿宋_GB2312"/>
          <w:color w:val="auto"/>
          <w:kern w:val="2"/>
          <w:sz w:val="32"/>
          <w:szCs w:val="32"/>
          <w:highlight w:val="none"/>
          <w:lang w:val="en-US" w:eastAsia="zh-CN" w:bidi="ar-SA"/>
        </w:rPr>
        <w:fldChar w:fldCharType="separate"/>
      </w:r>
      <w:r>
        <w:rPr>
          <w:rFonts w:hint="eastAsia" w:ascii="仿宋_GB2312" w:hAnsi="仿宋_GB2312" w:eastAsia="仿宋_GB2312" w:cs="仿宋_GB2312"/>
          <w:color w:val="auto"/>
          <w:kern w:val="2"/>
          <w:sz w:val="32"/>
          <w:szCs w:val="32"/>
          <w:highlight w:val="none"/>
          <w:lang w:val="en-US" w:eastAsia="zh-CN" w:bidi="ar-SA"/>
        </w:rPr>
        <w:t>河北省</w:t>
      </w:r>
      <w:r>
        <w:rPr>
          <w:rFonts w:hint="eastAsia" w:ascii="仿宋_GB2312" w:hAnsi="仿宋_GB2312" w:eastAsia="仿宋_GB2312" w:cs="仿宋_GB2312"/>
          <w:color w:val="auto"/>
          <w:kern w:val="2"/>
          <w:sz w:val="32"/>
          <w:szCs w:val="32"/>
          <w:highlight w:val="none"/>
          <w:lang w:val="en-US" w:eastAsia="zh-CN" w:bidi="ar-SA"/>
        </w:rPr>
        <w:fldChar w:fldCharType="end"/>
      </w:r>
      <w:r>
        <w:rPr>
          <w:rFonts w:hint="eastAsia" w:ascii="仿宋_GB2312" w:hAnsi="仿宋_GB2312" w:eastAsia="仿宋_GB2312" w:cs="仿宋_GB2312"/>
          <w:color w:val="auto"/>
          <w:kern w:val="2"/>
          <w:sz w:val="32"/>
          <w:szCs w:val="32"/>
          <w:highlight w:val="none"/>
          <w:lang w:val="en-US" w:eastAsia="zh-CN" w:bidi="ar-SA"/>
        </w:rPr>
        <w:t>委办公厅、</w:t>
      </w:r>
      <w:r>
        <w:rPr>
          <w:rFonts w:hint="eastAsia" w:ascii="仿宋_GB2312" w:hAnsi="仿宋_GB2312" w:eastAsia="仿宋_GB2312" w:cs="仿宋_GB2312"/>
          <w:color w:val="auto"/>
          <w:kern w:val="2"/>
          <w:sz w:val="32"/>
          <w:szCs w:val="32"/>
          <w:highlight w:val="none"/>
          <w:lang w:val="en-US" w:eastAsia="zh-CN" w:bidi="ar-SA"/>
        </w:rPr>
        <w:fldChar w:fldCharType="begin"/>
      </w:r>
      <w:r>
        <w:rPr>
          <w:rFonts w:hint="eastAsia" w:ascii="仿宋_GB2312" w:hAnsi="仿宋_GB2312" w:eastAsia="仿宋_GB2312" w:cs="仿宋_GB2312"/>
          <w:color w:val="auto"/>
          <w:kern w:val="2"/>
          <w:sz w:val="32"/>
          <w:szCs w:val="32"/>
          <w:highlight w:val="none"/>
          <w:lang w:val="en-US" w:eastAsia="zh-CN" w:bidi="ar-SA"/>
        </w:rPr>
        <w:instrText xml:space="preserve"> HYPERLINK "https://baike.baidu.com/item/%E6%B2%B3%E5%8C%97%E7%9C%81%E4%BA%BA%E6%B0%91%E6%94%BF%E5%BA%9C%E5%8A%9E%E5%85%AC%E5%8E%85/7054123" \t "https://baike.baidu.com/item/%E7%9F%B3%E5%AE%B6%E5%BA%84%E5%B8%82%E6%95%B0%E6%8D%AE%E8%B5%84%E6%BA%90%E7%AE%A1%E7%90%86%E5%B1%80/_blank" </w:instrText>
      </w:r>
      <w:r>
        <w:rPr>
          <w:rFonts w:hint="eastAsia" w:ascii="仿宋_GB2312" w:hAnsi="仿宋_GB2312" w:eastAsia="仿宋_GB2312" w:cs="仿宋_GB2312"/>
          <w:color w:val="auto"/>
          <w:kern w:val="2"/>
          <w:sz w:val="32"/>
          <w:szCs w:val="32"/>
          <w:highlight w:val="none"/>
          <w:lang w:val="en-US" w:eastAsia="zh-CN" w:bidi="ar-SA"/>
        </w:rPr>
        <w:fldChar w:fldCharType="separate"/>
      </w:r>
      <w:r>
        <w:rPr>
          <w:rFonts w:hint="eastAsia" w:ascii="仿宋_GB2312" w:hAnsi="仿宋_GB2312" w:eastAsia="仿宋_GB2312" w:cs="仿宋_GB2312"/>
          <w:color w:val="auto"/>
          <w:kern w:val="2"/>
          <w:sz w:val="32"/>
          <w:szCs w:val="32"/>
          <w:highlight w:val="none"/>
          <w:lang w:val="en-US" w:eastAsia="zh-CN" w:bidi="ar-SA"/>
        </w:rPr>
        <w:t>河北省人民政府办公厅</w:t>
      </w:r>
      <w:r>
        <w:rPr>
          <w:rFonts w:hint="eastAsia" w:ascii="仿宋_GB2312" w:hAnsi="仿宋_GB2312" w:eastAsia="仿宋_GB2312" w:cs="仿宋_GB2312"/>
          <w:color w:val="auto"/>
          <w:kern w:val="2"/>
          <w:sz w:val="32"/>
          <w:szCs w:val="32"/>
          <w:highlight w:val="none"/>
          <w:lang w:val="en-US" w:eastAsia="zh-CN" w:bidi="ar-SA"/>
        </w:rPr>
        <w:fldChar w:fldCharType="end"/>
      </w:r>
      <w:r>
        <w:rPr>
          <w:rFonts w:hint="eastAsia" w:ascii="仿宋_GB2312" w:hAnsi="仿宋_GB2312" w:eastAsia="仿宋_GB2312" w:cs="仿宋_GB2312"/>
          <w:color w:val="auto"/>
          <w:kern w:val="2"/>
          <w:sz w:val="32"/>
          <w:szCs w:val="32"/>
          <w:highlight w:val="none"/>
          <w:lang w:val="en-US" w:eastAsia="zh-CN" w:bidi="ar-SA"/>
        </w:rPr>
        <w:t>关于印发〈</w:t>
      </w:r>
      <w:r>
        <w:rPr>
          <w:rFonts w:hint="eastAsia" w:ascii="仿宋_GB2312" w:hAnsi="仿宋_GB2312" w:eastAsia="仿宋_GB2312" w:cs="仿宋_GB2312"/>
          <w:color w:val="auto"/>
          <w:kern w:val="2"/>
          <w:sz w:val="32"/>
          <w:szCs w:val="32"/>
          <w:highlight w:val="none"/>
          <w:lang w:val="en-US" w:eastAsia="zh-CN" w:bidi="ar-SA"/>
        </w:rPr>
        <w:fldChar w:fldCharType="begin"/>
      </w:r>
      <w:r>
        <w:rPr>
          <w:rFonts w:hint="eastAsia" w:ascii="仿宋_GB2312" w:hAnsi="仿宋_GB2312" w:eastAsia="仿宋_GB2312" w:cs="仿宋_GB2312"/>
          <w:color w:val="auto"/>
          <w:kern w:val="2"/>
          <w:sz w:val="32"/>
          <w:szCs w:val="32"/>
          <w:highlight w:val="none"/>
          <w:lang w:val="en-US" w:eastAsia="zh-CN" w:bidi="ar-SA"/>
        </w:rPr>
        <w:instrText xml:space="preserve"> HYPERLINK "https://baike.baidu.com/item/%E7%9F%B3%E5%AE%B6%E5%BA%84%E5%B8%82%E6%9C%BA%E6%9E%84%E6%94%B9%E9%9D%A9%E6%96%B9%E6%A1%88/23247354" \t "https://baike.baidu.com/item/%E7%9F%B3%E5%AE%B6%E5%BA%84%E5%B8%82%E6%95%B0%E6%8D%AE%E8%B5%84%E6%BA%90%E7%AE%A1%E7%90%86%E5%B1%80/_blank" </w:instrText>
      </w:r>
      <w:r>
        <w:rPr>
          <w:rFonts w:hint="eastAsia" w:ascii="仿宋_GB2312" w:hAnsi="仿宋_GB2312" w:eastAsia="仿宋_GB2312" w:cs="仿宋_GB2312"/>
          <w:color w:val="auto"/>
          <w:kern w:val="2"/>
          <w:sz w:val="32"/>
          <w:szCs w:val="32"/>
          <w:highlight w:val="none"/>
          <w:lang w:val="en-US" w:eastAsia="zh-CN" w:bidi="ar-SA"/>
        </w:rPr>
        <w:fldChar w:fldCharType="separate"/>
      </w:r>
      <w:r>
        <w:rPr>
          <w:rFonts w:hint="eastAsia" w:ascii="仿宋_GB2312" w:hAnsi="仿宋_GB2312" w:eastAsia="仿宋_GB2312" w:cs="仿宋_GB2312"/>
          <w:color w:val="auto"/>
          <w:kern w:val="2"/>
          <w:sz w:val="32"/>
          <w:szCs w:val="32"/>
          <w:highlight w:val="none"/>
          <w:lang w:val="en-US" w:eastAsia="zh-CN" w:bidi="ar-SA"/>
        </w:rPr>
        <w:t>石家庄市机构改革方案</w:t>
      </w:r>
      <w:r>
        <w:rPr>
          <w:rFonts w:hint="eastAsia" w:ascii="仿宋_GB2312" w:hAnsi="仿宋_GB2312" w:eastAsia="仿宋_GB2312" w:cs="仿宋_GB2312"/>
          <w:color w:val="auto"/>
          <w:kern w:val="2"/>
          <w:sz w:val="32"/>
          <w:szCs w:val="32"/>
          <w:highlight w:val="none"/>
          <w:lang w:val="en-US" w:eastAsia="zh-CN" w:bidi="ar-SA"/>
        </w:rPr>
        <w:fldChar w:fldCharType="end"/>
      </w:r>
      <w:r>
        <w:rPr>
          <w:rFonts w:hint="eastAsia" w:ascii="仿宋_GB2312" w:hAnsi="仿宋_GB2312" w:eastAsia="仿宋_GB2312" w:cs="仿宋_GB2312"/>
          <w:color w:val="auto"/>
          <w:kern w:val="2"/>
          <w:sz w:val="32"/>
          <w:szCs w:val="32"/>
          <w:highlight w:val="none"/>
          <w:lang w:val="en-US" w:eastAsia="zh-CN" w:bidi="ar-SA"/>
        </w:rPr>
        <w:t>〉的通知》（冀办字〔2018〕106号），石家庄市数据局为市政府</w:t>
      </w:r>
      <w:r>
        <w:rPr>
          <w:rFonts w:hint="eastAsia" w:ascii="仿宋_GB2312" w:hAnsi="仿宋_GB2312" w:eastAsia="仿宋_GB2312" w:cs="仿宋_GB2312"/>
          <w:color w:val="auto"/>
          <w:kern w:val="2"/>
          <w:sz w:val="32"/>
          <w:szCs w:val="32"/>
          <w:highlight w:val="none"/>
          <w:lang w:val="en-US" w:eastAsia="zh-CN" w:bidi="ar-SA"/>
        </w:rPr>
        <w:fldChar w:fldCharType="begin"/>
      </w:r>
      <w:r>
        <w:rPr>
          <w:rFonts w:hint="eastAsia" w:ascii="仿宋_GB2312" w:hAnsi="仿宋_GB2312" w:eastAsia="仿宋_GB2312" w:cs="仿宋_GB2312"/>
          <w:color w:val="auto"/>
          <w:kern w:val="2"/>
          <w:sz w:val="32"/>
          <w:szCs w:val="32"/>
          <w:highlight w:val="none"/>
          <w:lang w:val="en-US" w:eastAsia="zh-CN" w:bidi="ar-SA"/>
        </w:rPr>
        <w:instrText xml:space="preserve"> HYPERLINK "https://baike.baidu.com/item/%E5%B7%A5%E4%BD%9C%E9%83%A8%E9%97%A8/22986209" \t "https://baike.baidu.com/item/%E7%9F%B3%E5%AE%B6%E5%BA%84%E5%B8%82%E6%95%B0%E6%8D%AE%E8%B5%84%E6%BA%90%E7%AE%A1%E7%90%86%E5%B1%80/_blank" </w:instrText>
      </w:r>
      <w:r>
        <w:rPr>
          <w:rFonts w:hint="eastAsia" w:ascii="仿宋_GB2312" w:hAnsi="仿宋_GB2312" w:eastAsia="仿宋_GB2312" w:cs="仿宋_GB2312"/>
          <w:color w:val="auto"/>
          <w:kern w:val="2"/>
          <w:sz w:val="32"/>
          <w:szCs w:val="32"/>
          <w:highlight w:val="none"/>
          <w:lang w:val="en-US" w:eastAsia="zh-CN" w:bidi="ar-SA"/>
        </w:rPr>
        <w:fldChar w:fldCharType="separate"/>
      </w:r>
      <w:r>
        <w:rPr>
          <w:rFonts w:hint="eastAsia" w:ascii="仿宋_GB2312" w:hAnsi="仿宋_GB2312" w:eastAsia="仿宋_GB2312" w:cs="仿宋_GB2312"/>
          <w:color w:val="auto"/>
          <w:kern w:val="2"/>
          <w:sz w:val="32"/>
          <w:szCs w:val="32"/>
          <w:highlight w:val="none"/>
          <w:lang w:val="en-US" w:eastAsia="zh-CN" w:bidi="ar-SA"/>
        </w:rPr>
        <w:t>工作部门</w:t>
      </w:r>
      <w:r>
        <w:rPr>
          <w:rFonts w:hint="eastAsia" w:ascii="仿宋_GB2312" w:hAnsi="仿宋_GB2312" w:eastAsia="仿宋_GB2312" w:cs="仿宋_GB2312"/>
          <w:color w:val="auto"/>
          <w:kern w:val="2"/>
          <w:sz w:val="32"/>
          <w:szCs w:val="32"/>
          <w:highlight w:val="none"/>
          <w:lang w:val="en-US" w:eastAsia="zh-CN" w:bidi="ar-SA"/>
        </w:rPr>
        <w:fldChar w:fldCharType="end"/>
      </w:r>
      <w:r>
        <w:rPr>
          <w:rFonts w:hint="eastAsia" w:ascii="仿宋_GB2312" w:hAnsi="仿宋_GB2312" w:eastAsia="仿宋_GB2312" w:cs="仿宋_GB2312"/>
          <w:color w:val="auto"/>
          <w:kern w:val="2"/>
          <w:sz w:val="32"/>
          <w:szCs w:val="32"/>
          <w:highlight w:val="none"/>
          <w:lang w:val="en-US" w:eastAsia="zh-CN" w:bidi="ar-SA"/>
        </w:rPr>
        <w:t>，</w:t>
      </w:r>
      <w:r>
        <w:rPr>
          <w:rFonts w:hint="eastAsia" w:ascii="仿宋_GB2312" w:hAnsi="仿宋_GB2312" w:eastAsia="仿宋_GB2312" w:cs="仿宋_GB2312"/>
          <w:color w:val="auto"/>
          <w:kern w:val="0"/>
          <w:sz w:val="32"/>
          <w:szCs w:val="32"/>
          <w:highlight w:val="none"/>
          <w:lang w:val="en-US" w:eastAsia="zh-CN" w:bidi="ar"/>
        </w:rPr>
        <w:t>石家庄市数据局为正处级行政单位，为一级预算单位</w:t>
      </w:r>
      <w:r>
        <w:rPr>
          <w:rFonts w:hint="eastAsia" w:ascii="仿宋_GB2312" w:hAnsi="仿宋_GB2312" w:eastAsia="仿宋_GB2312" w:cs="仿宋_GB2312"/>
          <w:color w:val="auto"/>
          <w:kern w:val="2"/>
          <w:sz w:val="32"/>
          <w:szCs w:val="32"/>
          <w:highlight w:val="none"/>
          <w:lang w:val="en-US" w:eastAsia="zh-CN" w:bidi="ar-SA"/>
        </w:rPr>
        <w:t>，经费保障形式为财政拨款。石家庄市数据局下设下属单位 1 个（石家庄市电子政务中心），为副处级事业单位。</w:t>
      </w:r>
    </w:p>
    <w:p w14:paraId="58222FCF">
      <w:pPr>
        <w:keepNext w:val="0"/>
        <w:keepLines w:val="0"/>
        <w:pageBreakBefore w:val="0"/>
        <w:widowControl w:val="0"/>
        <w:kinsoku/>
        <w:wordWrap/>
        <w:overflowPunct/>
        <w:topLinePunct w:val="0"/>
        <w:autoSpaceDE/>
        <w:autoSpaceDN/>
        <w:bidi w:val="0"/>
        <w:spacing w:line="600" w:lineRule="exact"/>
        <w:ind w:firstLine="640" w:firstLineChars="200"/>
        <w:jc w:val="both"/>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石家庄市数据局内设六个科室，均为正科级，单位在职人员共29人。六个正科级内设机构分别是：办公室、规划发展科、数据资源管理科、应用推广科、网络建设与安全科、机关党总支。</w:t>
      </w:r>
    </w:p>
    <w:p w14:paraId="0A305F8F">
      <w:pPr>
        <w:keepNext w:val="0"/>
        <w:keepLines w:val="0"/>
        <w:pageBreakBefore w:val="0"/>
        <w:widowControl w:val="0"/>
        <w:kinsoku/>
        <w:wordWrap/>
        <w:overflowPunct/>
        <w:topLinePunct w:val="0"/>
        <w:autoSpaceDE/>
        <w:autoSpaceDN/>
        <w:bidi w:val="0"/>
        <w:spacing w:line="600" w:lineRule="exact"/>
        <w:ind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bidi="ar-SA"/>
        </w:rPr>
        <w:t>石家庄市电子政务中心为副处级事业单位，单位在职人员共32人。</w:t>
      </w:r>
      <w:r>
        <w:rPr>
          <w:rFonts w:hint="eastAsia" w:ascii="仿宋_GB2312" w:hAnsi="仿宋_GB2312" w:eastAsia="仿宋_GB2312" w:cs="仿宋_GB2312"/>
          <w:color w:val="auto"/>
          <w:kern w:val="0"/>
          <w:sz w:val="32"/>
          <w:szCs w:val="32"/>
          <w:highlight w:val="none"/>
          <w:lang w:val="en-US" w:eastAsia="zh-CN" w:bidi="ar"/>
        </w:rPr>
        <w:t xml:space="preserve">    </w:t>
      </w:r>
    </w:p>
    <w:tbl>
      <w:tblPr>
        <w:tblStyle w:val="7"/>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66"/>
        <w:gridCol w:w="1284"/>
        <w:gridCol w:w="1224"/>
        <w:gridCol w:w="2424"/>
        <w:gridCol w:w="1263"/>
      </w:tblGrid>
      <w:tr w14:paraId="557F78BD">
        <w:trPr>
          <w:trHeight w:val="578" w:hRule="atLeast"/>
        </w:trPr>
        <w:tc>
          <w:tcPr>
            <w:tcW w:w="2866" w:type="dxa"/>
            <w:vAlign w:val="center"/>
          </w:tcPr>
          <w:p w14:paraId="2684D15B">
            <w:pPr>
              <w:pStyle w:val="2"/>
              <w:keepNext w:val="0"/>
              <w:keepLines w:val="0"/>
              <w:pageBreakBefore w:val="0"/>
              <w:kinsoku/>
              <w:overflowPunct/>
              <w:topLinePunct w:val="0"/>
              <w:autoSpaceDE/>
              <w:autoSpaceDN/>
              <w:bidi w:val="0"/>
              <w:spacing w:line="600" w:lineRule="exact"/>
              <w:ind w:left="0" w:leftChars="0" w:firstLine="0" w:firstLineChars="0"/>
              <w:jc w:val="both"/>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单位名称</w:t>
            </w:r>
          </w:p>
        </w:tc>
        <w:tc>
          <w:tcPr>
            <w:tcW w:w="1284" w:type="dxa"/>
            <w:vAlign w:val="center"/>
          </w:tcPr>
          <w:p w14:paraId="396454FF">
            <w:pPr>
              <w:pStyle w:val="2"/>
              <w:keepNext w:val="0"/>
              <w:keepLines w:val="0"/>
              <w:pageBreakBefore w:val="0"/>
              <w:kinsoku/>
              <w:overflowPunct/>
              <w:topLinePunct w:val="0"/>
              <w:autoSpaceDE/>
              <w:autoSpaceDN/>
              <w:bidi w:val="0"/>
              <w:spacing w:line="600" w:lineRule="exact"/>
              <w:ind w:left="0" w:leftChars="0" w:firstLine="0" w:firstLineChars="0"/>
              <w:jc w:val="both"/>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单位性质</w:t>
            </w:r>
          </w:p>
        </w:tc>
        <w:tc>
          <w:tcPr>
            <w:tcW w:w="1224" w:type="dxa"/>
            <w:vAlign w:val="center"/>
          </w:tcPr>
          <w:p w14:paraId="64CAA7CA">
            <w:pPr>
              <w:pStyle w:val="2"/>
              <w:keepNext w:val="0"/>
              <w:keepLines w:val="0"/>
              <w:pageBreakBefore w:val="0"/>
              <w:kinsoku/>
              <w:overflowPunct/>
              <w:topLinePunct w:val="0"/>
              <w:autoSpaceDE/>
              <w:autoSpaceDN/>
              <w:bidi w:val="0"/>
              <w:spacing w:line="600" w:lineRule="exact"/>
              <w:ind w:left="0" w:leftChars="0" w:firstLine="0" w:firstLineChars="0"/>
              <w:jc w:val="both"/>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单位规格</w:t>
            </w:r>
          </w:p>
        </w:tc>
        <w:tc>
          <w:tcPr>
            <w:tcW w:w="2424" w:type="dxa"/>
            <w:vAlign w:val="center"/>
          </w:tcPr>
          <w:p w14:paraId="60A8ED34">
            <w:pPr>
              <w:pStyle w:val="2"/>
              <w:keepNext w:val="0"/>
              <w:keepLines w:val="0"/>
              <w:pageBreakBefore w:val="0"/>
              <w:kinsoku/>
              <w:overflowPunct/>
              <w:topLinePunct w:val="0"/>
              <w:autoSpaceDE/>
              <w:autoSpaceDN/>
              <w:bidi w:val="0"/>
              <w:spacing w:line="600" w:lineRule="exact"/>
              <w:ind w:left="0" w:leftChars="0" w:firstLine="0" w:firstLineChars="0"/>
              <w:jc w:val="both"/>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经费保障形式</w:t>
            </w:r>
          </w:p>
        </w:tc>
        <w:tc>
          <w:tcPr>
            <w:tcW w:w="1263" w:type="dxa"/>
            <w:vAlign w:val="center"/>
          </w:tcPr>
          <w:p w14:paraId="58DCFAB1">
            <w:pPr>
              <w:pStyle w:val="2"/>
              <w:keepNext w:val="0"/>
              <w:keepLines w:val="0"/>
              <w:pageBreakBefore w:val="0"/>
              <w:kinsoku/>
              <w:overflowPunct/>
              <w:topLinePunct w:val="0"/>
              <w:autoSpaceDE/>
              <w:autoSpaceDN/>
              <w:bidi w:val="0"/>
              <w:spacing w:line="600" w:lineRule="exact"/>
              <w:ind w:left="0" w:leftChars="0" w:firstLine="0" w:firstLineChars="0"/>
              <w:jc w:val="both"/>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内设机构</w:t>
            </w:r>
          </w:p>
        </w:tc>
      </w:tr>
      <w:tr w14:paraId="1D3D7FE7">
        <w:trPr>
          <w:trHeight w:val="592" w:hRule="atLeast"/>
        </w:trPr>
        <w:tc>
          <w:tcPr>
            <w:tcW w:w="2866" w:type="dxa"/>
            <w:vAlign w:val="center"/>
          </w:tcPr>
          <w:p w14:paraId="6D8BC7AD">
            <w:pPr>
              <w:pStyle w:val="2"/>
              <w:keepNext w:val="0"/>
              <w:keepLines w:val="0"/>
              <w:pageBreakBefore w:val="0"/>
              <w:kinsoku/>
              <w:overflowPunct/>
              <w:topLinePunct w:val="0"/>
              <w:autoSpaceDE/>
              <w:autoSpaceDN/>
              <w:bidi w:val="0"/>
              <w:spacing w:line="600" w:lineRule="exact"/>
              <w:ind w:left="0" w:leftChars="0" w:firstLine="0" w:firstLineChars="0"/>
              <w:jc w:val="both"/>
              <w:rPr>
                <w:rFonts w:hint="eastAsia" w:ascii="宋体" w:hAnsi="宋体" w:eastAsia="宋体" w:cs="宋体"/>
                <w:color w:val="auto"/>
                <w:sz w:val="24"/>
                <w:szCs w:val="24"/>
                <w:highlight w:val="none"/>
                <w:vertAlign w:val="baseline"/>
                <w:lang w:val="en-US" w:eastAsia="zh-CN"/>
              </w:rPr>
            </w:pPr>
            <w:r>
              <w:rPr>
                <w:rFonts w:hint="eastAsia" w:ascii="宋体" w:hAnsi="宋体" w:cs="宋体"/>
                <w:color w:val="auto"/>
                <w:sz w:val="24"/>
                <w:szCs w:val="24"/>
                <w:highlight w:val="none"/>
                <w:vertAlign w:val="baseline"/>
                <w:lang w:val="en-US" w:eastAsia="zh-CN"/>
              </w:rPr>
              <w:t>石家庄市数据局</w:t>
            </w:r>
          </w:p>
        </w:tc>
        <w:tc>
          <w:tcPr>
            <w:tcW w:w="1284" w:type="dxa"/>
            <w:vAlign w:val="center"/>
          </w:tcPr>
          <w:p w14:paraId="491CBCA0">
            <w:pPr>
              <w:pStyle w:val="2"/>
              <w:keepNext w:val="0"/>
              <w:keepLines w:val="0"/>
              <w:pageBreakBefore w:val="0"/>
              <w:kinsoku/>
              <w:overflowPunct/>
              <w:topLinePunct w:val="0"/>
              <w:autoSpaceDE/>
              <w:autoSpaceDN/>
              <w:bidi w:val="0"/>
              <w:spacing w:line="600" w:lineRule="exact"/>
              <w:ind w:left="0" w:leftChars="0" w:firstLine="0" w:firstLine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行政</w:t>
            </w:r>
          </w:p>
        </w:tc>
        <w:tc>
          <w:tcPr>
            <w:tcW w:w="1224" w:type="dxa"/>
            <w:vAlign w:val="center"/>
          </w:tcPr>
          <w:p w14:paraId="36F59C9C">
            <w:pPr>
              <w:pStyle w:val="2"/>
              <w:keepNext w:val="0"/>
              <w:keepLines w:val="0"/>
              <w:pageBreakBefore w:val="0"/>
              <w:kinsoku/>
              <w:overflowPunct/>
              <w:topLinePunct w:val="0"/>
              <w:autoSpaceDE/>
              <w:autoSpaceDN/>
              <w:bidi w:val="0"/>
              <w:spacing w:line="600" w:lineRule="exact"/>
              <w:ind w:left="0" w:leftChars="0" w:firstLine="0" w:firstLine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正处级</w:t>
            </w:r>
          </w:p>
        </w:tc>
        <w:tc>
          <w:tcPr>
            <w:tcW w:w="2424" w:type="dxa"/>
            <w:vAlign w:val="center"/>
          </w:tcPr>
          <w:p w14:paraId="51CB32F0">
            <w:pPr>
              <w:pStyle w:val="2"/>
              <w:keepNext w:val="0"/>
              <w:keepLines w:val="0"/>
              <w:pageBreakBefore w:val="0"/>
              <w:kinsoku/>
              <w:overflowPunct/>
              <w:topLinePunct w:val="0"/>
              <w:autoSpaceDE/>
              <w:autoSpaceDN/>
              <w:bidi w:val="0"/>
              <w:spacing w:line="600" w:lineRule="exact"/>
              <w:ind w:left="0" w:leftChars="0" w:firstLine="0" w:firstLine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财政拨款</w:t>
            </w:r>
          </w:p>
        </w:tc>
        <w:tc>
          <w:tcPr>
            <w:tcW w:w="1263" w:type="dxa"/>
            <w:vAlign w:val="center"/>
          </w:tcPr>
          <w:p w14:paraId="40C395E8">
            <w:pPr>
              <w:pStyle w:val="2"/>
              <w:keepNext w:val="0"/>
              <w:keepLines w:val="0"/>
              <w:pageBreakBefore w:val="0"/>
              <w:kinsoku/>
              <w:overflowPunct/>
              <w:topLinePunct w:val="0"/>
              <w:autoSpaceDE/>
              <w:autoSpaceDN/>
              <w:bidi w:val="0"/>
              <w:spacing w:line="600" w:lineRule="exact"/>
              <w:ind w:left="0" w:leftChars="0" w:firstLine="0" w:firstLineChars="0"/>
              <w:jc w:val="both"/>
              <w:rPr>
                <w:rFonts w:hint="eastAsia" w:ascii="宋体" w:hAnsi="宋体" w:eastAsia="宋体" w:cs="宋体"/>
                <w:color w:val="auto"/>
                <w:sz w:val="24"/>
                <w:szCs w:val="24"/>
                <w:highlight w:val="none"/>
                <w:vertAlign w:val="baseline"/>
                <w:lang w:val="en-US" w:eastAsia="zh-CN"/>
              </w:rPr>
            </w:pPr>
            <w:r>
              <w:rPr>
                <w:rFonts w:hint="eastAsia" w:ascii="宋体" w:hAnsi="宋体" w:cs="宋体"/>
                <w:color w:val="auto"/>
                <w:sz w:val="24"/>
                <w:szCs w:val="24"/>
                <w:highlight w:val="none"/>
                <w:vertAlign w:val="baseline"/>
                <w:lang w:val="en-US" w:eastAsia="zh-CN"/>
              </w:rPr>
              <w:t>6</w:t>
            </w:r>
            <w:r>
              <w:rPr>
                <w:rFonts w:hint="eastAsia" w:ascii="宋体" w:hAnsi="宋体" w:eastAsia="宋体" w:cs="宋体"/>
                <w:color w:val="auto"/>
                <w:sz w:val="24"/>
                <w:szCs w:val="24"/>
                <w:highlight w:val="none"/>
                <w:vertAlign w:val="baseline"/>
                <w:lang w:val="en-US" w:eastAsia="zh-CN"/>
              </w:rPr>
              <w:t>个</w:t>
            </w:r>
          </w:p>
        </w:tc>
      </w:tr>
      <w:tr w14:paraId="063E208D">
        <w:trPr>
          <w:trHeight w:val="588" w:hRule="atLeast"/>
        </w:trPr>
        <w:tc>
          <w:tcPr>
            <w:tcW w:w="2866" w:type="dxa"/>
            <w:vAlign w:val="center"/>
          </w:tcPr>
          <w:p w14:paraId="7D07DCAD">
            <w:pPr>
              <w:pStyle w:val="2"/>
              <w:keepNext w:val="0"/>
              <w:keepLines w:val="0"/>
              <w:pageBreakBefore w:val="0"/>
              <w:kinsoku/>
              <w:overflowPunct/>
              <w:topLinePunct w:val="0"/>
              <w:autoSpaceDE/>
              <w:autoSpaceDN/>
              <w:bidi w:val="0"/>
              <w:spacing w:line="600" w:lineRule="exact"/>
              <w:ind w:left="0" w:leftChars="0" w:firstLine="0" w:firstLine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石家庄市电子政务中心</w:t>
            </w:r>
          </w:p>
        </w:tc>
        <w:tc>
          <w:tcPr>
            <w:tcW w:w="1284" w:type="dxa"/>
            <w:vAlign w:val="center"/>
          </w:tcPr>
          <w:p w14:paraId="2CF6BAC1">
            <w:pPr>
              <w:pStyle w:val="2"/>
              <w:keepNext w:val="0"/>
              <w:keepLines w:val="0"/>
              <w:pageBreakBefore w:val="0"/>
              <w:kinsoku/>
              <w:overflowPunct/>
              <w:topLinePunct w:val="0"/>
              <w:autoSpaceDE/>
              <w:autoSpaceDN/>
              <w:bidi w:val="0"/>
              <w:spacing w:line="600" w:lineRule="exact"/>
              <w:ind w:left="0" w:leftChars="0" w:firstLine="0" w:firstLine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事业</w:t>
            </w:r>
          </w:p>
        </w:tc>
        <w:tc>
          <w:tcPr>
            <w:tcW w:w="1224" w:type="dxa"/>
            <w:vAlign w:val="center"/>
          </w:tcPr>
          <w:p w14:paraId="2F3B917D">
            <w:pPr>
              <w:pStyle w:val="2"/>
              <w:keepNext w:val="0"/>
              <w:keepLines w:val="0"/>
              <w:pageBreakBefore w:val="0"/>
              <w:kinsoku/>
              <w:overflowPunct/>
              <w:topLinePunct w:val="0"/>
              <w:autoSpaceDE/>
              <w:autoSpaceDN/>
              <w:bidi w:val="0"/>
              <w:spacing w:line="600" w:lineRule="exact"/>
              <w:ind w:left="0" w:leftChars="0" w:firstLine="0" w:firstLine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副处级</w:t>
            </w:r>
          </w:p>
        </w:tc>
        <w:tc>
          <w:tcPr>
            <w:tcW w:w="2424" w:type="dxa"/>
            <w:vAlign w:val="center"/>
          </w:tcPr>
          <w:p w14:paraId="4FBC7F9F">
            <w:pPr>
              <w:pStyle w:val="2"/>
              <w:keepNext w:val="0"/>
              <w:keepLines w:val="0"/>
              <w:pageBreakBefore w:val="0"/>
              <w:kinsoku/>
              <w:overflowPunct/>
              <w:topLinePunct w:val="0"/>
              <w:autoSpaceDE/>
              <w:autoSpaceDN/>
              <w:bidi w:val="0"/>
              <w:spacing w:line="600" w:lineRule="exact"/>
              <w:ind w:left="0" w:leftChars="0" w:firstLine="0" w:firstLine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财政性资金基本保证</w:t>
            </w:r>
          </w:p>
        </w:tc>
        <w:tc>
          <w:tcPr>
            <w:tcW w:w="1263" w:type="dxa"/>
            <w:vAlign w:val="center"/>
          </w:tcPr>
          <w:p w14:paraId="52CF147A">
            <w:pPr>
              <w:pStyle w:val="2"/>
              <w:keepNext w:val="0"/>
              <w:keepLines w:val="0"/>
              <w:pageBreakBefore w:val="0"/>
              <w:kinsoku/>
              <w:overflowPunct/>
              <w:topLinePunct w:val="0"/>
              <w:autoSpaceDE/>
              <w:autoSpaceDN/>
              <w:bidi w:val="0"/>
              <w:spacing w:line="600" w:lineRule="exact"/>
              <w:ind w:left="0" w:leftChars="0" w:firstLine="0" w:firstLineChars="0"/>
              <w:jc w:val="both"/>
              <w:rPr>
                <w:rFonts w:hint="eastAsia" w:ascii="宋体" w:hAnsi="宋体" w:eastAsia="宋体" w:cs="宋体"/>
                <w:color w:val="auto"/>
                <w:sz w:val="24"/>
                <w:szCs w:val="24"/>
                <w:highlight w:val="none"/>
                <w:vertAlign w:val="baseline"/>
                <w:lang w:val="en-US" w:eastAsia="zh-CN"/>
              </w:rPr>
            </w:pPr>
            <w:r>
              <w:rPr>
                <w:rFonts w:hint="eastAsia" w:ascii="宋体" w:hAnsi="宋体" w:cs="宋体"/>
                <w:color w:val="auto"/>
                <w:sz w:val="24"/>
                <w:szCs w:val="24"/>
                <w:highlight w:val="none"/>
                <w:vertAlign w:val="baseline"/>
                <w:lang w:val="en-US" w:eastAsia="zh-CN"/>
              </w:rPr>
              <w:t>4</w:t>
            </w:r>
            <w:r>
              <w:rPr>
                <w:rFonts w:hint="eastAsia" w:ascii="宋体" w:hAnsi="宋体" w:eastAsia="宋体" w:cs="宋体"/>
                <w:color w:val="auto"/>
                <w:sz w:val="24"/>
                <w:szCs w:val="24"/>
                <w:highlight w:val="none"/>
                <w:vertAlign w:val="baseline"/>
                <w:lang w:val="en-US" w:eastAsia="zh-CN"/>
              </w:rPr>
              <w:t>个</w:t>
            </w:r>
          </w:p>
        </w:tc>
      </w:tr>
    </w:tbl>
    <w:p w14:paraId="498AE599">
      <w:pPr>
        <w:keepNext w:val="0"/>
        <w:keepLines w:val="0"/>
        <w:pageBreakBefore w:val="0"/>
        <w:widowControl w:val="0"/>
        <w:numPr>
          <w:ilvl w:val="0"/>
          <w:numId w:val="2"/>
        </w:numPr>
        <w:kinsoku/>
        <w:wordWrap/>
        <w:overflowPunct/>
        <w:topLinePunct w:val="0"/>
        <w:autoSpaceDE/>
        <w:autoSpaceDN/>
        <w:bidi w:val="0"/>
        <w:spacing w:line="576" w:lineRule="exact"/>
        <w:ind w:left="0" w:leftChars="0" w:firstLine="640" w:firstLineChars="200"/>
        <w:jc w:val="both"/>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部门资产情况</w:t>
      </w:r>
    </w:p>
    <w:p w14:paraId="09E8BD28">
      <w:pPr>
        <w:keepNext w:val="0"/>
        <w:keepLines w:val="0"/>
        <w:pageBreakBefore w:val="0"/>
        <w:widowControl w:val="0"/>
        <w:kinsoku/>
        <w:wordWrap/>
        <w:overflowPunct/>
        <w:topLinePunct w:val="0"/>
        <w:autoSpaceDE/>
        <w:autoSpaceDN/>
        <w:bidi w:val="0"/>
        <w:spacing w:line="576" w:lineRule="exact"/>
        <w:ind w:firstLine="640" w:firstLineChars="200"/>
        <w:jc w:val="both"/>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bidi="ar-SA"/>
        </w:rPr>
        <w:t>截至2023年12月31日，本部门共有公务用车1辆，价值    6.2万元；单价20万（含）以上（不含车辆）的固定资产112项，价值14673.677739万元。</w:t>
      </w:r>
    </w:p>
    <w:p w14:paraId="65FA659A">
      <w:pPr>
        <w:keepNext w:val="0"/>
        <w:keepLines w:val="0"/>
        <w:pageBreakBefore w:val="0"/>
        <w:widowControl w:val="0"/>
        <w:kinsoku/>
        <w:wordWrap/>
        <w:overflowPunct/>
        <w:topLinePunct w:val="0"/>
        <w:autoSpaceDE/>
        <w:autoSpaceDN/>
        <w:bidi w:val="0"/>
        <w:adjustRightInd w:val="0"/>
        <w:snapToGrid w:val="0"/>
        <w:spacing w:line="576" w:lineRule="exact"/>
        <w:ind w:left="0" w:leftChars="0" w:right="0" w:firstLine="640" w:firstLineChars="200"/>
        <w:jc w:val="both"/>
        <w:textAlignment w:val="auto"/>
        <w:outlineLvl w:val="9"/>
        <w:rPr>
          <w:rFonts w:hint="eastAsia" w:ascii="楷体_GB2312" w:hAnsi="楷体_GB2312" w:eastAsia="楷体_GB2312" w:cs="楷体_GB2312"/>
          <w:b w:val="0"/>
          <w:bCs w:val="0"/>
          <w:color w:val="auto"/>
          <w:sz w:val="32"/>
          <w:szCs w:val="32"/>
          <w:highlight w:val="none"/>
          <w:lang w:eastAsia="zh-CN"/>
        </w:rPr>
      </w:pPr>
      <w:r>
        <w:rPr>
          <w:rFonts w:hint="eastAsia" w:ascii="楷体_GB2312" w:hAnsi="楷体_GB2312" w:eastAsia="楷体_GB2312" w:cs="楷体_GB2312"/>
          <w:b w:val="0"/>
          <w:bCs w:val="0"/>
          <w:color w:val="auto"/>
          <w:sz w:val="32"/>
          <w:szCs w:val="32"/>
          <w:highlight w:val="none"/>
        </w:rPr>
        <w:t>（二）</w:t>
      </w:r>
      <w:r>
        <w:rPr>
          <w:rFonts w:hint="eastAsia" w:ascii="楷体_GB2312" w:hAnsi="楷体_GB2312" w:eastAsia="楷体_GB2312" w:cs="楷体_GB2312"/>
          <w:b w:val="0"/>
          <w:bCs w:val="0"/>
          <w:color w:val="auto"/>
          <w:sz w:val="32"/>
          <w:szCs w:val="32"/>
          <w:highlight w:val="none"/>
          <w:lang w:eastAsia="zh-CN"/>
        </w:rPr>
        <w:t>部门收支预决算情况</w:t>
      </w:r>
    </w:p>
    <w:p w14:paraId="63A38F48">
      <w:pPr>
        <w:keepNext w:val="0"/>
        <w:keepLines w:val="0"/>
        <w:pageBreakBefore w:val="0"/>
        <w:widowControl w:val="0"/>
        <w:numPr>
          <w:ilvl w:val="0"/>
          <w:numId w:val="4"/>
        </w:numPr>
        <w:kinsoku/>
        <w:wordWrap/>
        <w:overflowPunct/>
        <w:topLinePunct w:val="0"/>
        <w:autoSpaceDE/>
        <w:autoSpaceDN/>
        <w:bidi w:val="0"/>
        <w:spacing w:line="576" w:lineRule="exact"/>
        <w:ind w:left="0" w:leftChars="0" w:firstLine="640" w:firstLineChars="200"/>
        <w:jc w:val="both"/>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部门收入预决算情况</w:t>
      </w:r>
    </w:p>
    <w:p w14:paraId="16F33459">
      <w:pPr>
        <w:keepNext w:val="0"/>
        <w:keepLines w:val="0"/>
        <w:pageBreakBefore w:val="0"/>
        <w:widowControl w:val="0"/>
        <w:kinsoku/>
        <w:wordWrap/>
        <w:overflowPunct/>
        <w:topLinePunct w:val="0"/>
        <w:autoSpaceDE/>
        <w:autoSpaceDN/>
        <w:bidi w:val="0"/>
        <w:snapToGrid/>
        <w:spacing w:line="576" w:lineRule="exact"/>
        <w:ind w:firstLine="640" w:firstLineChars="200"/>
        <w:jc w:val="both"/>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2023年部门预算收入年初预算数65559.38万元，全年预算数60108.13万元，决算数57350.99万元；年初结余结转66.37万元，年末结转和结余5.57万元；全部为一般公共预算财政拨款收入。</w:t>
      </w:r>
    </w:p>
    <w:p w14:paraId="2C2D8A10">
      <w:pPr>
        <w:keepNext w:val="0"/>
        <w:keepLines w:val="0"/>
        <w:pageBreakBefore w:val="0"/>
        <w:widowControl w:val="0"/>
        <w:numPr>
          <w:ilvl w:val="0"/>
          <w:numId w:val="4"/>
        </w:numPr>
        <w:kinsoku/>
        <w:wordWrap/>
        <w:overflowPunct/>
        <w:topLinePunct w:val="0"/>
        <w:autoSpaceDE/>
        <w:autoSpaceDN/>
        <w:bidi w:val="0"/>
        <w:snapToGrid/>
        <w:spacing w:line="576" w:lineRule="exact"/>
        <w:ind w:left="0" w:leftChars="0" w:firstLine="640" w:firstLineChars="200"/>
        <w:jc w:val="both"/>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部门支出预决算情况</w:t>
      </w:r>
    </w:p>
    <w:p w14:paraId="23D81B3E">
      <w:pPr>
        <w:keepNext w:val="0"/>
        <w:keepLines w:val="0"/>
        <w:pageBreakBefore w:val="0"/>
        <w:widowControl w:val="0"/>
        <w:kinsoku/>
        <w:wordWrap/>
        <w:overflowPunct/>
        <w:topLinePunct w:val="0"/>
        <w:autoSpaceDE/>
        <w:autoSpaceDN/>
        <w:bidi w:val="0"/>
        <w:snapToGrid/>
        <w:spacing w:line="576" w:lineRule="exact"/>
        <w:ind w:firstLine="640" w:firstLineChars="200"/>
        <w:jc w:val="both"/>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2023年部门支出年初预算数为 65559.38 万元，全年预算数为60108.13万元，决算数57350.99万元；年初结余结转66.37万元，年末结转和结余5.57万元。</w:t>
      </w:r>
    </w:p>
    <w:p w14:paraId="1A2F86C7">
      <w:pPr>
        <w:keepNext w:val="0"/>
        <w:keepLines w:val="0"/>
        <w:pageBreakBefore w:val="0"/>
        <w:widowControl w:val="0"/>
        <w:kinsoku/>
        <w:wordWrap/>
        <w:overflowPunct/>
        <w:topLinePunct w:val="0"/>
        <w:autoSpaceDE/>
        <w:autoSpaceDN/>
        <w:bidi w:val="0"/>
        <w:snapToGrid/>
        <w:spacing w:line="576" w:lineRule="exact"/>
        <w:ind w:firstLine="640" w:firstLineChars="200"/>
        <w:jc w:val="both"/>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按功能分类，其中：一般公共服务支出年初预算1265.48万元，调整预算数1337.85万元，决算数1315.74万元；社会保障和就业支出年初预算123.70万元，调整预算数123.32万元，决算数120.66万元；卫生健康支出年初预算74.20万元，调整预算数71.97万元，决算数70.96万元；资源勘探工业信息等支出年初预算数63994.00万元，调整预算数57363.71万元，决算数55528.82万元；住房保障支出年初预算数102.00万元，调整预算数99.61万元，决算数99.60万元；其他支出年初预算数0元，调整预算数1111.67万元，决算数209.64万元。</w:t>
      </w:r>
    </w:p>
    <w:p w14:paraId="6B0207CB">
      <w:pPr>
        <w:pStyle w:val="2"/>
        <w:keepNext w:val="0"/>
        <w:keepLines w:val="0"/>
        <w:pageBreakBefore w:val="0"/>
        <w:widowControl w:val="0"/>
        <w:kinsoku/>
        <w:wordWrap/>
        <w:overflowPunct/>
        <w:topLinePunct w:val="0"/>
        <w:autoSpaceDE/>
        <w:autoSpaceDN/>
        <w:bidi w:val="0"/>
        <w:snapToGrid/>
        <w:spacing w:line="576" w:lineRule="exact"/>
        <w:ind w:left="0" w:leftChars="0" w:firstLine="640" w:firstLineChars="200"/>
        <w:jc w:val="both"/>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bidi="ar-SA"/>
        </w:rPr>
        <w:t>按经济分类，其中：基本支出 1259.54 万元，包括人员经费 1130.81 万元和日常公用经费 128.73 万元。项目支出64299.84 万元，主要为：防入侵监测费 20 万元；信息化建设项目26747.00 万元；信息化项目运维费 37247.00 万元；支付日元贷款本金利息40.94万元；专用设备维修费3.00万元；办公设备购置 5.00 万元；党组织活动经费 3.90 万元；文件资料印刷费 5.00 万元；业务咨询委托费 228.00万元；其他支出 0 万元。</w:t>
      </w:r>
    </w:p>
    <w:p w14:paraId="00BC36CA">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 xml:space="preserve">3.“三公”经费预算情况 </w:t>
      </w:r>
    </w:p>
    <w:p w14:paraId="3DA83888">
      <w:pPr>
        <w:pStyle w:val="2"/>
        <w:keepNext w:val="0"/>
        <w:keepLines w:val="0"/>
        <w:pageBreakBefore w:val="0"/>
        <w:kinsoku/>
        <w:wordWrap/>
        <w:overflowPunct/>
        <w:topLinePunct w:val="0"/>
        <w:autoSpaceDE/>
        <w:autoSpaceDN/>
        <w:bidi w:val="0"/>
        <w:spacing w:line="576" w:lineRule="exact"/>
        <w:ind w:left="0" w:leftChars="0" w:firstLine="640" w:firstLineChars="200"/>
        <w:jc w:val="both"/>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2023年部门“三公”经费预算6.53万元，其中：</w:t>
      </w:r>
    </w:p>
    <w:p w14:paraId="6C3308A5">
      <w:pPr>
        <w:keepNext w:val="0"/>
        <w:keepLines w:val="0"/>
        <w:pageBreakBefore w:val="0"/>
        <w:widowControl w:val="0"/>
        <w:numPr>
          <w:ilvl w:val="0"/>
          <w:numId w:val="0"/>
        </w:numPr>
        <w:kinsoku/>
        <w:wordWrap/>
        <w:overflowPunct/>
        <w:topLinePunct w:val="0"/>
        <w:autoSpaceDE/>
        <w:autoSpaceDN/>
        <w:bidi w:val="0"/>
        <w:spacing w:line="576" w:lineRule="exact"/>
        <w:ind w:left="0" w:leftChars="0" w:firstLine="640" w:firstLineChars="200"/>
        <w:jc w:val="both"/>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因公出国</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境</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费</w:t>
      </w:r>
      <w:r>
        <w:rPr>
          <w:rFonts w:hint="eastAsia" w:ascii="仿宋_GB2312" w:hAnsi="仿宋_GB2312" w:eastAsia="仿宋_GB2312" w:cs="仿宋_GB2312"/>
          <w:color w:val="auto"/>
          <w:sz w:val="32"/>
          <w:szCs w:val="32"/>
          <w:highlight w:val="none"/>
          <w:lang w:val="en-US" w:eastAsia="zh-CN"/>
        </w:rPr>
        <w:t>0元</w:t>
      </w:r>
      <w:r>
        <w:rPr>
          <w:rFonts w:hint="eastAsia" w:ascii="仿宋_GB2312" w:hAnsi="仿宋_GB2312" w:eastAsia="仿宋_GB2312" w:cs="仿宋_GB2312"/>
          <w:color w:val="auto"/>
          <w:sz w:val="32"/>
          <w:szCs w:val="32"/>
          <w:highlight w:val="none"/>
        </w:rPr>
        <w:t xml:space="preserve">。 </w:t>
      </w:r>
    </w:p>
    <w:p w14:paraId="5762C0F4">
      <w:pPr>
        <w:keepNext w:val="0"/>
        <w:keepLines w:val="0"/>
        <w:pageBreakBefore w:val="0"/>
        <w:widowControl w:val="0"/>
        <w:kinsoku/>
        <w:wordWrap/>
        <w:overflowPunct/>
        <w:topLinePunct w:val="0"/>
        <w:autoSpaceDE/>
        <w:autoSpaceDN/>
        <w:bidi w:val="0"/>
        <w:spacing w:line="576" w:lineRule="exact"/>
        <w:ind w:firstLine="640" w:firstLineChars="200"/>
        <w:jc w:val="both"/>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公务用车购置及运行费</w:t>
      </w:r>
      <w:r>
        <w:rPr>
          <w:rFonts w:hint="eastAsia" w:ascii="仿宋_GB2312" w:hAnsi="仿宋_GB2312" w:eastAsia="仿宋_GB2312" w:cs="仿宋_GB2312"/>
          <w:color w:val="auto"/>
          <w:sz w:val="32"/>
          <w:szCs w:val="32"/>
          <w:highlight w:val="none"/>
          <w:lang w:val="en-US" w:eastAsia="zh-CN"/>
        </w:rPr>
        <w:t>5.8万元。</w:t>
      </w:r>
    </w:p>
    <w:p w14:paraId="6176C194">
      <w:pPr>
        <w:keepNext w:val="0"/>
        <w:keepLines w:val="0"/>
        <w:pageBreakBefore w:val="0"/>
        <w:widowControl w:val="0"/>
        <w:kinsoku/>
        <w:wordWrap/>
        <w:overflowPunct/>
        <w:topLinePunct w:val="0"/>
        <w:autoSpaceDE/>
        <w:autoSpaceDN/>
        <w:bidi w:val="0"/>
        <w:adjustRightInd w:val="0"/>
        <w:snapToGrid w:val="0"/>
        <w:spacing w:line="576"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公务接待费</w:t>
      </w:r>
      <w:r>
        <w:rPr>
          <w:rFonts w:hint="eastAsia" w:ascii="仿宋_GB2312" w:hAnsi="仿宋_GB2312" w:eastAsia="仿宋_GB2312" w:cs="仿宋_GB2312"/>
          <w:color w:val="auto"/>
          <w:sz w:val="32"/>
          <w:szCs w:val="32"/>
          <w:highlight w:val="none"/>
          <w:lang w:val="en-US" w:eastAsia="zh-CN"/>
        </w:rPr>
        <w:t>0.73万元</w:t>
      </w:r>
      <w:r>
        <w:rPr>
          <w:rFonts w:hint="eastAsia" w:ascii="仿宋_GB2312" w:hAnsi="仿宋_GB2312" w:eastAsia="仿宋_GB2312" w:cs="仿宋_GB2312"/>
          <w:color w:val="auto"/>
          <w:sz w:val="32"/>
          <w:szCs w:val="32"/>
          <w:highlight w:val="none"/>
        </w:rPr>
        <w:t>。</w:t>
      </w:r>
    </w:p>
    <w:p w14:paraId="56596751">
      <w:pPr>
        <w:keepNext w:val="0"/>
        <w:keepLines w:val="0"/>
        <w:pageBreakBefore w:val="0"/>
        <w:widowControl w:val="0"/>
        <w:kinsoku/>
        <w:wordWrap/>
        <w:overflowPunct/>
        <w:topLinePunct w:val="0"/>
        <w:autoSpaceDE/>
        <w:autoSpaceDN/>
        <w:bidi w:val="0"/>
        <w:adjustRightInd w:val="0"/>
        <w:snapToGrid w:val="0"/>
        <w:spacing w:line="576" w:lineRule="exact"/>
        <w:ind w:left="0" w:leftChars="0" w:right="0" w:firstLine="640" w:firstLineChars="200"/>
        <w:jc w:val="both"/>
        <w:textAlignment w:val="auto"/>
        <w:outlineLvl w:val="9"/>
        <w:rPr>
          <w:rFonts w:hint="eastAsia" w:ascii="楷体_GB2312" w:hAnsi="楷体_GB2312" w:eastAsia="楷体_GB2312" w:cs="楷体_GB2312"/>
          <w:b w:val="0"/>
          <w:bCs w:val="0"/>
          <w:color w:val="auto"/>
          <w:sz w:val="32"/>
          <w:szCs w:val="32"/>
          <w:highlight w:val="none"/>
          <w:lang w:eastAsia="zh-CN"/>
        </w:rPr>
      </w:pPr>
      <w:r>
        <w:rPr>
          <w:rFonts w:hint="eastAsia" w:ascii="楷体_GB2312" w:hAnsi="楷体_GB2312" w:eastAsia="楷体_GB2312" w:cs="楷体_GB2312"/>
          <w:b w:val="0"/>
          <w:bCs w:val="0"/>
          <w:color w:val="auto"/>
          <w:sz w:val="32"/>
          <w:szCs w:val="32"/>
          <w:highlight w:val="none"/>
          <w:lang w:eastAsia="zh-CN"/>
        </w:rPr>
        <w:t>（三）部门整体支出绩效目标、指标</w:t>
      </w:r>
    </w:p>
    <w:p w14:paraId="4869C575">
      <w:pPr>
        <w:keepNext w:val="0"/>
        <w:keepLines w:val="0"/>
        <w:pageBreakBefore w:val="0"/>
        <w:widowControl/>
        <w:numPr>
          <w:ilvl w:val="0"/>
          <w:numId w:val="5"/>
        </w:numPr>
        <w:suppressLineNumbers w:val="0"/>
        <w:kinsoku/>
        <w:wordWrap/>
        <w:overflowPunct/>
        <w:topLinePunct w:val="0"/>
        <w:autoSpaceDE/>
        <w:autoSpaceDN/>
        <w:bidi w:val="0"/>
        <w:spacing w:line="576" w:lineRule="exact"/>
        <w:ind w:left="0" w:leftChars="0" w:firstLine="640" w:firstLineChars="200"/>
        <w:jc w:val="both"/>
        <w:outlineLvl w:val="9"/>
        <w:rPr>
          <w:rFonts w:hint="eastAsia" w:ascii="仿宋_GB2312" w:hAnsi="仿宋_GB2312" w:eastAsia="仿宋_GB2312" w:cs="仿宋_GB2312"/>
          <w:b w:val="0"/>
          <w:bCs w:val="0"/>
          <w:color w:val="auto"/>
          <w:kern w:val="0"/>
          <w:sz w:val="32"/>
          <w:szCs w:val="32"/>
          <w:highlight w:val="none"/>
          <w:lang w:val="en-US" w:eastAsia="zh-CN" w:bidi="ar"/>
        </w:rPr>
      </w:pPr>
      <w:bookmarkStart w:id="0" w:name="_Toc63763256"/>
      <w:r>
        <w:rPr>
          <w:rFonts w:hint="eastAsia" w:ascii="仿宋_GB2312" w:hAnsi="仿宋_GB2312" w:eastAsia="仿宋_GB2312" w:cs="仿宋_GB2312"/>
          <w:b w:val="0"/>
          <w:bCs w:val="0"/>
          <w:color w:val="auto"/>
          <w:kern w:val="0"/>
          <w:sz w:val="32"/>
          <w:szCs w:val="32"/>
          <w:highlight w:val="none"/>
          <w:lang w:val="en-US" w:eastAsia="zh-CN" w:bidi="ar"/>
        </w:rPr>
        <w:t>部门整体绩效目标</w:t>
      </w:r>
    </w:p>
    <w:p w14:paraId="0A26621F">
      <w:pPr>
        <w:keepNext w:val="0"/>
        <w:keepLines w:val="0"/>
        <w:pageBreakBefore w:val="0"/>
        <w:widowControl/>
        <w:suppressLineNumbers w:val="0"/>
        <w:kinsoku/>
        <w:wordWrap/>
        <w:overflowPunct/>
        <w:topLinePunct w:val="0"/>
        <w:autoSpaceDE/>
        <w:autoSpaceDN/>
        <w:bidi w:val="0"/>
        <w:spacing w:line="576" w:lineRule="exact"/>
        <w:ind w:firstLine="640" w:firstLineChars="200"/>
        <w:jc w:val="both"/>
        <w:outlineLvl w:val="9"/>
        <w:rPr>
          <w:rFonts w:hint="eastAsia" w:ascii="仿宋_GB2312" w:hAnsi="仿宋_GB2312" w:eastAsia="仿宋_GB2312" w:cs="仿宋_GB2312"/>
          <w:b w:val="0"/>
          <w:bCs w:val="0"/>
          <w:color w:val="auto"/>
          <w:kern w:val="0"/>
          <w:sz w:val="32"/>
          <w:szCs w:val="32"/>
          <w:highlight w:val="none"/>
          <w:lang w:val="en-US" w:eastAsia="zh-CN" w:bidi="ar"/>
        </w:rPr>
      </w:pPr>
      <w:r>
        <w:rPr>
          <w:rFonts w:hint="eastAsia" w:ascii="仿宋_GB2312" w:hAnsi="仿宋_GB2312" w:eastAsia="仿宋_GB2312" w:cs="仿宋_GB2312"/>
          <w:b w:val="0"/>
          <w:bCs w:val="0"/>
          <w:color w:val="auto"/>
          <w:kern w:val="0"/>
          <w:sz w:val="32"/>
          <w:szCs w:val="32"/>
          <w:highlight w:val="none"/>
          <w:lang w:val="en-US" w:eastAsia="zh-CN" w:bidi="ar"/>
        </w:rPr>
        <w:t>2023 年，深入贯彻习近平新时代中国特色社会主义思想为指导，在市委、市政府领导下，坚持目标导向、问题导向、重点导向，进一步解放思想、强化担当，瞄准全年任务目标靶向，精准发力不跑偏，持续发力不减压。</w:t>
      </w:r>
    </w:p>
    <w:p w14:paraId="73F5797F">
      <w:pPr>
        <w:keepNext w:val="0"/>
        <w:keepLines w:val="0"/>
        <w:pageBreakBefore w:val="0"/>
        <w:widowControl/>
        <w:suppressLineNumbers w:val="0"/>
        <w:kinsoku/>
        <w:wordWrap/>
        <w:overflowPunct/>
        <w:topLinePunct w:val="0"/>
        <w:autoSpaceDE/>
        <w:autoSpaceDN/>
        <w:bidi w:val="0"/>
        <w:spacing w:line="576" w:lineRule="exact"/>
        <w:ind w:firstLine="640" w:firstLineChars="200"/>
        <w:jc w:val="both"/>
        <w:outlineLvl w:val="9"/>
        <w:rPr>
          <w:rFonts w:hint="eastAsia" w:ascii="仿宋_GB2312" w:hAnsi="仿宋_GB2312" w:eastAsia="仿宋_GB2312" w:cs="仿宋_GB2312"/>
          <w:b w:val="0"/>
          <w:bCs w:val="0"/>
          <w:color w:val="auto"/>
          <w:kern w:val="0"/>
          <w:sz w:val="32"/>
          <w:szCs w:val="32"/>
          <w:highlight w:val="none"/>
          <w:lang w:val="en-US" w:eastAsia="zh-CN" w:bidi="ar"/>
        </w:rPr>
      </w:pPr>
      <w:r>
        <w:rPr>
          <w:rFonts w:hint="eastAsia" w:ascii="仿宋_GB2312" w:hAnsi="仿宋_GB2312" w:eastAsia="仿宋_GB2312" w:cs="仿宋_GB2312"/>
          <w:b w:val="0"/>
          <w:bCs w:val="0"/>
          <w:color w:val="auto"/>
          <w:kern w:val="0"/>
          <w:sz w:val="32"/>
          <w:szCs w:val="32"/>
          <w:highlight w:val="none"/>
          <w:lang w:val="en-US" w:eastAsia="zh-CN" w:bidi="ar"/>
        </w:rPr>
        <w:t xml:space="preserve">坚持做优数据服务，全力助推“两个直达”，让“政策直达”更彻底，让“治理直达”更高效；坚持抓好信息化应用，全力支撑“数据赋能”，高效率推进智能化基础设施和应用系统建设，高标准打造信息化管理特色应用。 </w:t>
      </w:r>
    </w:p>
    <w:p w14:paraId="28FC6C32">
      <w:pPr>
        <w:keepNext w:val="0"/>
        <w:keepLines w:val="0"/>
        <w:pageBreakBefore w:val="0"/>
        <w:widowControl/>
        <w:numPr>
          <w:ilvl w:val="0"/>
          <w:numId w:val="5"/>
        </w:numPr>
        <w:suppressLineNumbers w:val="0"/>
        <w:kinsoku/>
        <w:wordWrap/>
        <w:overflowPunct/>
        <w:topLinePunct w:val="0"/>
        <w:autoSpaceDE/>
        <w:autoSpaceDN/>
        <w:bidi w:val="0"/>
        <w:adjustRightInd/>
        <w:snapToGrid/>
        <w:spacing w:line="576" w:lineRule="exact"/>
        <w:ind w:left="0" w:leftChars="0" w:firstLine="640" w:firstLineChars="200"/>
        <w:jc w:val="both"/>
        <w:textAlignment w:val="auto"/>
        <w:outlineLvl w:val="9"/>
        <w:rPr>
          <w:rFonts w:hint="eastAsia" w:ascii="仿宋_GB2312" w:hAnsi="仿宋_GB2312" w:eastAsia="仿宋_GB2312" w:cs="仿宋_GB2312"/>
          <w:b w:val="0"/>
          <w:bCs w:val="0"/>
          <w:color w:val="auto"/>
          <w:kern w:val="0"/>
          <w:sz w:val="32"/>
          <w:szCs w:val="32"/>
          <w:highlight w:val="none"/>
          <w:lang w:val="en-US" w:eastAsia="zh-CN" w:bidi="ar"/>
        </w:rPr>
      </w:pPr>
      <w:r>
        <w:rPr>
          <w:rFonts w:hint="eastAsia" w:ascii="仿宋_GB2312" w:hAnsi="仿宋_GB2312" w:eastAsia="仿宋_GB2312" w:cs="仿宋_GB2312"/>
          <w:b w:val="0"/>
          <w:bCs w:val="0"/>
          <w:color w:val="auto"/>
          <w:kern w:val="0"/>
          <w:sz w:val="32"/>
          <w:szCs w:val="32"/>
          <w:highlight w:val="none"/>
          <w:lang w:val="en-US" w:eastAsia="zh-CN" w:bidi="ar"/>
        </w:rPr>
        <w:t>部门整体绩效指标</w:t>
      </w:r>
    </w:p>
    <w:p w14:paraId="4897325F">
      <w:pPr>
        <w:pStyle w:val="2"/>
        <w:numPr>
          <w:ilvl w:val="0"/>
          <w:numId w:val="0"/>
        </w:numPr>
        <w:ind w:leftChars="200"/>
        <w:rPr>
          <w:rFonts w:hint="eastAsia"/>
          <w:color w:val="auto"/>
          <w:highlight w:val="none"/>
          <w:lang w:val="en-US" w:eastAsia="zh-CN"/>
        </w:rPr>
      </w:pPr>
    </w:p>
    <w:tbl>
      <w:tblPr>
        <w:tblStyle w:val="6"/>
        <w:tblW w:w="4725" w:type="pct"/>
        <w:tblInd w:w="10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305"/>
        <w:gridCol w:w="4444"/>
        <w:gridCol w:w="1814"/>
      </w:tblGrid>
      <w:tr w14:paraId="755FE1A5">
        <w:trPr>
          <w:trHeight w:val="280" w:hRule="atLeast"/>
        </w:trPr>
        <w:tc>
          <w:tcPr>
            <w:tcW w:w="500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D6C30">
            <w:pPr>
              <w:keepNext w:val="0"/>
              <w:keepLines w:val="0"/>
              <w:widowControl/>
              <w:suppressLineNumbers w:val="0"/>
              <w:jc w:val="center"/>
              <w:textAlignment w:val="center"/>
              <w:rPr>
                <w:rFonts w:hint="default" w:ascii="宋体" w:hAnsi="宋体" w:eastAsia="宋体" w:cs="宋体"/>
                <w:b/>
                <w:bCs/>
                <w:i w:val="0"/>
                <w:iCs w:val="0"/>
                <w:color w:val="auto"/>
                <w:sz w:val="24"/>
                <w:szCs w:val="24"/>
                <w:highlight w:val="none"/>
                <w:u w:val="none"/>
                <w:lang w:val="en-US" w:eastAsia="zh-CN"/>
              </w:rPr>
            </w:pPr>
            <w:r>
              <w:rPr>
                <w:rFonts w:hint="eastAsia" w:ascii="宋体" w:hAnsi="宋体" w:eastAsia="宋体" w:cs="宋体"/>
                <w:b/>
                <w:bCs/>
                <w:i w:val="0"/>
                <w:iCs w:val="0"/>
                <w:color w:val="auto"/>
                <w:sz w:val="24"/>
                <w:szCs w:val="24"/>
                <w:highlight w:val="none"/>
                <w:u w:val="none"/>
                <w:lang w:val="en-US" w:eastAsia="zh-CN"/>
              </w:rPr>
              <w:t>整体绩效指标</w:t>
            </w:r>
          </w:p>
        </w:tc>
      </w:tr>
      <w:tr w14:paraId="4458046D">
        <w:trPr>
          <w:trHeight w:val="280" w:hRule="atLeast"/>
        </w:trPr>
        <w:tc>
          <w:tcPr>
            <w:tcW w:w="13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9C60F">
            <w:pPr>
              <w:keepNext w:val="0"/>
              <w:keepLines w:val="0"/>
              <w:widowControl/>
              <w:suppressLineNumbers w:val="0"/>
              <w:jc w:val="center"/>
              <w:textAlignment w:val="center"/>
              <w:rPr>
                <w:rFonts w:hint="eastAsia" w:ascii="宋体" w:hAnsi="宋体" w:eastAsia="宋体" w:cs="宋体"/>
                <w:b/>
                <w:bCs/>
                <w:i w:val="0"/>
                <w:iCs w:val="0"/>
                <w:color w:val="auto"/>
                <w:kern w:val="2"/>
                <w:sz w:val="24"/>
                <w:szCs w:val="24"/>
                <w:highlight w:val="none"/>
                <w:u w:val="none"/>
                <w:lang w:val="en-US" w:eastAsia="zh-CN" w:bidi="ar-SA"/>
              </w:rPr>
            </w:pPr>
            <w:r>
              <w:rPr>
                <w:rFonts w:hint="eastAsia" w:ascii="宋体" w:hAnsi="宋体" w:eastAsia="宋体" w:cs="宋体"/>
                <w:b/>
                <w:bCs/>
                <w:i w:val="0"/>
                <w:iCs w:val="0"/>
                <w:color w:val="auto"/>
                <w:kern w:val="0"/>
                <w:sz w:val="24"/>
                <w:szCs w:val="24"/>
                <w:highlight w:val="none"/>
                <w:u w:val="none"/>
                <w:lang w:val="en-US" w:eastAsia="zh-CN" w:bidi="ar"/>
              </w:rPr>
              <w:t>一级指标</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A9D58">
            <w:pPr>
              <w:keepNext w:val="0"/>
              <w:keepLines w:val="0"/>
              <w:widowControl/>
              <w:suppressLineNumbers w:val="0"/>
              <w:jc w:val="center"/>
              <w:textAlignment w:val="center"/>
              <w:rPr>
                <w:rFonts w:hint="eastAsia" w:ascii="宋体" w:hAnsi="宋体" w:eastAsia="宋体" w:cs="宋体"/>
                <w:b/>
                <w:bCs/>
                <w:i w:val="0"/>
                <w:iCs w:val="0"/>
                <w:color w:val="auto"/>
                <w:kern w:val="2"/>
                <w:sz w:val="24"/>
                <w:szCs w:val="24"/>
                <w:highlight w:val="none"/>
                <w:u w:val="none"/>
                <w:lang w:val="en-US" w:eastAsia="zh-CN" w:bidi="ar-SA"/>
              </w:rPr>
            </w:pPr>
            <w:r>
              <w:rPr>
                <w:rFonts w:hint="eastAsia" w:ascii="宋体" w:hAnsi="宋体" w:eastAsia="宋体" w:cs="宋体"/>
                <w:b/>
                <w:bCs/>
                <w:i w:val="0"/>
                <w:iCs w:val="0"/>
                <w:color w:val="auto"/>
                <w:kern w:val="0"/>
                <w:sz w:val="24"/>
                <w:szCs w:val="24"/>
                <w:highlight w:val="none"/>
                <w:u w:val="none"/>
                <w:lang w:val="en-US" w:eastAsia="zh-CN" w:bidi="ar"/>
              </w:rPr>
              <w:t>二级指标</w:t>
            </w:r>
          </w:p>
        </w:tc>
        <w:tc>
          <w:tcPr>
            <w:tcW w:w="10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4AC3A">
            <w:pPr>
              <w:keepNext w:val="0"/>
              <w:keepLines w:val="0"/>
              <w:widowControl/>
              <w:suppressLineNumbers w:val="0"/>
              <w:jc w:val="center"/>
              <w:textAlignment w:val="center"/>
              <w:rPr>
                <w:rFonts w:hint="eastAsia" w:ascii="宋体" w:hAnsi="宋体" w:eastAsia="宋体" w:cs="宋体"/>
                <w:b/>
                <w:bCs/>
                <w:i w:val="0"/>
                <w:iCs w:val="0"/>
                <w:color w:val="auto"/>
                <w:kern w:val="2"/>
                <w:sz w:val="24"/>
                <w:szCs w:val="24"/>
                <w:highlight w:val="none"/>
                <w:u w:val="none"/>
                <w:lang w:val="en-US" w:eastAsia="zh-CN" w:bidi="ar-SA"/>
              </w:rPr>
            </w:pPr>
            <w:r>
              <w:rPr>
                <w:rFonts w:hint="eastAsia" w:ascii="宋体" w:hAnsi="宋体" w:eastAsia="宋体" w:cs="宋体"/>
                <w:b/>
                <w:bCs/>
                <w:i w:val="0"/>
                <w:iCs w:val="0"/>
                <w:color w:val="auto"/>
                <w:kern w:val="0"/>
                <w:sz w:val="24"/>
                <w:szCs w:val="24"/>
                <w:highlight w:val="none"/>
                <w:u w:val="none"/>
                <w:lang w:val="en-US" w:eastAsia="zh-CN" w:bidi="ar"/>
              </w:rPr>
              <w:t>分值</w:t>
            </w:r>
          </w:p>
        </w:tc>
      </w:tr>
      <w:tr w14:paraId="35C74A8D">
        <w:trPr>
          <w:trHeight w:val="280" w:hRule="atLeast"/>
        </w:trPr>
        <w:tc>
          <w:tcPr>
            <w:tcW w:w="134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D79B5">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部门决策</w:t>
            </w:r>
          </w:p>
          <w:p w14:paraId="5588431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（15分）</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55B96">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目标设定</w:t>
            </w:r>
          </w:p>
        </w:tc>
        <w:tc>
          <w:tcPr>
            <w:tcW w:w="10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E5FF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r>
      <w:tr w14:paraId="2C701231">
        <w:trPr>
          <w:trHeight w:val="280" w:hRule="atLeast"/>
        </w:trPr>
        <w:tc>
          <w:tcPr>
            <w:tcW w:w="134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5EAE8">
            <w:pPr>
              <w:jc w:val="center"/>
              <w:rPr>
                <w:rFonts w:hint="eastAsia" w:ascii="宋体" w:hAnsi="宋体" w:eastAsia="宋体" w:cs="宋体"/>
                <w:i w:val="0"/>
                <w:iCs w:val="0"/>
                <w:color w:val="auto"/>
                <w:sz w:val="24"/>
                <w:szCs w:val="24"/>
                <w:highlight w:val="none"/>
                <w:u w:val="none"/>
              </w:rPr>
            </w:pP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2B5F0">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预算配置</w:t>
            </w:r>
          </w:p>
        </w:tc>
        <w:tc>
          <w:tcPr>
            <w:tcW w:w="10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97FF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r>
      <w:tr w14:paraId="2D913A83">
        <w:trPr>
          <w:trHeight w:val="280" w:hRule="atLeast"/>
        </w:trPr>
        <w:tc>
          <w:tcPr>
            <w:tcW w:w="13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C8F74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部门管理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（20分）</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6BCEE">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预算执行</w:t>
            </w:r>
          </w:p>
        </w:tc>
        <w:tc>
          <w:tcPr>
            <w:tcW w:w="10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3C18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r>
      <w:tr w14:paraId="6AE3B745">
        <w:trPr>
          <w:trHeight w:val="280" w:hRule="atLeast"/>
        </w:trPr>
        <w:tc>
          <w:tcPr>
            <w:tcW w:w="13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C4FA26">
            <w:pPr>
              <w:jc w:val="center"/>
              <w:rPr>
                <w:rFonts w:hint="eastAsia" w:ascii="宋体" w:hAnsi="宋体" w:eastAsia="宋体" w:cs="宋体"/>
                <w:i w:val="0"/>
                <w:iCs w:val="0"/>
                <w:color w:val="auto"/>
                <w:sz w:val="24"/>
                <w:szCs w:val="24"/>
                <w:highlight w:val="none"/>
                <w:u w:val="none"/>
              </w:rPr>
            </w:pP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3F756">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财务管理</w:t>
            </w:r>
          </w:p>
        </w:tc>
        <w:tc>
          <w:tcPr>
            <w:tcW w:w="10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3265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r>
      <w:tr w14:paraId="5BED6A1C">
        <w:trPr>
          <w:trHeight w:val="280" w:hRule="atLeast"/>
        </w:trPr>
        <w:tc>
          <w:tcPr>
            <w:tcW w:w="13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7E2B35">
            <w:pPr>
              <w:jc w:val="center"/>
              <w:rPr>
                <w:rFonts w:hint="eastAsia" w:ascii="宋体" w:hAnsi="宋体" w:eastAsia="宋体" w:cs="宋体"/>
                <w:i w:val="0"/>
                <w:iCs w:val="0"/>
                <w:color w:val="auto"/>
                <w:sz w:val="24"/>
                <w:szCs w:val="24"/>
                <w:highlight w:val="none"/>
                <w:u w:val="none"/>
              </w:rPr>
            </w:pP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3F368">
            <w:pPr>
              <w:keepNext w:val="0"/>
              <w:keepLines w:val="0"/>
              <w:widowControl/>
              <w:suppressLineNumbers w:val="0"/>
              <w:jc w:val="left"/>
              <w:textAlignment w:val="center"/>
              <w:rPr>
                <w:rFonts w:hint="default" w:ascii="宋体" w:hAnsi="宋体" w:eastAsia="宋体" w:cs="宋体"/>
                <w:i w:val="0"/>
                <w:iCs w:val="0"/>
                <w:color w:val="auto"/>
                <w:sz w:val="24"/>
                <w:szCs w:val="24"/>
                <w:highlight w:val="none"/>
                <w:u w:val="none"/>
                <w:lang w:val="en-US" w:eastAsia="zh-CN"/>
              </w:rPr>
            </w:pPr>
            <w:r>
              <w:rPr>
                <w:rFonts w:hint="eastAsia" w:ascii="宋体" w:hAnsi="宋体" w:cs="宋体"/>
                <w:i w:val="0"/>
                <w:iCs w:val="0"/>
                <w:color w:val="auto"/>
                <w:sz w:val="24"/>
                <w:szCs w:val="24"/>
                <w:highlight w:val="none"/>
                <w:u w:val="none"/>
                <w:lang w:val="en-US" w:eastAsia="zh-CN"/>
              </w:rPr>
              <w:t>内控制度建设</w:t>
            </w:r>
          </w:p>
        </w:tc>
        <w:tc>
          <w:tcPr>
            <w:tcW w:w="10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3552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r>
      <w:tr w14:paraId="4DEE3357">
        <w:trPr>
          <w:trHeight w:val="280" w:hRule="atLeast"/>
        </w:trPr>
        <w:tc>
          <w:tcPr>
            <w:tcW w:w="13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9C95F2">
            <w:pPr>
              <w:jc w:val="center"/>
              <w:rPr>
                <w:rFonts w:hint="eastAsia" w:ascii="宋体" w:hAnsi="宋体" w:eastAsia="宋体" w:cs="宋体"/>
                <w:i w:val="0"/>
                <w:iCs w:val="0"/>
                <w:color w:val="auto"/>
                <w:sz w:val="24"/>
                <w:szCs w:val="24"/>
                <w:highlight w:val="none"/>
                <w:u w:val="none"/>
              </w:rPr>
            </w:pP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AE9A6">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党建工作</w:t>
            </w:r>
          </w:p>
        </w:tc>
        <w:tc>
          <w:tcPr>
            <w:tcW w:w="10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45B9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r>
      <w:tr w14:paraId="5D9012C3">
        <w:trPr>
          <w:trHeight w:val="280" w:hRule="atLeast"/>
        </w:trPr>
        <w:tc>
          <w:tcPr>
            <w:tcW w:w="1346" w:type="pct"/>
            <w:vMerge w:val="restart"/>
            <w:tcBorders>
              <w:top w:val="single" w:color="000000" w:sz="4" w:space="0"/>
              <w:left w:val="single" w:color="000000" w:sz="4" w:space="0"/>
              <w:bottom w:val="nil"/>
              <w:right w:val="single" w:color="000000" w:sz="4" w:space="0"/>
            </w:tcBorders>
            <w:shd w:val="clear" w:color="auto" w:fill="auto"/>
            <w:vAlign w:val="center"/>
          </w:tcPr>
          <w:p w14:paraId="6E37ED16">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部门职责履行</w:t>
            </w:r>
          </w:p>
          <w:p w14:paraId="6FB5641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（40分）</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233E1">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数字政府顶层设计与运行机制建设</w:t>
            </w:r>
          </w:p>
        </w:tc>
        <w:tc>
          <w:tcPr>
            <w:tcW w:w="10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8FC8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r>
      <w:tr w14:paraId="4AC1185A">
        <w:trPr>
          <w:trHeight w:val="280" w:hRule="atLeast"/>
        </w:trPr>
        <w:tc>
          <w:tcPr>
            <w:tcW w:w="1346" w:type="pct"/>
            <w:vMerge w:val="continue"/>
            <w:tcBorders>
              <w:top w:val="single" w:color="000000" w:sz="4" w:space="0"/>
              <w:left w:val="single" w:color="000000" w:sz="4" w:space="0"/>
              <w:bottom w:val="nil"/>
              <w:right w:val="single" w:color="000000" w:sz="4" w:space="0"/>
            </w:tcBorders>
            <w:shd w:val="clear" w:color="auto" w:fill="auto"/>
            <w:vAlign w:val="center"/>
          </w:tcPr>
          <w:p w14:paraId="6FBD036D">
            <w:pPr>
              <w:jc w:val="center"/>
              <w:rPr>
                <w:rFonts w:hint="eastAsia" w:ascii="宋体" w:hAnsi="宋体" w:eastAsia="宋体" w:cs="宋体"/>
                <w:i w:val="0"/>
                <w:iCs w:val="0"/>
                <w:color w:val="auto"/>
                <w:sz w:val="24"/>
                <w:szCs w:val="24"/>
                <w:highlight w:val="none"/>
                <w:u w:val="none"/>
              </w:rPr>
            </w:pP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2272B">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政务服务数字化支撑能力建设</w:t>
            </w:r>
          </w:p>
        </w:tc>
        <w:tc>
          <w:tcPr>
            <w:tcW w:w="10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A6C03">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eastAsia="zh-CN"/>
              </w:rPr>
            </w:pPr>
            <w:r>
              <w:rPr>
                <w:rFonts w:hint="eastAsia" w:ascii="宋体" w:hAnsi="宋体" w:cs="宋体"/>
                <w:i w:val="0"/>
                <w:iCs w:val="0"/>
                <w:color w:val="auto"/>
                <w:sz w:val="24"/>
                <w:szCs w:val="24"/>
                <w:highlight w:val="none"/>
                <w:u w:val="none"/>
                <w:lang w:val="en-US" w:eastAsia="zh-CN"/>
              </w:rPr>
              <w:t>10</w:t>
            </w:r>
          </w:p>
        </w:tc>
      </w:tr>
      <w:tr w14:paraId="2A1CEE25">
        <w:trPr>
          <w:trHeight w:val="280" w:hRule="atLeast"/>
        </w:trPr>
        <w:tc>
          <w:tcPr>
            <w:tcW w:w="1346" w:type="pct"/>
            <w:vMerge w:val="continue"/>
            <w:tcBorders>
              <w:top w:val="single" w:color="000000" w:sz="4" w:space="0"/>
              <w:left w:val="single" w:color="000000" w:sz="4" w:space="0"/>
              <w:bottom w:val="nil"/>
              <w:right w:val="single" w:color="000000" w:sz="4" w:space="0"/>
            </w:tcBorders>
            <w:shd w:val="clear" w:color="auto" w:fill="auto"/>
            <w:vAlign w:val="center"/>
          </w:tcPr>
          <w:p w14:paraId="631E3BF0">
            <w:pPr>
              <w:jc w:val="center"/>
              <w:rPr>
                <w:rFonts w:hint="eastAsia" w:ascii="宋体" w:hAnsi="宋体" w:eastAsia="宋体" w:cs="宋体"/>
                <w:i w:val="0"/>
                <w:iCs w:val="0"/>
                <w:color w:val="auto"/>
                <w:sz w:val="24"/>
                <w:szCs w:val="24"/>
                <w:highlight w:val="none"/>
                <w:u w:val="none"/>
              </w:rPr>
            </w:pP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73FA7">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数据资源管理与共享</w:t>
            </w:r>
          </w:p>
        </w:tc>
        <w:tc>
          <w:tcPr>
            <w:tcW w:w="10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BDF5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cs="宋体"/>
                <w:i w:val="0"/>
                <w:iCs w:val="0"/>
                <w:color w:val="auto"/>
                <w:sz w:val="24"/>
                <w:szCs w:val="24"/>
                <w:highlight w:val="none"/>
                <w:u w:val="none"/>
                <w:lang w:val="en-US" w:eastAsia="zh-CN"/>
              </w:rPr>
              <w:t>6</w:t>
            </w:r>
          </w:p>
        </w:tc>
      </w:tr>
      <w:tr w14:paraId="5A643D21">
        <w:trPr>
          <w:trHeight w:val="280" w:hRule="atLeast"/>
        </w:trPr>
        <w:tc>
          <w:tcPr>
            <w:tcW w:w="1346" w:type="pct"/>
            <w:vMerge w:val="continue"/>
            <w:tcBorders>
              <w:top w:val="single" w:color="000000" w:sz="4" w:space="0"/>
              <w:left w:val="single" w:color="000000" w:sz="4" w:space="0"/>
              <w:bottom w:val="nil"/>
              <w:right w:val="single" w:color="000000" w:sz="4" w:space="0"/>
            </w:tcBorders>
            <w:shd w:val="clear" w:color="auto" w:fill="auto"/>
            <w:vAlign w:val="center"/>
          </w:tcPr>
          <w:p w14:paraId="7F3A7B70">
            <w:pPr>
              <w:jc w:val="center"/>
              <w:rPr>
                <w:rFonts w:hint="eastAsia" w:ascii="宋体" w:hAnsi="宋体" w:eastAsia="宋体" w:cs="宋体"/>
                <w:i w:val="0"/>
                <w:iCs w:val="0"/>
                <w:color w:val="auto"/>
                <w:sz w:val="24"/>
                <w:szCs w:val="24"/>
                <w:highlight w:val="none"/>
                <w:u w:val="none"/>
              </w:rPr>
            </w:pP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7CAA0">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电子政务应用建设与推广</w:t>
            </w:r>
          </w:p>
        </w:tc>
        <w:tc>
          <w:tcPr>
            <w:tcW w:w="10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1F12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r>
      <w:tr w14:paraId="0EC61B73">
        <w:trPr>
          <w:trHeight w:val="280" w:hRule="atLeast"/>
        </w:trPr>
        <w:tc>
          <w:tcPr>
            <w:tcW w:w="1346" w:type="pct"/>
            <w:vMerge w:val="continue"/>
            <w:tcBorders>
              <w:top w:val="single" w:color="000000" w:sz="4" w:space="0"/>
              <w:left w:val="single" w:color="000000" w:sz="4" w:space="0"/>
              <w:bottom w:val="nil"/>
              <w:right w:val="single" w:color="000000" w:sz="4" w:space="0"/>
            </w:tcBorders>
            <w:shd w:val="clear" w:color="auto" w:fill="auto"/>
            <w:vAlign w:val="center"/>
          </w:tcPr>
          <w:p w14:paraId="7BDE176B">
            <w:pPr>
              <w:jc w:val="center"/>
              <w:rPr>
                <w:rFonts w:hint="eastAsia" w:ascii="宋体" w:hAnsi="宋体" w:eastAsia="宋体" w:cs="宋体"/>
                <w:i w:val="0"/>
                <w:iCs w:val="0"/>
                <w:color w:val="auto"/>
                <w:sz w:val="24"/>
                <w:szCs w:val="24"/>
                <w:highlight w:val="none"/>
                <w:u w:val="none"/>
              </w:rPr>
            </w:pP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6D195">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全市数据资源安全保障体系建设与指导</w:t>
            </w:r>
          </w:p>
        </w:tc>
        <w:tc>
          <w:tcPr>
            <w:tcW w:w="10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EB4C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r>
      <w:tr w14:paraId="7638B324">
        <w:trPr>
          <w:trHeight w:val="280" w:hRule="atLeast"/>
        </w:trPr>
        <w:tc>
          <w:tcPr>
            <w:tcW w:w="134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F9E06">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部门履职效益</w:t>
            </w:r>
          </w:p>
          <w:p w14:paraId="3B0A383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（25分）</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0DBE0">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社会效益</w:t>
            </w:r>
          </w:p>
        </w:tc>
        <w:tc>
          <w:tcPr>
            <w:tcW w:w="10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1937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r>
      <w:tr w14:paraId="2259D3B7">
        <w:trPr>
          <w:trHeight w:val="280" w:hRule="atLeast"/>
        </w:trPr>
        <w:tc>
          <w:tcPr>
            <w:tcW w:w="134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57E85">
            <w:pPr>
              <w:jc w:val="center"/>
              <w:rPr>
                <w:rFonts w:hint="eastAsia" w:ascii="宋体" w:hAnsi="宋体" w:eastAsia="宋体" w:cs="宋体"/>
                <w:i w:val="0"/>
                <w:iCs w:val="0"/>
                <w:color w:val="auto"/>
                <w:sz w:val="24"/>
                <w:szCs w:val="24"/>
                <w:highlight w:val="none"/>
                <w:u w:val="none"/>
              </w:rPr>
            </w:pP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9147E">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可持续影响</w:t>
            </w:r>
          </w:p>
        </w:tc>
        <w:tc>
          <w:tcPr>
            <w:tcW w:w="10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99ED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r>
      <w:tr w14:paraId="3AF9D246">
        <w:trPr>
          <w:trHeight w:val="280" w:hRule="atLeast"/>
        </w:trPr>
        <w:tc>
          <w:tcPr>
            <w:tcW w:w="134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3EFA2">
            <w:pPr>
              <w:jc w:val="center"/>
              <w:rPr>
                <w:rFonts w:hint="eastAsia" w:ascii="宋体" w:hAnsi="宋体" w:eastAsia="宋体" w:cs="宋体"/>
                <w:i w:val="0"/>
                <w:iCs w:val="0"/>
                <w:color w:val="auto"/>
                <w:sz w:val="24"/>
                <w:szCs w:val="24"/>
                <w:highlight w:val="none"/>
                <w:u w:val="none"/>
              </w:rPr>
            </w:pP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30D8C">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生态效益</w:t>
            </w:r>
          </w:p>
        </w:tc>
        <w:tc>
          <w:tcPr>
            <w:tcW w:w="10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049A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r>
      <w:tr w14:paraId="5A1468D6">
        <w:trPr>
          <w:trHeight w:val="280" w:hRule="atLeast"/>
        </w:trPr>
        <w:tc>
          <w:tcPr>
            <w:tcW w:w="134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98014">
            <w:pPr>
              <w:jc w:val="center"/>
              <w:rPr>
                <w:rFonts w:hint="eastAsia" w:ascii="宋体" w:hAnsi="宋体" w:eastAsia="宋体" w:cs="宋体"/>
                <w:i w:val="0"/>
                <w:iCs w:val="0"/>
                <w:color w:val="auto"/>
                <w:sz w:val="24"/>
                <w:szCs w:val="24"/>
                <w:highlight w:val="none"/>
                <w:u w:val="none"/>
              </w:rPr>
            </w:pP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EAF7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可持续发展</w:t>
            </w:r>
          </w:p>
        </w:tc>
        <w:tc>
          <w:tcPr>
            <w:tcW w:w="10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AD97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r>
      <w:tr w14:paraId="3E29C3DB">
        <w:trPr>
          <w:trHeight w:val="280" w:hRule="atLeast"/>
        </w:trPr>
        <w:tc>
          <w:tcPr>
            <w:tcW w:w="134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4A6A4">
            <w:pPr>
              <w:jc w:val="center"/>
              <w:rPr>
                <w:rFonts w:hint="eastAsia" w:ascii="宋体" w:hAnsi="宋体" w:eastAsia="宋体" w:cs="宋体"/>
                <w:i w:val="0"/>
                <w:iCs w:val="0"/>
                <w:color w:val="auto"/>
                <w:sz w:val="24"/>
                <w:szCs w:val="24"/>
                <w:highlight w:val="none"/>
                <w:u w:val="none"/>
              </w:rPr>
            </w:pP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E4179">
            <w:pPr>
              <w:keepNext w:val="0"/>
              <w:keepLines w:val="0"/>
              <w:widowControl/>
              <w:suppressLineNumbers w:val="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服务对象满意度</w:t>
            </w:r>
          </w:p>
        </w:tc>
        <w:tc>
          <w:tcPr>
            <w:tcW w:w="10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17A1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r>
    </w:tbl>
    <w:p w14:paraId="256705DB">
      <w:pPr>
        <w:keepNext w:val="0"/>
        <w:keepLines w:val="0"/>
        <w:pageBreakBefore w:val="0"/>
        <w:widowControl/>
        <w:numPr>
          <w:ilvl w:val="0"/>
          <w:numId w:val="0"/>
        </w:numPr>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 w:val="0"/>
          <w:bCs w:val="0"/>
          <w:color w:val="auto"/>
          <w:kern w:val="0"/>
          <w:sz w:val="32"/>
          <w:szCs w:val="32"/>
          <w:highlight w:val="none"/>
          <w:lang w:val="en-US" w:eastAsia="zh-CN" w:bidi="ar"/>
        </w:rPr>
        <w:t>3.部门职责履行指标</w:t>
      </w:r>
    </w:p>
    <w:tbl>
      <w:tblPr>
        <w:tblStyle w:val="6"/>
        <w:tblW w:w="4750" w:type="pct"/>
        <w:tblInd w:w="10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49"/>
        <w:gridCol w:w="1846"/>
        <w:gridCol w:w="4442"/>
        <w:gridCol w:w="771"/>
      </w:tblGrid>
      <w:tr w14:paraId="72B428AD">
        <w:trPr>
          <w:trHeight w:val="4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E769E">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eastAsia="宋体" w:cs="宋体"/>
                <w:b/>
                <w:bCs/>
                <w:i w:val="0"/>
                <w:iCs w:val="0"/>
                <w:color w:val="auto"/>
                <w:kern w:val="0"/>
                <w:sz w:val="24"/>
                <w:szCs w:val="24"/>
                <w:highlight w:val="none"/>
                <w:u w:val="none"/>
                <w:lang w:val="en-US" w:eastAsia="zh-CN" w:bidi="ar"/>
              </w:rPr>
              <w:t>部门职责履行指标</w:t>
            </w:r>
          </w:p>
        </w:tc>
      </w:tr>
      <w:tr w14:paraId="232729AC">
        <w:trPr>
          <w:trHeight w:val="280" w:hRule="atLeast"/>
        </w:trPr>
        <w:tc>
          <w:tcPr>
            <w:tcW w:w="8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D467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一级指标</w:t>
            </w:r>
          </w:p>
        </w:tc>
        <w:tc>
          <w:tcPr>
            <w:tcW w:w="10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0C1F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二级指标</w:t>
            </w:r>
          </w:p>
        </w:tc>
        <w:tc>
          <w:tcPr>
            <w:tcW w:w="2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268A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三级指标</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A233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分值</w:t>
            </w:r>
          </w:p>
        </w:tc>
      </w:tr>
      <w:tr w14:paraId="607B29B2">
        <w:trPr>
          <w:trHeight w:val="280" w:hRule="atLeast"/>
        </w:trPr>
        <w:tc>
          <w:tcPr>
            <w:tcW w:w="8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B0883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部门职责履行（40分）</w:t>
            </w:r>
          </w:p>
        </w:tc>
        <w:tc>
          <w:tcPr>
            <w:tcW w:w="107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A488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数字政府顶层设计与运行机制建设</w:t>
            </w:r>
            <w:r>
              <w:rPr>
                <w:rFonts w:hint="eastAsia" w:ascii="宋体" w:hAnsi="宋体" w:cs="宋体"/>
                <w:i w:val="0"/>
                <w:iCs w:val="0"/>
                <w:color w:val="auto"/>
                <w:kern w:val="0"/>
                <w:sz w:val="24"/>
                <w:szCs w:val="24"/>
                <w:highlight w:val="none"/>
                <w:u w:val="none"/>
                <w:lang w:val="en-US" w:eastAsia="zh-CN" w:bidi="ar"/>
              </w:rPr>
              <w:t>（8分）</w:t>
            </w:r>
          </w:p>
        </w:tc>
        <w:tc>
          <w:tcPr>
            <w:tcW w:w="2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9CB93">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数字政府建设施意见、规划、方案</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3926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r>
      <w:tr w14:paraId="4AAB0DCB">
        <w:trPr>
          <w:trHeight w:val="280" w:hRule="atLeast"/>
        </w:trPr>
        <w:tc>
          <w:tcPr>
            <w:tcW w:w="8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6C8E4A">
            <w:pPr>
              <w:jc w:val="center"/>
              <w:rPr>
                <w:rFonts w:hint="eastAsia" w:ascii="宋体" w:hAnsi="宋体" w:eastAsia="宋体" w:cs="宋体"/>
                <w:i w:val="0"/>
                <w:iCs w:val="0"/>
                <w:color w:val="auto"/>
                <w:sz w:val="24"/>
                <w:szCs w:val="24"/>
                <w:highlight w:val="none"/>
                <w:u w:val="none"/>
              </w:rPr>
            </w:pPr>
          </w:p>
        </w:tc>
        <w:tc>
          <w:tcPr>
            <w:tcW w:w="10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505B6">
            <w:pPr>
              <w:jc w:val="center"/>
              <w:rPr>
                <w:rFonts w:hint="eastAsia" w:ascii="宋体" w:hAnsi="宋体" w:eastAsia="宋体" w:cs="宋体"/>
                <w:i w:val="0"/>
                <w:iCs w:val="0"/>
                <w:color w:val="auto"/>
                <w:sz w:val="24"/>
                <w:szCs w:val="24"/>
                <w:highlight w:val="none"/>
                <w:u w:val="none"/>
              </w:rPr>
            </w:pPr>
          </w:p>
        </w:tc>
        <w:tc>
          <w:tcPr>
            <w:tcW w:w="2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4456A">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首席数据官体系建设与培训</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36BC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r>
      <w:tr w14:paraId="47119969">
        <w:trPr>
          <w:trHeight w:val="280" w:hRule="atLeast"/>
        </w:trPr>
        <w:tc>
          <w:tcPr>
            <w:tcW w:w="8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243B85">
            <w:pPr>
              <w:jc w:val="center"/>
              <w:rPr>
                <w:rFonts w:hint="eastAsia" w:ascii="宋体" w:hAnsi="宋体" w:eastAsia="宋体" w:cs="宋体"/>
                <w:i w:val="0"/>
                <w:iCs w:val="0"/>
                <w:color w:val="auto"/>
                <w:sz w:val="24"/>
                <w:szCs w:val="24"/>
                <w:highlight w:val="none"/>
                <w:u w:val="none"/>
              </w:rPr>
            </w:pPr>
          </w:p>
        </w:tc>
        <w:tc>
          <w:tcPr>
            <w:tcW w:w="10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36348">
            <w:pPr>
              <w:jc w:val="center"/>
              <w:rPr>
                <w:rFonts w:hint="eastAsia" w:ascii="宋体" w:hAnsi="宋体" w:eastAsia="宋体" w:cs="宋体"/>
                <w:i w:val="0"/>
                <w:iCs w:val="0"/>
                <w:color w:val="auto"/>
                <w:sz w:val="24"/>
                <w:szCs w:val="24"/>
                <w:highlight w:val="none"/>
                <w:u w:val="none"/>
              </w:rPr>
            </w:pPr>
          </w:p>
        </w:tc>
        <w:tc>
          <w:tcPr>
            <w:tcW w:w="2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AD17D">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政务信息化项目管理办法修订与实施</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87FE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r>
      <w:tr w14:paraId="4BEFB3ED">
        <w:trPr>
          <w:trHeight w:val="280" w:hRule="atLeast"/>
        </w:trPr>
        <w:tc>
          <w:tcPr>
            <w:tcW w:w="8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0F7ABB">
            <w:pPr>
              <w:jc w:val="center"/>
              <w:rPr>
                <w:rFonts w:hint="eastAsia" w:ascii="宋体" w:hAnsi="宋体" w:eastAsia="宋体" w:cs="宋体"/>
                <w:i w:val="0"/>
                <w:iCs w:val="0"/>
                <w:color w:val="auto"/>
                <w:sz w:val="24"/>
                <w:szCs w:val="24"/>
                <w:highlight w:val="none"/>
                <w:u w:val="none"/>
              </w:rPr>
            </w:pPr>
          </w:p>
        </w:tc>
        <w:tc>
          <w:tcPr>
            <w:tcW w:w="10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FDC97">
            <w:pPr>
              <w:jc w:val="center"/>
              <w:rPr>
                <w:rFonts w:hint="eastAsia" w:ascii="宋体" w:hAnsi="宋体" w:eastAsia="宋体" w:cs="宋体"/>
                <w:i w:val="0"/>
                <w:iCs w:val="0"/>
                <w:color w:val="auto"/>
                <w:sz w:val="24"/>
                <w:szCs w:val="24"/>
                <w:highlight w:val="none"/>
                <w:u w:val="none"/>
              </w:rPr>
            </w:pPr>
          </w:p>
        </w:tc>
        <w:tc>
          <w:tcPr>
            <w:tcW w:w="2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8492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市级信息化项目</w:t>
            </w:r>
            <w:r>
              <w:rPr>
                <w:rFonts w:hint="eastAsia" w:ascii="宋体" w:hAnsi="宋体" w:cs="宋体"/>
                <w:i w:val="0"/>
                <w:iCs w:val="0"/>
                <w:color w:val="auto"/>
                <w:kern w:val="0"/>
                <w:sz w:val="24"/>
                <w:szCs w:val="24"/>
                <w:highlight w:val="none"/>
                <w:u w:val="none"/>
                <w:lang w:val="en-US" w:eastAsia="zh-CN" w:bidi="ar"/>
              </w:rPr>
              <w:t>统一</w:t>
            </w:r>
            <w:r>
              <w:rPr>
                <w:rFonts w:hint="eastAsia" w:ascii="宋体" w:hAnsi="宋体" w:eastAsia="宋体" w:cs="宋体"/>
                <w:i w:val="0"/>
                <w:iCs w:val="0"/>
                <w:color w:val="auto"/>
                <w:kern w:val="0"/>
                <w:sz w:val="24"/>
                <w:szCs w:val="24"/>
                <w:highlight w:val="none"/>
                <w:u w:val="none"/>
                <w:lang w:val="en-US" w:eastAsia="zh-CN" w:bidi="ar"/>
              </w:rPr>
              <w:t>运维</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B8DA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r>
      <w:tr w14:paraId="155321ED">
        <w:trPr>
          <w:trHeight w:val="280" w:hRule="atLeast"/>
        </w:trPr>
        <w:tc>
          <w:tcPr>
            <w:tcW w:w="8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B8ED4C">
            <w:pPr>
              <w:jc w:val="center"/>
              <w:rPr>
                <w:rFonts w:hint="eastAsia" w:ascii="宋体" w:hAnsi="宋体" w:eastAsia="宋体" w:cs="宋体"/>
                <w:i w:val="0"/>
                <w:iCs w:val="0"/>
                <w:color w:val="auto"/>
                <w:sz w:val="24"/>
                <w:szCs w:val="24"/>
                <w:highlight w:val="none"/>
                <w:u w:val="none"/>
              </w:rPr>
            </w:pPr>
          </w:p>
        </w:tc>
        <w:tc>
          <w:tcPr>
            <w:tcW w:w="107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B4BE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政务服务数字化支撑能力建设</w:t>
            </w:r>
            <w:r>
              <w:rPr>
                <w:rFonts w:hint="eastAsia" w:ascii="宋体" w:hAnsi="宋体" w:cs="宋体"/>
                <w:i w:val="0"/>
                <w:iCs w:val="0"/>
                <w:color w:val="auto"/>
                <w:kern w:val="0"/>
                <w:sz w:val="24"/>
                <w:szCs w:val="24"/>
                <w:highlight w:val="none"/>
                <w:u w:val="none"/>
                <w:lang w:val="en-US" w:eastAsia="zh-CN" w:bidi="ar"/>
              </w:rPr>
              <w:t>（10分）</w:t>
            </w:r>
          </w:p>
        </w:tc>
        <w:tc>
          <w:tcPr>
            <w:tcW w:w="2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D87C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政府网站全部实现IPv6访问</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9D02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r>
      <w:tr w14:paraId="79B3D820">
        <w:trPr>
          <w:trHeight w:val="280" w:hRule="atLeast"/>
        </w:trPr>
        <w:tc>
          <w:tcPr>
            <w:tcW w:w="8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5DF1C6">
            <w:pPr>
              <w:jc w:val="center"/>
              <w:rPr>
                <w:rFonts w:hint="eastAsia" w:ascii="宋体" w:hAnsi="宋体" w:eastAsia="宋体" w:cs="宋体"/>
                <w:i w:val="0"/>
                <w:iCs w:val="0"/>
                <w:color w:val="auto"/>
                <w:sz w:val="24"/>
                <w:szCs w:val="24"/>
                <w:highlight w:val="none"/>
                <w:u w:val="none"/>
              </w:rPr>
            </w:pPr>
          </w:p>
        </w:tc>
        <w:tc>
          <w:tcPr>
            <w:tcW w:w="10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3BA13">
            <w:pPr>
              <w:jc w:val="center"/>
              <w:rPr>
                <w:rFonts w:hint="eastAsia" w:ascii="宋体" w:hAnsi="宋体" w:eastAsia="宋体" w:cs="宋体"/>
                <w:i w:val="0"/>
                <w:iCs w:val="0"/>
                <w:color w:val="auto"/>
                <w:sz w:val="24"/>
                <w:szCs w:val="24"/>
                <w:highlight w:val="none"/>
                <w:u w:val="none"/>
              </w:rPr>
            </w:pPr>
          </w:p>
        </w:tc>
        <w:tc>
          <w:tcPr>
            <w:tcW w:w="2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6F7B7">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城市运行管理视频云中台</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F1B2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r>
      <w:tr w14:paraId="750A3144">
        <w:trPr>
          <w:trHeight w:val="280" w:hRule="atLeast"/>
        </w:trPr>
        <w:tc>
          <w:tcPr>
            <w:tcW w:w="8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492D14">
            <w:pPr>
              <w:jc w:val="center"/>
              <w:rPr>
                <w:rFonts w:hint="eastAsia" w:ascii="宋体" w:hAnsi="宋体" w:eastAsia="宋体" w:cs="宋体"/>
                <w:i w:val="0"/>
                <w:iCs w:val="0"/>
                <w:color w:val="auto"/>
                <w:sz w:val="24"/>
                <w:szCs w:val="24"/>
                <w:highlight w:val="none"/>
                <w:u w:val="none"/>
              </w:rPr>
            </w:pPr>
          </w:p>
        </w:tc>
        <w:tc>
          <w:tcPr>
            <w:tcW w:w="10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A0E5F">
            <w:pPr>
              <w:jc w:val="center"/>
              <w:rPr>
                <w:rFonts w:hint="eastAsia" w:ascii="宋体" w:hAnsi="宋体" w:eastAsia="宋体" w:cs="宋体"/>
                <w:i w:val="0"/>
                <w:iCs w:val="0"/>
                <w:color w:val="auto"/>
                <w:sz w:val="24"/>
                <w:szCs w:val="24"/>
                <w:highlight w:val="none"/>
                <w:u w:val="none"/>
              </w:rPr>
            </w:pPr>
          </w:p>
        </w:tc>
        <w:tc>
          <w:tcPr>
            <w:tcW w:w="2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05021">
            <w:pPr>
              <w:keepNext w:val="0"/>
              <w:keepLines w:val="0"/>
              <w:widowControl/>
              <w:suppressLineNumbers w:val="0"/>
              <w:jc w:val="left"/>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市级信息化项目</w:t>
            </w:r>
            <w:r>
              <w:rPr>
                <w:rFonts w:hint="eastAsia" w:ascii="宋体" w:hAnsi="宋体" w:cs="宋体"/>
                <w:i w:val="0"/>
                <w:iCs w:val="0"/>
                <w:color w:val="auto"/>
                <w:kern w:val="0"/>
                <w:sz w:val="24"/>
                <w:szCs w:val="24"/>
                <w:highlight w:val="none"/>
                <w:u w:val="none"/>
                <w:lang w:val="en-US" w:eastAsia="zh-CN" w:bidi="ar"/>
              </w:rPr>
              <w:t>统一建设</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748B7">
            <w:pPr>
              <w:keepNext w:val="0"/>
              <w:keepLines w:val="0"/>
              <w:widowControl/>
              <w:suppressLineNumbers w:val="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2</w:t>
            </w:r>
          </w:p>
        </w:tc>
      </w:tr>
      <w:tr w14:paraId="2372250A">
        <w:trPr>
          <w:trHeight w:val="560" w:hRule="atLeast"/>
        </w:trPr>
        <w:tc>
          <w:tcPr>
            <w:tcW w:w="8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06B10C">
            <w:pPr>
              <w:jc w:val="center"/>
              <w:rPr>
                <w:rFonts w:hint="eastAsia" w:ascii="宋体" w:hAnsi="宋体" w:eastAsia="宋体" w:cs="宋体"/>
                <w:i w:val="0"/>
                <w:iCs w:val="0"/>
                <w:color w:val="auto"/>
                <w:sz w:val="24"/>
                <w:szCs w:val="24"/>
                <w:highlight w:val="none"/>
                <w:u w:val="none"/>
              </w:rPr>
            </w:pPr>
          </w:p>
        </w:tc>
        <w:tc>
          <w:tcPr>
            <w:tcW w:w="10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A2BCF">
            <w:pPr>
              <w:jc w:val="center"/>
              <w:rPr>
                <w:rFonts w:hint="eastAsia" w:ascii="宋体" w:hAnsi="宋体" w:eastAsia="宋体" w:cs="宋体"/>
                <w:i w:val="0"/>
                <w:iCs w:val="0"/>
                <w:color w:val="auto"/>
                <w:sz w:val="24"/>
                <w:szCs w:val="24"/>
                <w:highlight w:val="none"/>
                <w:u w:val="none"/>
              </w:rPr>
            </w:pPr>
          </w:p>
        </w:tc>
        <w:tc>
          <w:tcPr>
            <w:tcW w:w="2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8334D">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电子档案系统、CA数字证书及电子签章、电子签名的推广使用</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6FDB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r>
      <w:tr w14:paraId="49D69E3C">
        <w:trPr>
          <w:trHeight w:val="840" w:hRule="atLeast"/>
        </w:trPr>
        <w:tc>
          <w:tcPr>
            <w:tcW w:w="8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C326F1">
            <w:pPr>
              <w:jc w:val="center"/>
              <w:rPr>
                <w:rFonts w:hint="eastAsia" w:ascii="宋体" w:hAnsi="宋体" w:eastAsia="宋体" w:cs="宋体"/>
                <w:i w:val="0"/>
                <w:iCs w:val="0"/>
                <w:color w:val="auto"/>
                <w:sz w:val="24"/>
                <w:szCs w:val="24"/>
                <w:highlight w:val="none"/>
                <w:u w:val="none"/>
              </w:rPr>
            </w:pPr>
          </w:p>
        </w:tc>
        <w:tc>
          <w:tcPr>
            <w:tcW w:w="10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B7877">
            <w:pPr>
              <w:jc w:val="center"/>
              <w:rPr>
                <w:rFonts w:hint="eastAsia" w:ascii="宋体" w:hAnsi="宋体" w:eastAsia="宋体" w:cs="宋体"/>
                <w:i w:val="0"/>
                <w:iCs w:val="0"/>
                <w:color w:val="auto"/>
                <w:sz w:val="24"/>
                <w:szCs w:val="24"/>
                <w:highlight w:val="none"/>
                <w:u w:val="none"/>
              </w:rPr>
            </w:pPr>
          </w:p>
        </w:tc>
        <w:tc>
          <w:tcPr>
            <w:tcW w:w="2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4A909">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政务服务“全流程网办”和全市范围市、县、乡、村四级政务服务事项“一窗”受理</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730E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r>
      <w:tr w14:paraId="5D7448B5">
        <w:trPr>
          <w:trHeight w:val="280" w:hRule="atLeast"/>
        </w:trPr>
        <w:tc>
          <w:tcPr>
            <w:tcW w:w="8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C75B98">
            <w:pPr>
              <w:jc w:val="center"/>
              <w:rPr>
                <w:rFonts w:hint="eastAsia" w:ascii="宋体" w:hAnsi="宋体" w:eastAsia="宋体" w:cs="宋体"/>
                <w:i w:val="0"/>
                <w:iCs w:val="0"/>
                <w:color w:val="auto"/>
                <w:sz w:val="24"/>
                <w:szCs w:val="24"/>
                <w:highlight w:val="none"/>
                <w:u w:val="none"/>
              </w:rPr>
            </w:pPr>
          </w:p>
        </w:tc>
        <w:tc>
          <w:tcPr>
            <w:tcW w:w="107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5180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数据资源管理与共享</w:t>
            </w:r>
            <w:r>
              <w:rPr>
                <w:rFonts w:hint="eastAsia" w:ascii="宋体" w:hAnsi="宋体" w:cs="宋体"/>
                <w:i w:val="0"/>
                <w:iCs w:val="0"/>
                <w:color w:val="auto"/>
                <w:kern w:val="0"/>
                <w:sz w:val="24"/>
                <w:szCs w:val="24"/>
                <w:highlight w:val="none"/>
                <w:u w:val="none"/>
                <w:lang w:val="en-US" w:eastAsia="zh-CN" w:bidi="ar"/>
              </w:rPr>
              <w:t>（6分）</w:t>
            </w:r>
          </w:p>
        </w:tc>
        <w:tc>
          <w:tcPr>
            <w:tcW w:w="2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21FB5">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政务数据归集和共享</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910E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cs="宋体"/>
                <w:i w:val="0"/>
                <w:iCs w:val="0"/>
                <w:color w:val="auto"/>
                <w:sz w:val="24"/>
                <w:szCs w:val="24"/>
                <w:highlight w:val="none"/>
                <w:u w:val="none"/>
                <w:lang w:val="en-US" w:eastAsia="zh-CN"/>
              </w:rPr>
              <w:t>2</w:t>
            </w:r>
          </w:p>
        </w:tc>
      </w:tr>
      <w:tr w14:paraId="7D439E83">
        <w:trPr>
          <w:trHeight w:val="280" w:hRule="atLeast"/>
        </w:trPr>
        <w:tc>
          <w:tcPr>
            <w:tcW w:w="8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562C94">
            <w:pPr>
              <w:jc w:val="center"/>
              <w:rPr>
                <w:rFonts w:hint="eastAsia" w:ascii="宋体" w:hAnsi="宋体" w:eastAsia="宋体" w:cs="宋体"/>
                <w:i w:val="0"/>
                <w:iCs w:val="0"/>
                <w:color w:val="auto"/>
                <w:sz w:val="24"/>
                <w:szCs w:val="24"/>
                <w:highlight w:val="none"/>
                <w:u w:val="none"/>
              </w:rPr>
            </w:pPr>
          </w:p>
        </w:tc>
        <w:tc>
          <w:tcPr>
            <w:tcW w:w="10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78788">
            <w:pPr>
              <w:jc w:val="center"/>
              <w:rPr>
                <w:rFonts w:hint="eastAsia" w:ascii="宋体" w:hAnsi="宋体" w:eastAsia="宋体" w:cs="宋体"/>
                <w:i w:val="0"/>
                <w:iCs w:val="0"/>
                <w:color w:val="auto"/>
                <w:sz w:val="24"/>
                <w:szCs w:val="24"/>
                <w:highlight w:val="none"/>
                <w:u w:val="none"/>
              </w:rPr>
            </w:pPr>
          </w:p>
        </w:tc>
        <w:tc>
          <w:tcPr>
            <w:tcW w:w="2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EA458">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试点数据资源目录编制</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6190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r>
      <w:tr w14:paraId="67E8618E">
        <w:trPr>
          <w:trHeight w:val="280" w:hRule="atLeast"/>
        </w:trPr>
        <w:tc>
          <w:tcPr>
            <w:tcW w:w="8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D767B1">
            <w:pPr>
              <w:jc w:val="center"/>
              <w:rPr>
                <w:rFonts w:hint="eastAsia" w:ascii="宋体" w:hAnsi="宋体" w:eastAsia="宋体" w:cs="宋体"/>
                <w:i w:val="0"/>
                <w:iCs w:val="0"/>
                <w:color w:val="auto"/>
                <w:sz w:val="24"/>
                <w:szCs w:val="24"/>
                <w:highlight w:val="none"/>
                <w:u w:val="none"/>
              </w:rPr>
            </w:pPr>
          </w:p>
        </w:tc>
        <w:tc>
          <w:tcPr>
            <w:tcW w:w="10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5CF07">
            <w:pPr>
              <w:jc w:val="center"/>
              <w:rPr>
                <w:rFonts w:hint="eastAsia" w:ascii="宋体" w:hAnsi="宋体" w:eastAsia="宋体" w:cs="宋体"/>
                <w:i w:val="0"/>
                <w:iCs w:val="0"/>
                <w:color w:val="auto"/>
                <w:sz w:val="24"/>
                <w:szCs w:val="24"/>
                <w:highlight w:val="none"/>
                <w:u w:val="none"/>
              </w:rPr>
            </w:pPr>
          </w:p>
        </w:tc>
        <w:tc>
          <w:tcPr>
            <w:tcW w:w="2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6F9F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探索公共数据资源开放</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870B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cs="宋体"/>
                <w:i w:val="0"/>
                <w:iCs w:val="0"/>
                <w:color w:val="auto"/>
                <w:sz w:val="24"/>
                <w:szCs w:val="24"/>
                <w:highlight w:val="none"/>
                <w:u w:val="none"/>
                <w:lang w:val="en-US" w:eastAsia="zh-CN"/>
              </w:rPr>
              <w:t>2</w:t>
            </w:r>
          </w:p>
        </w:tc>
      </w:tr>
      <w:tr w14:paraId="6414EFE3">
        <w:trPr>
          <w:trHeight w:val="280" w:hRule="atLeast"/>
        </w:trPr>
        <w:tc>
          <w:tcPr>
            <w:tcW w:w="8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59E806">
            <w:pPr>
              <w:jc w:val="center"/>
              <w:rPr>
                <w:rFonts w:hint="eastAsia" w:ascii="宋体" w:hAnsi="宋体" w:eastAsia="宋体" w:cs="宋体"/>
                <w:i w:val="0"/>
                <w:iCs w:val="0"/>
                <w:color w:val="auto"/>
                <w:sz w:val="24"/>
                <w:szCs w:val="24"/>
                <w:highlight w:val="none"/>
                <w:u w:val="none"/>
              </w:rPr>
            </w:pPr>
          </w:p>
        </w:tc>
        <w:tc>
          <w:tcPr>
            <w:tcW w:w="107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85D38">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电子政务应用建设与推广</w:t>
            </w:r>
          </w:p>
          <w:p w14:paraId="18FC1A4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i w:val="0"/>
                <w:iCs w:val="0"/>
                <w:color w:val="auto"/>
                <w:kern w:val="0"/>
                <w:sz w:val="24"/>
                <w:szCs w:val="24"/>
                <w:highlight w:val="none"/>
                <w:u w:val="none"/>
                <w:lang w:val="en-US" w:eastAsia="zh-CN" w:bidi="ar"/>
              </w:rPr>
              <w:t>（8分）</w:t>
            </w:r>
          </w:p>
        </w:tc>
        <w:tc>
          <w:tcPr>
            <w:tcW w:w="2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156EC">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完善一体化党政协同办公平台功能</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F9B7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r>
      <w:tr w14:paraId="037311A4">
        <w:trPr>
          <w:trHeight w:val="280" w:hRule="atLeast"/>
        </w:trPr>
        <w:tc>
          <w:tcPr>
            <w:tcW w:w="8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385A99">
            <w:pPr>
              <w:jc w:val="center"/>
              <w:rPr>
                <w:rFonts w:hint="eastAsia" w:ascii="宋体" w:hAnsi="宋体" w:eastAsia="宋体" w:cs="宋体"/>
                <w:i w:val="0"/>
                <w:iCs w:val="0"/>
                <w:color w:val="auto"/>
                <w:sz w:val="24"/>
                <w:szCs w:val="24"/>
                <w:highlight w:val="none"/>
                <w:u w:val="none"/>
              </w:rPr>
            </w:pPr>
          </w:p>
        </w:tc>
        <w:tc>
          <w:tcPr>
            <w:tcW w:w="10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FDA5E">
            <w:pPr>
              <w:jc w:val="center"/>
              <w:rPr>
                <w:rFonts w:hint="eastAsia" w:ascii="宋体" w:hAnsi="宋体" w:eastAsia="宋体" w:cs="宋体"/>
                <w:i w:val="0"/>
                <w:iCs w:val="0"/>
                <w:color w:val="auto"/>
                <w:sz w:val="24"/>
                <w:szCs w:val="24"/>
                <w:highlight w:val="none"/>
                <w:u w:val="none"/>
              </w:rPr>
            </w:pPr>
          </w:p>
        </w:tc>
        <w:tc>
          <w:tcPr>
            <w:tcW w:w="2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D8BE7">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建设“一网统管”综合体系</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7E7E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r>
      <w:tr w14:paraId="2050D9DD">
        <w:trPr>
          <w:trHeight w:val="280" w:hRule="atLeast"/>
        </w:trPr>
        <w:tc>
          <w:tcPr>
            <w:tcW w:w="8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A78A00">
            <w:pPr>
              <w:jc w:val="center"/>
              <w:rPr>
                <w:rFonts w:hint="eastAsia" w:ascii="宋体" w:hAnsi="宋体" w:eastAsia="宋体" w:cs="宋体"/>
                <w:i w:val="0"/>
                <w:iCs w:val="0"/>
                <w:color w:val="auto"/>
                <w:sz w:val="24"/>
                <w:szCs w:val="24"/>
                <w:highlight w:val="none"/>
                <w:u w:val="none"/>
              </w:rPr>
            </w:pPr>
          </w:p>
        </w:tc>
        <w:tc>
          <w:tcPr>
            <w:tcW w:w="10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3F44E">
            <w:pPr>
              <w:jc w:val="center"/>
              <w:rPr>
                <w:rFonts w:hint="eastAsia" w:ascii="宋体" w:hAnsi="宋体" w:eastAsia="宋体" w:cs="宋体"/>
                <w:i w:val="0"/>
                <w:iCs w:val="0"/>
                <w:color w:val="auto"/>
                <w:sz w:val="24"/>
                <w:szCs w:val="24"/>
                <w:highlight w:val="none"/>
                <w:u w:val="none"/>
              </w:rPr>
            </w:pPr>
          </w:p>
        </w:tc>
        <w:tc>
          <w:tcPr>
            <w:tcW w:w="2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0F8B5">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一站式城市服务“掌上办”、“指尖办”</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F8D2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r>
      <w:tr w14:paraId="55614B09">
        <w:trPr>
          <w:trHeight w:val="280" w:hRule="atLeast"/>
        </w:trPr>
        <w:tc>
          <w:tcPr>
            <w:tcW w:w="8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B312BC">
            <w:pPr>
              <w:jc w:val="center"/>
              <w:rPr>
                <w:rFonts w:hint="eastAsia" w:ascii="宋体" w:hAnsi="宋体" w:eastAsia="宋体" w:cs="宋体"/>
                <w:i w:val="0"/>
                <w:iCs w:val="0"/>
                <w:color w:val="auto"/>
                <w:sz w:val="24"/>
                <w:szCs w:val="24"/>
                <w:highlight w:val="none"/>
                <w:u w:val="none"/>
              </w:rPr>
            </w:pPr>
          </w:p>
        </w:tc>
        <w:tc>
          <w:tcPr>
            <w:tcW w:w="10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B5EEE">
            <w:pPr>
              <w:jc w:val="center"/>
              <w:rPr>
                <w:rFonts w:hint="eastAsia" w:ascii="宋体" w:hAnsi="宋体" w:eastAsia="宋体" w:cs="宋体"/>
                <w:i w:val="0"/>
                <w:iCs w:val="0"/>
                <w:color w:val="auto"/>
                <w:sz w:val="24"/>
                <w:szCs w:val="24"/>
                <w:highlight w:val="none"/>
                <w:u w:val="none"/>
              </w:rPr>
            </w:pPr>
          </w:p>
        </w:tc>
        <w:tc>
          <w:tcPr>
            <w:tcW w:w="2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432A7">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政府网站改版和日常监管</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1976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r>
      <w:tr w14:paraId="54A2A668">
        <w:trPr>
          <w:trHeight w:val="280" w:hRule="atLeast"/>
        </w:trPr>
        <w:tc>
          <w:tcPr>
            <w:tcW w:w="8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BD3F7A">
            <w:pPr>
              <w:jc w:val="center"/>
              <w:rPr>
                <w:rFonts w:hint="eastAsia" w:ascii="宋体" w:hAnsi="宋体" w:eastAsia="宋体" w:cs="宋体"/>
                <w:i w:val="0"/>
                <w:iCs w:val="0"/>
                <w:color w:val="auto"/>
                <w:sz w:val="24"/>
                <w:szCs w:val="24"/>
                <w:highlight w:val="none"/>
                <w:u w:val="none"/>
              </w:rPr>
            </w:pPr>
          </w:p>
        </w:tc>
        <w:tc>
          <w:tcPr>
            <w:tcW w:w="107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F7B43">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全市数据资源安全保障体系建设与指导</w:t>
            </w:r>
          </w:p>
          <w:p w14:paraId="2E22379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i w:val="0"/>
                <w:iCs w:val="0"/>
                <w:color w:val="auto"/>
                <w:kern w:val="0"/>
                <w:sz w:val="24"/>
                <w:szCs w:val="24"/>
                <w:highlight w:val="none"/>
                <w:u w:val="none"/>
                <w:lang w:val="en-US" w:eastAsia="zh-CN" w:bidi="ar"/>
              </w:rPr>
              <w:t>（8分</w:t>
            </w:r>
          </w:p>
        </w:tc>
        <w:tc>
          <w:tcPr>
            <w:tcW w:w="2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80F7F">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落实网络安全责任制</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2AB5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r>
      <w:tr w14:paraId="518994C7">
        <w:trPr>
          <w:trHeight w:val="280" w:hRule="atLeast"/>
        </w:trPr>
        <w:tc>
          <w:tcPr>
            <w:tcW w:w="8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69774E">
            <w:pPr>
              <w:jc w:val="center"/>
              <w:rPr>
                <w:rFonts w:hint="eastAsia" w:ascii="宋体" w:hAnsi="宋体" w:eastAsia="宋体" w:cs="宋体"/>
                <w:i w:val="0"/>
                <w:iCs w:val="0"/>
                <w:color w:val="auto"/>
                <w:sz w:val="24"/>
                <w:szCs w:val="24"/>
                <w:highlight w:val="none"/>
                <w:u w:val="none"/>
              </w:rPr>
            </w:pPr>
          </w:p>
        </w:tc>
        <w:tc>
          <w:tcPr>
            <w:tcW w:w="10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AA43C">
            <w:pPr>
              <w:jc w:val="center"/>
              <w:rPr>
                <w:rFonts w:hint="eastAsia" w:ascii="宋体" w:hAnsi="宋体" w:eastAsia="宋体" w:cs="宋体"/>
                <w:i w:val="0"/>
                <w:iCs w:val="0"/>
                <w:color w:val="auto"/>
                <w:sz w:val="24"/>
                <w:szCs w:val="24"/>
                <w:highlight w:val="none"/>
                <w:u w:val="none"/>
              </w:rPr>
            </w:pPr>
          </w:p>
        </w:tc>
        <w:tc>
          <w:tcPr>
            <w:tcW w:w="2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0896C">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建立健全网络数据安全管理制度</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335D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r>
      <w:tr w14:paraId="66CD1989">
        <w:trPr>
          <w:trHeight w:val="280" w:hRule="atLeast"/>
        </w:trPr>
        <w:tc>
          <w:tcPr>
            <w:tcW w:w="8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7F9D46">
            <w:pPr>
              <w:jc w:val="center"/>
              <w:rPr>
                <w:rFonts w:hint="eastAsia" w:ascii="宋体" w:hAnsi="宋体" w:eastAsia="宋体" w:cs="宋体"/>
                <w:i w:val="0"/>
                <w:iCs w:val="0"/>
                <w:color w:val="auto"/>
                <w:sz w:val="24"/>
                <w:szCs w:val="24"/>
                <w:highlight w:val="none"/>
                <w:u w:val="none"/>
              </w:rPr>
            </w:pPr>
          </w:p>
        </w:tc>
        <w:tc>
          <w:tcPr>
            <w:tcW w:w="10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8562A">
            <w:pPr>
              <w:jc w:val="center"/>
              <w:rPr>
                <w:rFonts w:hint="eastAsia" w:ascii="宋体" w:hAnsi="宋体" w:eastAsia="宋体" w:cs="宋体"/>
                <w:i w:val="0"/>
                <w:iCs w:val="0"/>
                <w:color w:val="auto"/>
                <w:sz w:val="24"/>
                <w:szCs w:val="24"/>
                <w:highlight w:val="none"/>
                <w:u w:val="none"/>
              </w:rPr>
            </w:pPr>
          </w:p>
        </w:tc>
        <w:tc>
          <w:tcPr>
            <w:tcW w:w="2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EB003">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网络安全保障</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9DDD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r>
      <w:bookmarkEnd w:id="0"/>
    </w:tbl>
    <w:p w14:paraId="60694552">
      <w:pPr>
        <w:keepNext w:val="0"/>
        <w:keepLines w:val="0"/>
        <w:pageBreakBefore w:val="0"/>
        <w:widowControl w:val="0"/>
        <w:kinsoku/>
        <w:wordWrap/>
        <w:overflowPunct/>
        <w:topLinePunct w:val="0"/>
        <w:autoSpaceDE/>
        <w:autoSpaceDN/>
        <w:bidi w:val="0"/>
        <w:adjustRightInd w:val="0"/>
        <w:snapToGrid w:val="0"/>
        <w:spacing w:line="600" w:lineRule="exact"/>
        <w:ind w:right="0" w:firstLine="640" w:firstLineChars="200"/>
        <w:textAlignment w:val="auto"/>
        <w:outlineLvl w:val="9"/>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二、自评工作</w:t>
      </w:r>
      <w:r>
        <w:rPr>
          <w:rFonts w:hint="eastAsia" w:ascii="黑体" w:hAnsi="黑体" w:eastAsia="黑体" w:cs="黑体"/>
          <w:color w:val="auto"/>
          <w:sz w:val="32"/>
          <w:szCs w:val="32"/>
          <w:highlight w:val="none"/>
          <w:lang w:eastAsia="zh-CN"/>
        </w:rPr>
        <w:t>开展</w:t>
      </w:r>
      <w:r>
        <w:rPr>
          <w:rFonts w:hint="eastAsia" w:ascii="黑体" w:hAnsi="黑体" w:eastAsia="黑体" w:cs="黑体"/>
          <w:color w:val="auto"/>
          <w:sz w:val="32"/>
          <w:szCs w:val="32"/>
          <w:highlight w:val="none"/>
        </w:rPr>
        <w:t>情况</w:t>
      </w:r>
    </w:p>
    <w:p w14:paraId="5A9D2E19">
      <w:pPr>
        <w:keepNext w:val="0"/>
        <w:keepLines w:val="0"/>
        <w:pageBreakBefore w:val="0"/>
        <w:widowControl w:val="0"/>
        <w:kinsoku/>
        <w:wordWrap/>
        <w:overflowPunct/>
        <w:topLinePunct w:val="0"/>
        <w:autoSpaceDE/>
        <w:autoSpaceDN/>
        <w:bidi w:val="0"/>
        <w:spacing w:line="600" w:lineRule="exact"/>
        <w:ind w:right="0" w:firstLine="640" w:firstLineChars="200"/>
        <w:textAlignment w:val="auto"/>
        <w:outlineLvl w:val="9"/>
        <w:rPr>
          <w:rFonts w:hint="eastAsia" w:ascii="仿宋" w:hAnsi="仿宋" w:eastAsia="仿宋" w:cs="仿宋"/>
          <w:color w:val="auto"/>
          <w:sz w:val="32"/>
          <w:szCs w:val="32"/>
          <w:highlight w:val="none"/>
        </w:rPr>
      </w:pPr>
      <w:r>
        <w:rPr>
          <w:rFonts w:hint="eastAsia" w:ascii="楷体_GB2312" w:hAnsi="楷体_GB2312" w:eastAsia="楷体_GB2312" w:cs="楷体_GB2312"/>
          <w:b w:val="0"/>
          <w:bCs w:val="0"/>
          <w:color w:val="auto"/>
          <w:sz w:val="32"/>
          <w:szCs w:val="32"/>
          <w:highlight w:val="none"/>
        </w:rPr>
        <w:t>（一）自评的组织工作</w:t>
      </w:r>
    </w:p>
    <w:p w14:paraId="5FF40D67">
      <w:pPr>
        <w:keepNext w:val="0"/>
        <w:keepLines w:val="0"/>
        <w:pageBreakBefore w:val="0"/>
        <w:widowControl w:val="0"/>
        <w:kinsoku/>
        <w:wordWrap/>
        <w:overflowPunct/>
        <w:topLinePunct w:val="0"/>
        <w:autoSpaceDE/>
        <w:autoSpaceDN/>
        <w:bidi w:val="0"/>
        <w:spacing w:line="60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为保证绩效评价工作顺利开展，我局成立</w:t>
      </w:r>
      <w:r>
        <w:rPr>
          <w:rFonts w:hint="eastAsia" w:ascii="仿宋_GB2312" w:hAnsi="仿宋_GB2312" w:eastAsia="仿宋_GB2312" w:cs="仿宋_GB2312"/>
          <w:color w:val="auto"/>
          <w:sz w:val="32"/>
          <w:szCs w:val="32"/>
          <w:highlight w:val="none"/>
          <w:lang w:eastAsia="zh-CN"/>
        </w:rPr>
        <w:t>了</w:t>
      </w:r>
      <w:r>
        <w:rPr>
          <w:rFonts w:hint="eastAsia" w:ascii="仿宋_GB2312" w:hAnsi="仿宋_GB2312" w:eastAsia="仿宋_GB2312" w:cs="仿宋_GB2312"/>
          <w:color w:val="auto"/>
          <w:sz w:val="32"/>
          <w:szCs w:val="32"/>
          <w:highlight w:val="none"/>
        </w:rPr>
        <w:t>预算绩效</w:t>
      </w:r>
      <w:r>
        <w:rPr>
          <w:rFonts w:hint="eastAsia" w:ascii="仿宋_GB2312" w:hAnsi="仿宋_GB2312" w:eastAsia="仿宋_GB2312" w:cs="仿宋_GB2312"/>
          <w:color w:val="auto"/>
          <w:sz w:val="32"/>
          <w:szCs w:val="32"/>
          <w:highlight w:val="none"/>
          <w:lang w:val="en-US" w:eastAsia="zh-CN"/>
        </w:rPr>
        <w:t>评价</w:t>
      </w:r>
      <w:r>
        <w:rPr>
          <w:rFonts w:hint="eastAsia" w:ascii="仿宋_GB2312" w:hAnsi="仿宋_GB2312" w:eastAsia="仿宋_GB2312" w:cs="仿宋_GB2312"/>
          <w:color w:val="auto"/>
          <w:sz w:val="32"/>
          <w:szCs w:val="32"/>
          <w:highlight w:val="none"/>
        </w:rPr>
        <w:t>工作小组</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负责绩效评价的组织管理工作。</w:t>
      </w:r>
    </w:p>
    <w:p w14:paraId="0E5103D8">
      <w:pPr>
        <w:keepNext w:val="0"/>
        <w:keepLines w:val="0"/>
        <w:pageBreakBefore w:val="0"/>
        <w:widowControl w:val="0"/>
        <w:kinsoku/>
        <w:wordWrap/>
        <w:overflowPunct/>
        <w:topLinePunct w:val="0"/>
        <w:autoSpaceDE/>
        <w:autoSpaceDN/>
        <w:bidi w:val="0"/>
        <w:spacing w:line="60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小组成员：</w:t>
      </w:r>
      <w:r>
        <w:rPr>
          <w:rFonts w:hint="eastAsia" w:ascii="仿宋_GB2312" w:hAnsi="仿宋_GB2312" w:eastAsia="仿宋_GB2312" w:cs="仿宋_GB2312"/>
          <w:color w:val="auto"/>
          <w:sz w:val="32"/>
          <w:szCs w:val="32"/>
          <w:highlight w:val="none"/>
          <w:lang w:eastAsia="zh-CN"/>
        </w:rPr>
        <w:t>赵琳、赵文贺、任小贺</w:t>
      </w:r>
    </w:p>
    <w:p w14:paraId="2F4A8604">
      <w:pPr>
        <w:keepNext w:val="0"/>
        <w:keepLines w:val="0"/>
        <w:pageBreakBefore w:val="0"/>
        <w:widowControl w:val="0"/>
        <w:kinsoku/>
        <w:wordWrap/>
        <w:overflowPunct/>
        <w:topLinePunct w:val="0"/>
        <w:autoSpaceDE/>
        <w:autoSpaceDN/>
        <w:bidi w:val="0"/>
        <w:spacing w:line="600" w:lineRule="exact"/>
        <w:ind w:left="0" w:leftChars="0" w:right="0" w:rightChars="0" w:firstLine="640" w:firstLineChars="200"/>
        <w:textAlignment w:val="auto"/>
        <w:outlineLvl w:val="9"/>
        <w:rPr>
          <w:rFonts w:hint="eastAsia" w:ascii="楷体_GB2312" w:hAnsi="楷体_GB2312" w:eastAsia="楷体_GB2312" w:cs="楷体_GB2312"/>
          <w:b w:val="0"/>
          <w:bCs w:val="0"/>
          <w:color w:val="auto"/>
          <w:sz w:val="32"/>
          <w:szCs w:val="32"/>
          <w:highlight w:val="none"/>
        </w:rPr>
      </w:pPr>
      <w:r>
        <w:rPr>
          <w:rFonts w:hint="eastAsia" w:ascii="楷体_GB2312" w:hAnsi="楷体_GB2312" w:eastAsia="楷体_GB2312" w:cs="楷体_GB2312"/>
          <w:b w:val="0"/>
          <w:bCs w:val="0"/>
          <w:color w:val="auto"/>
          <w:sz w:val="32"/>
          <w:szCs w:val="32"/>
          <w:highlight w:val="none"/>
        </w:rPr>
        <w:t>（二）自评的方法和过程</w:t>
      </w:r>
    </w:p>
    <w:p w14:paraId="5B8EE8A5">
      <w:pPr>
        <w:keepNext w:val="0"/>
        <w:keepLines w:val="0"/>
        <w:pageBreakBefore w:val="0"/>
        <w:widowControl w:val="0"/>
        <w:numPr>
          <w:ilvl w:val="0"/>
          <w:numId w:val="6"/>
        </w:numPr>
        <w:kinsoku/>
        <w:wordWrap/>
        <w:overflowPunct/>
        <w:topLinePunct w:val="0"/>
        <w:autoSpaceDE/>
        <w:autoSpaceDN/>
        <w:bidi w:val="0"/>
        <w:spacing w:line="600" w:lineRule="exact"/>
        <w:ind w:left="0" w:leftChars="0" w:right="0" w:rightChars="0"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自评方法</w:t>
      </w:r>
    </w:p>
    <w:p w14:paraId="2963F8EE">
      <w:pPr>
        <w:keepNext w:val="0"/>
        <w:keepLines w:val="0"/>
        <w:pageBreakBefore w:val="0"/>
        <w:widowControl w:val="0"/>
        <w:kinsoku/>
        <w:wordWrap/>
        <w:overflowPunct/>
        <w:topLinePunct w:val="0"/>
        <w:autoSpaceDE/>
        <w:autoSpaceDN/>
        <w:bidi w:val="0"/>
        <w:spacing w:line="600" w:lineRule="exact"/>
        <w:ind w:left="0" w:leftChars="0" w:right="0" w:rightChars="0" w:firstLine="640" w:firstLineChars="200"/>
        <w:textAlignment w:val="auto"/>
        <w:outlineLvl w:val="9"/>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color w:val="auto"/>
          <w:sz w:val="32"/>
          <w:szCs w:val="32"/>
          <w:highlight w:val="none"/>
        </w:rPr>
        <w:t>本次评价根据问题导向、系统评价、科学客观、讲求绩效的原则，采用</w:t>
      </w:r>
      <w:r>
        <w:rPr>
          <w:rFonts w:hint="eastAsia" w:ascii="仿宋_GB2312" w:hAnsi="仿宋_GB2312" w:eastAsia="仿宋_GB2312" w:cs="仿宋_GB2312"/>
          <w:color w:val="auto"/>
          <w:sz w:val="32"/>
          <w:szCs w:val="32"/>
          <w:highlight w:val="none"/>
          <w:lang w:val="en-US" w:eastAsia="zh-CN"/>
        </w:rPr>
        <w:t>专项项目评价和重点项目</w:t>
      </w:r>
      <w:r>
        <w:rPr>
          <w:rFonts w:hint="eastAsia" w:ascii="仿宋_GB2312" w:hAnsi="仿宋_GB2312" w:eastAsia="仿宋_GB2312" w:cs="仿宋_GB2312"/>
          <w:color w:val="auto"/>
          <w:sz w:val="32"/>
          <w:szCs w:val="32"/>
          <w:highlight w:val="none"/>
        </w:rPr>
        <w:t>评价相结合、现场评价和非现场评价相结合、定性分析与定量分析相结合的方式，</w:t>
      </w:r>
      <w:r>
        <w:rPr>
          <w:rFonts w:hint="eastAsia" w:ascii="仿宋_GB2312" w:hAnsi="仿宋_GB2312" w:eastAsia="仿宋_GB2312" w:cs="仿宋_GB2312"/>
          <w:color w:val="auto"/>
          <w:sz w:val="32"/>
          <w:szCs w:val="32"/>
          <w:highlight w:val="none"/>
          <w:lang w:val="en-US" w:eastAsia="zh-CN"/>
        </w:rPr>
        <w:t>通过资料收集</w:t>
      </w:r>
      <w:r>
        <w:rPr>
          <w:rFonts w:hint="eastAsia" w:ascii="仿宋_GB2312" w:hAnsi="仿宋_GB2312" w:eastAsia="仿宋_GB2312" w:cs="仿宋_GB2312"/>
          <w:color w:val="auto"/>
          <w:sz w:val="32"/>
          <w:szCs w:val="32"/>
          <w:highlight w:val="none"/>
        </w:rPr>
        <w:t>、座谈访谈</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数据分析和指标对比</w:t>
      </w:r>
      <w:r>
        <w:rPr>
          <w:rFonts w:hint="eastAsia" w:ascii="仿宋_GB2312" w:hAnsi="仿宋_GB2312" w:eastAsia="仿宋_GB2312" w:cs="仿宋_GB2312"/>
          <w:color w:val="auto"/>
          <w:sz w:val="32"/>
          <w:szCs w:val="32"/>
          <w:highlight w:val="none"/>
        </w:rPr>
        <w:t>等</w:t>
      </w:r>
      <w:r>
        <w:rPr>
          <w:rFonts w:hint="eastAsia" w:ascii="仿宋_GB2312" w:hAnsi="仿宋_GB2312" w:eastAsia="仿宋_GB2312" w:cs="仿宋_GB2312"/>
          <w:color w:val="auto"/>
          <w:sz w:val="32"/>
          <w:szCs w:val="32"/>
          <w:highlight w:val="none"/>
          <w:lang w:val="en-US" w:eastAsia="zh-CN"/>
        </w:rPr>
        <w:t>方式综合运用目标评价法、比较法、因素分析法和综合评判等</w:t>
      </w:r>
      <w:r>
        <w:rPr>
          <w:rFonts w:hint="eastAsia" w:ascii="仿宋_GB2312" w:hAnsi="仿宋_GB2312" w:eastAsia="仿宋_GB2312" w:cs="仿宋_GB2312"/>
          <w:color w:val="auto"/>
          <w:sz w:val="32"/>
          <w:szCs w:val="32"/>
          <w:highlight w:val="none"/>
        </w:rPr>
        <w:t>方法，对</w:t>
      </w:r>
      <w:r>
        <w:rPr>
          <w:rFonts w:hint="eastAsia" w:ascii="仿宋_GB2312" w:hAnsi="仿宋_GB2312" w:eastAsia="仿宋_GB2312" w:cs="仿宋_GB2312"/>
          <w:color w:val="auto"/>
          <w:sz w:val="32"/>
          <w:szCs w:val="32"/>
          <w:highlight w:val="none"/>
          <w:lang w:val="en-US" w:eastAsia="zh-CN"/>
        </w:rPr>
        <w:t>部门整体支出绩效</w:t>
      </w:r>
      <w:r>
        <w:rPr>
          <w:rFonts w:hint="eastAsia" w:ascii="仿宋_GB2312" w:hAnsi="仿宋_GB2312" w:eastAsia="仿宋_GB2312" w:cs="仿宋_GB2312"/>
          <w:color w:val="auto"/>
          <w:sz w:val="32"/>
          <w:szCs w:val="32"/>
          <w:highlight w:val="none"/>
        </w:rPr>
        <w:t>进行综合评价。</w:t>
      </w:r>
    </w:p>
    <w:p w14:paraId="10D15308">
      <w:pPr>
        <w:keepNext w:val="0"/>
        <w:keepLines w:val="0"/>
        <w:pageBreakBefore w:val="0"/>
        <w:widowControl w:val="0"/>
        <w:numPr>
          <w:ilvl w:val="0"/>
          <w:numId w:val="6"/>
        </w:numPr>
        <w:kinsoku/>
        <w:wordWrap/>
        <w:overflowPunct/>
        <w:topLinePunct w:val="0"/>
        <w:autoSpaceDE/>
        <w:autoSpaceDN/>
        <w:bidi w:val="0"/>
        <w:spacing w:line="600" w:lineRule="exact"/>
        <w:ind w:left="0" w:leftChars="0" w:right="0" w:rightChars="0"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实施过程</w:t>
      </w:r>
    </w:p>
    <w:p w14:paraId="31525849">
      <w:pPr>
        <w:keepNext w:val="0"/>
        <w:keepLines w:val="0"/>
        <w:pageBreakBefore w:val="0"/>
        <w:widowControl w:val="0"/>
        <w:kinsoku/>
        <w:wordWrap/>
        <w:overflowPunct/>
        <w:topLinePunct w:val="0"/>
        <w:autoSpaceDE/>
        <w:autoSpaceDN/>
        <w:bidi w:val="0"/>
        <w:spacing w:line="60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本次</w:t>
      </w:r>
      <w:r>
        <w:rPr>
          <w:rFonts w:hint="eastAsia" w:ascii="仿宋_GB2312" w:hAnsi="仿宋_GB2312" w:eastAsia="仿宋_GB2312" w:cs="仿宋_GB2312"/>
          <w:color w:val="auto"/>
          <w:sz w:val="32"/>
          <w:szCs w:val="32"/>
          <w:highlight w:val="none"/>
          <w:lang w:val="en-US" w:eastAsia="zh-CN"/>
        </w:rPr>
        <w:t>自评</w:t>
      </w:r>
      <w:r>
        <w:rPr>
          <w:rFonts w:hint="eastAsia" w:ascii="仿宋_GB2312" w:hAnsi="仿宋_GB2312" w:eastAsia="仿宋_GB2312" w:cs="仿宋_GB2312"/>
          <w:color w:val="auto"/>
          <w:sz w:val="32"/>
          <w:szCs w:val="32"/>
          <w:highlight w:val="none"/>
        </w:rPr>
        <w:t>工作过程包括前期准备、组织实施、撰写评价报告三个阶段。</w:t>
      </w:r>
    </w:p>
    <w:p w14:paraId="4071FB52">
      <w:pPr>
        <w:keepNext w:val="0"/>
        <w:keepLines w:val="0"/>
        <w:pageBreakBefore w:val="0"/>
        <w:widowControl w:val="0"/>
        <w:kinsoku/>
        <w:wordWrap/>
        <w:overflowPunct/>
        <w:topLinePunct w:val="0"/>
        <w:autoSpaceDE/>
        <w:autoSpaceDN/>
        <w:bidi w:val="0"/>
        <w:spacing w:line="60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前期准备</w:t>
      </w:r>
    </w:p>
    <w:p w14:paraId="271AAB6F">
      <w:pPr>
        <w:keepNext w:val="0"/>
        <w:keepLines w:val="0"/>
        <w:pageBreakBefore w:val="0"/>
        <w:widowControl w:val="0"/>
        <w:kinsoku/>
        <w:wordWrap/>
        <w:overflowPunct/>
        <w:topLinePunct w:val="0"/>
        <w:autoSpaceDE/>
        <w:autoSpaceDN/>
        <w:bidi w:val="0"/>
        <w:spacing w:line="60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首先按照</w:t>
      </w:r>
      <w:r>
        <w:rPr>
          <w:rFonts w:hint="eastAsia" w:ascii="仿宋_GB2312" w:hAnsi="仿宋_GB2312" w:eastAsia="仿宋_GB2312" w:cs="仿宋_GB2312"/>
          <w:color w:val="auto"/>
          <w:sz w:val="32"/>
          <w:szCs w:val="32"/>
          <w:highlight w:val="none"/>
          <w:lang w:val="en-US" w:eastAsia="zh-CN"/>
        </w:rPr>
        <w:t>财政局自评工作通知的</w:t>
      </w:r>
      <w:r>
        <w:rPr>
          <w:rFonts w:hint="eastAsia" w:ascii="仿宋_GB2312" w:hAnsi="仿宋_GB2312" w:eastAsia="仿宋_GB2312" w:cs="仿宋_GB2312"/>
          <w:color w:val="auto"/>
          <w:sz w:val="32"/>
          <w:szCs w:val="32"/>
          <w:highlight w:val="none"/>
        </w:rPr>
        <w:t>要求，明确绩效评价的内容和范围，初步制定绩效评价工作</w:t>
      </w:r>
      <w:r>
        <w:rPr>
          <w:rFonts w:hint="eastAsia" w:ascii="仿宋_GB2312" w:hAnsi="仿宋_GB2312" w:eastAsia="仿宋_GB2312" w:cs="仿宋_GB2312"/>
          <w:color w:val="auto"/>
          <w:sz w:val="32"/>
          <w:szCs w:val="32"/>
          <w:highlight w:val="none"/>
          <w:lang w:eastAsia="zh-CN"/>
        </w:rPr>
        <w:t>指标。其次</w:t>
      </w:r>
      <w:r>
        <w:rPr>
          <w:rFonts w:hint="eastAsia" w:ascii="仿宋_GB2312" w:hAnsi="仿宋_GB2312" w:eastAsia="仿宋_GB2312" w:cs="仿宋_GB2312"/>
          <w:color w:val="auto"/>
          <w:sz w:val="32"/>
          <w:szCs w:val="32"/>
          <w:highlight w:val="none"/>
        </w:rPr>
        <w:t>是对我</w:t>
      </w:r>
      <w:r>
        <w:rPr>
          <w:rFonts w:hint="eastAsia" w:ascii="仿宋_GB2312" w:hAnsi="仿宋_GB2312" w:eastAsia="仿宋_GB2312" w:cs="仿宋_GB2312"/>
          <w:color w:val="auto"/>
          <w:sz w:val="32"/>
          <w:szCs w:val="32"/>
          <w:highlight w:val="none"/>
          <w:lang w:eastAsia="zh-CN"/>
        </w:rPr>
        <w:t>局</w:t>
      </w:r>
      <w:r>
        <w:rPr>
          <w:rFonts w:hint="eastAsia" w:ascii="仿宋_GB2312" w:hAnsi="仿宋_GB2312" w:eastAsia="仿宋_GB2312" w:cs="仿宋_GB2312"/>
          <w:color w:val="auto"/>
          <w:sz w:val="32"/>
          <w:szCs w:val="32"/>
          <w:highlight w:val="none"/>
        </w:rPr>
        <w:t>各预算</w:t>
      </w:r>
      <w:r>
        <w:rPr>
          <w:rFonts w:hint="eastAsia" w:ascii="仿宋_GB2312" w:hAnsi="仿宋_GB2312" w:eastAsia="仿宋_GB2312" w:cs="仿宋_GB2312"/>
          <w:color w:val="auto"/>
          <w:sz w:val="32"/>
          <w:szCs w:val="32"/>
          <w:highlight w:val="none"/>
          <w:lang w:eastAsia="zh-CN"/>
        </w:rPr>
        <w:t>专项</w:t>
      </w:r>
      <w:r>
        <w:rPr>
          <w:rFonts w:hint="eastAsia" w:ascii="仿宋_GB2312" w:hAnsi="仿宋_GB2312" w:eastAsia="仿宋_GB2312" w:cs="仿宋_GB2312"/>
          <w:color w:val="auto"/>
          <w:sz w:val="32"/>
          <w:szCs w:val="32"/>
          <w:highlight w:val="none"/>
        </w:rPr>
        <w:t>项目单独进行打分自评，在资料搜集、信息核实、现场调研、访谈沟通等工作的基础上，挖掘绩效数据，拟定项目产出、项目执行、项目效益等指标体系，评判各项目实施后产生的经济效益、生态效益、社会效益和可持续</w:t>
      </w:r>
      <w:r>
        <w:rPr>
          <w:rFonts w:hint="eastAsia" w:ascii="仿宋_GB2312" w:hAnsi="仿宋_GB2312" w:eastAsia="仿宋_GB2312" w:cs="仿宋_GB2312"/>
          <w:color w:val="auto"/>
          <w:sz w:val="32"/>
          <w:szCs w:val="32"/>
          <w:highlight w:val="none"/>
          <w:lang w:eastAsia="zh-CN"/>
        </w:rPr>
        <w:t>影</w:t>
      </w:r>
      <w:r>
        <w:rPr>
          <w:rFonts w:hint="eastAsia" w:ascii="仿宋_GB2312" w:hAnsi="仿宋_GB2312" w:eastAsia="仿宋_GB2312" w:cs="仿宋_GB2312"/>
          <w:color w:val="auto"/>
          <w:sz w:val="32"/>
          <w:szCs w:val="32"/>
          <w:highlight w:val="none"/>
        </w:rPr>
        <w:t>响。</w:t>
      </w:r>
    </w:p>
    <w:p w14:paraId="77F6EE0B">
      <w:pPr>
        <w:keepNext w:val="0"/>
        <w:keepLines w:val="0"/>
        <w:pageBreakBefore w:val="0"/>
        <w:widowControl w:val="0"/>
        <w:kinsoku/>
        <w:wordWrap/>
        <w:overflowPunct/>
        <w:topLinePunct w:val="0"/>
        <w:autoSpaceDE/>
        <w:autoSpaceDN/>
        <w:bidi w:val="0"/>
        <w:spacing w:line="60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组织实施</w:t>
      </w:r>
    </w:p>
    <w:p w14:paraId="7DBE4DD8">
      <w:pPr>
        <w:keepNext w:val="0"/>
        <w:keepLines w:val="0"/>
        <w:pageBreakBefore w:val="0"/>
        <w:widowControl w:val="0"/>
        <w:kinsoku/>
        <w:wordWrap/>
        <w:overflowPunct/>
        <w:topLinePunct w:val="0"/>
        <w:autoSpaceDE/>
        <w:autoSpaceDN/>
        <w:bidi w:val="0"/>
        <w:spacing w:line="60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评价工作小组对</w:t>
      </w:r>
      <w:r>
        <w:rPr>
          <w:rFonts w:hint="eastAsia" w:ascii="仿宋_GB2312" w:hAnsi="仿宋_GB2312" w:eastAsia="仿宋_GB2312" w:cs="仿宋_GB2312"/>
          <w:color w:val="auto"/>
          <w:sz w:val="32"/>
          <w:szCs w:val="32"/>
          <w:highlight w:val="none"/>
          <w:lang w:val="en-US" w:eastAsia="zh-CN"/>
        </w:rPr>
        <w:t>本部门</w:t>
      </w:r>
      <w:r>
        <w:rPr>
          <w:rFonts w:hint="eastAsia" w:ascii="仿宋_GB2312" w:hAnsi="仿宋_GB2312" w:eastAsia="仿宋_GB2312" w:cs="仿宋_GB2312"/>
          <w:color w:val="auto"/>
          <w:sz w:val="32"/>
          <w:szCs w:val="32"/>
          <w:highlight w:val="none"/>
        </w:rPr>
        <w:t>年度</w:t>
      </w:r>
      <w:r>
        <w:rPr>
          <w:rFonts w:hint="eastAsia" w:ascii="仿宋_GB2312" w:hAnsi="仿宋_GB2312" w:eastAsia="仿宋_GB2312" w:cs="仿宋_GB2312"/>
          <w:color w:val="auto"/>
          <w:sz w:val="32"/>
          <w:szCs w:val="32"/>
          <w:highlight w:val="none"/>
          <w:lang w:val="en-US" w:eastAsia="zh-CN"/>
        </w:rPr>
        <w:t>整体支出</w:t>
      </w:r>
      <w:r>
        <w:rPr>
          <w:rFonts w:hint="eastAsia" w:ascii="仿宋_GB2312" w:hAnsi="仿宋_GB2312" w:eastAsia="仿宋_GB2312" w:cs="仿宋_GB2312"/>
          <w:color w:val="auto"/>
          <w:sz w:val="32"/>
          <w:szCs w:val="32"/>
          <w:highlight w:val="none"/>
        </w:rPr>
        <w:t>的相关资料进行收集、梳理。首先，通过分析、核实，确保所收集的数据和资料真实、可靠。其次，逐一梳理各</w:t>
      </w:r>
      <w:r>
        <w:rPr>
          <w:rFonts w:hint="eastAsia" w:ascii="仿宋_GB2312" w:hAnsi="仿宋_GB2312" w:eastAsia="仿宋_GB2312" w:cs="仿宋_GB2312"/>
          <w:color w:val="auto"/>
          <w:sz w:val="32"/>
          <w:szCs w:val="32"/>
          <w:highlight w:val="none"/>
          <w:lang w:eastAsia="zh-CN"/>
        </w:rPr>
        <w:t>项目</w:t>
      </w:r>
      <w:r>
        <w:rPr>
          <w:rFonts w:hint="eastAsia" w:ascii="仿宋_GB2312" w:hAnsi="仿宋_GB2312" w:eastAsia="仿宋_GB2312" w:cs="仿宋_GB2312"/>
          <w:color w:val="auto"/>
          <w:sz w:val="32"/>
          <w:szCs w:val="32"/>
          <w:highlight w:val="none"/>
        </w:rPr>
        <w:t>文件内容，</w:t>
      </w:r>
      <w:r>
        <w:rPr>
          <w:rFonts w:hint="eastAsia" w:ascii="仿宋_GB2312" w:hAnsi="仿宋_GB2312" w:eastAsia="仿宋_GB2312" w:cs="仿宋_GB2312"/>
          <w:color w:val="auto"/>
          <w:sz w:val="32"/>
          <w:szCs w:val="32"/>
          <w:highlight w:val="none"/>
          <w:lang w:val="en-US" w:eastAsia="zh-CN"/>
        </w:rPr>
        <w:t>审核数据，对比绩效指标，</w:t>
      </w:r>
      <w:r>
        <w:rPr>
          <w:rFonts w:hint="eastAsia" w:ascii="仿宋_GB2312" w:hAnsi="仿宋_GB2312" w:eastAsia="仿宋_GB2312" w:cs="仿宋_GB2312"/>
          <w:color w:val="auto"/>
          <w:sz w:val="32"/>
          <w:szCs w:val="32"/>
          <w:highlight w:val="none"/>
        </w:rPr>
        <w:t>形成</w:t>
      </w:r>
      <w:r>
        <w:rPr>
          <w:rFonts w:hint="eastAsia" w:ascii="仿宋_GB2312" w:hAnsi="仿宋_GB2312" w:eastAsia="仿宋_GB2312" w:cs="仿宋_GB2312"/>
          <w:color w:val="auto"/>
          <w:sz w:val="32"/>
          <w:szCs w:val="32"/>
          <w:highlight w:val="none"/>
          <w:lang w:val="en-US" w:eastAsia="zh-CN"/>
        </w:rPr>
        <w:t>评价资料</w:t>
      </w:r>
      <w:r>
        <w:rPr>
          <w:rFonts w:hint="eastAsia" w:ascii="仿宋_GB2312" w:hAnsi="仿宋_GB2312" w:eastAsia="仿宋_GB2312" w:cs="仿宋_GB2312"/>
          <w:color w:val="auto"/>
          <w:sz w:val="32"/>
          <w:szCs w:val="32"/>
          <w:highlight w:val="none"/>
        </w:rPr>
        <w:t>清单</w:t>
      </w:r>
      <w:r>
        <w:rPr>
          <w:rFonts w:hint="eastAsia" w:ascii="仿宋_GB2312" w:hAnsi="仿宋_GB2312" w:eastAsia="仿宋_GB2312" w:cs="仿宋_GB2312"/>
          <w:color w:val="auto"/>
          <w:sz w:val="32"/>
          <w:szCs w:val="32"/>
          <w:highlight w:val="none"/>
          <w:lang w:eastAsia="zh-CN"/>
        </w:rPr>
        <w:t>，并对存在的问题及时标注出来</w:t>
      </w:r>
      <w:r>
        <w:rPr>
          <w:rFonts w:hint="eastAsia" w:ascii="仿宋_GB2312" w:hAnsi="仿宋_GB2312" w:eastAsia="仿宋_GB2312" w:cs="仿宋_GB2312"/>
          <w:color w:val="auto"/>
          <w:sz w:val="32"/>
          <w:szCs w:val="32"/>
          <w:highlight w:val="none"/>
        </w:rPr>
        <w:t>。最后，与</w:t>
      </w:r>
      <w:r>
        <w:rPr>
          <w:rFonts w:hint="eastAsia" w:ascii="仿宋_GB2312" w:hAnsi="仿宋_GB2312" w:eastAsia="仿宋_GB2312" w:cs="仿宋_GB2312"/>
          <w:color w:val="auto"/>
          <w:sz w:val="32"/>
          <w:szCs w:val="32"/>
          <w:highlight w:val="none"/>
          <w:lang w:val="en-US" w:eastAsia="zh-CN"/>
        </w:rPr>
        <w:t>各个</w:t>
      </w:r>
      <w:r>
        <w:rPr>
          <w:rFonts w:hint="eastAsia" w:ascii="仿宋_GB2312" w:hAnsi="仿宋_GB2312" w:eastAsia="仿宋_GB2312" w:cs="仿宋_GB2312"/>
          <w:color w:val="auto"/>
          <w:sz w:val="32"/>
          <w:szCs w:val="32"/>
          <w:highlight w:val="none"/>
          <w:lang w:eastAsia="zh-CN"/>
        </w:rPr>
        <w:t>项目负责</w:t>
      </w:r>
      <w:r>
        <w:rPr>
          <w:rFonts w:hint="eastAsia" w:ascii="仿宋_GB2312" w:hAnsi="仿宋_GB2312" w:eastAsia="仿宋_GB2312" w:cs="仿宋_GB2312"/>
          <w:color w:val="auto"/>
          <w:sz w:val="32"/>
          <w:szCs w:val="32"/>
          <w:highlight w:val="none"/>
          <w:lang w:val="en-US" w:eastAsia="zh-CN"/>
        </w:rPr>
        <w:t>科室</w:t>
      </w:r>
      <w:r>
        <w:rPr>
          <w:rFonts w:hint="eastAsia" w:ascii="仿宋_GB2312" w:hAnsi="仿宋_GB2312" w:eastAsia="仿宋_GB2312" w:cs="仿宋_GB2312"/>
          <w:color w:val="auto"/>
          <w:sz w:val="32"/>
          <w:szCs w:val="32"/>
          <w:highlight w:val="none"/>
        </w:rPr>
        <w:t>沟通，直接对照资料清单进行核实，随时</w:t>
      </w:r>
      <w:r>
        <w:rPr>
          <w:rFonts w:hint="eastAsia" w:ascii="仿宋_GB2312" w:hAnsi="仿宋_GB2312" w:eastAsia="仿宋_GB2312" w:cs="仿宋_GB2312"/>
          <w:color w:val="auto"/>
          <w:sz w:val="32"/>
          <w:szCs w:val="32"/>
          <w:highlight w:val="none"/>
          <w:lang w:eastAsia="zh-CN"/>
        </w:rPr>
        <w:t>处理标</w:t>
      </w:r>
      <w:r>
        <w:rPr>
          <w:rFonts w:hint="eastAsia" w:ascii="仿宋_GB2312" w:hAnsi="仿宋_GB2312" w:eastAsia="仿宋_GB2312" w:cs="仿宋_GB2312"/>
          <w:color w:val="auto"/>
          <w:sz w:val="32"/>
          <w:szCs w:val="32"/>
          <w:highlight w:val="none"/>
        </w:rPr>
        <w:t>注</w:t>
      </w:r>
      <w:r>
        <w:rPr>
          <w:rFonts w:hint="eastAsia" w:ascii="仿宋_GB2312" w:hAnsi="仿宋_GB2312" w:eastAsia="仿宋_GB2312" w:cs="仿宋_GB2312"/>
          <w:color w:val="auto"/>
          <w:sz w:val="32"/>
          <w:szCs w:val="32"/>
          <w:highlight w:val="none"/>
          <w:lang w:eastAsia="zh-CN"/>
        </w:rPr>
        <w:t>的</w:t>
      </w:r>
      <w:r>
        <w:rPr>
          <w:rFonts w:hint="eastAsia" w:ascii="仿宋_GB2312" w:hAnsi="仿宋_GB2312" w:eastAsia="仿宋_GB2312" w:cs="仿宋_GB2312"/>
          <w:color w:val="auto"/>
          <w:sz w:val="32"/>
          <w:szCs w:val="32"/>
          <w:highlight w:val="none"/>
        </w:rPr>
        <w:t>问题，确保已提交</w:t>
      </w:r>
      <w:r>
        <w:rPr>
          <w:rFonts w:hint="eastAsia" w:ascii="仿宋_GB2312" w:hAnsi="仿宋_GB2312" w:eastAsia="仿宋_GB2312" w:cs="仿宋_GB2312"/>
          <w:color w:val="auto"/>
          <w:sz w:val="32"/>
          <w:szCs w:val="32"/>
          <w:highlight w:val="none"/>
          <w:lang w:eastAsia="zh-CN"/>
        </w:rPr>
        <w:t>及需补充的</w:t>
      </w:r>
      <w:r>
        <w:rPr>
          <w:rFonts w:hint="eastAsia" w:ascii="仿宋_GB2312" w:hAnsi="仿宋_GB2312" w:eastAsia="仿宋_GB2312" w:cs="仿宋_GB2312"/>
          <w:color w:val="auto"/>
          <w:sz w:val="32"/>
          <w:szCs w:val="32"/>
          <w:highlight w:val="none"/>
        </w:rPr>
        <w:t>资料</w:t>
      </w:r>
      <w:r>
        <w:rPr>
          <w:rFonts w:hint="eastAsia" w:ascii="仿宋_GB2312" w:hAnsi="仿宋_GB2312" w:eastAsia="仿宋_GB2312" w:cs="仿宋_GB2312"/>
          <w:color w:val="auto"/>
          <w:sz w:val="32"/>
          <w:szCs w:val="32"/>
          <w:highlight w:val="none"/>
          <w:lang w:eastAsia="zh-CN"/>
        </w:rPr>
        <w:t>能准确反映项目绩效目标实现情况</w:t>
      </w:r>
      <w:r>
        <w:rPr>
          <w:rFonts w:hint="eastAsia" w:ascii="仿宋_GB2312" w:hAnsi="仿宋_GB2312" w:eastAsia="仿宋_GB2312" w:cs="仿宋_GB2312"/>
          <w:color w:val="auto"/>
          <w:sz w:val="32"/>
          <w:szCs w:val="32"/>
          <w:highlight w:val="none"/>
        </w:rPr>
        <w:t>。</w:t>
      </w:r>
    </w:p>
    <w:p w14:paraId="68A9D39F">
      <w:pPr>
        <w:keepNext w:val="0"/>
        <w:keepLines w:val="0"/>
        <w:pageBreakBefore w:val="0"/>
        <w:widowControl w:val="0"/>
        <w:kinsoku/>
        <w:wordWrap/>
        <w:overflowPunct/>
        <w:topLinePunct w:val="0"/>
        <w:autoSpaceDE/>
        <w:autoSpaceDN/>
        <w:bidi w:val="0"/>
        <w:spacing w:line="60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撰写绩效评价报告</w:t>
      </w:r>
    </w:p>
    <w:p w14:paraId="04B6ACBE">
      <w:pPr>
        <w:keepNext w:val="0"/>
        <w:keepLines w:val="0"/>
        <w:pageBreakBefore w:val="0"/>
        <w:widowControl w:val="0"/>
        <w:kinsoku/>
        <w:wordWrap/>
        <w:overflowPunct/>
        <w:topLinePunct w:val="0"/>
        <w:autoSpaceDE/>
        <w:autoSpaceDN/>
        <w:bidi w:val="0"/>
        <w:snapToGrid/>
        <w:spacing w:line="600" w:lineRule="exact"/>
        <w:ind w:left="0" w:leftChars="0" w:right="0" w:rightChars="0" w:firstLine="640" w:firstLineChars="200"/>
        <w:textAlignment w:val="auto"/>
        <w:outlineLvl w:val="9"/>
        <w:rPr>
          <w:rFonts w:hint="eastAsia" w:ascii="黑体" w:hAnsi="黑体" w:eastAsia="黑体" w:cs="黑体"/>
          <w:b/>
          <w:bCs/>
          <w:color w:val="auto"/>
          <w:sz w:val="32"/>
          <w:szCs w:val="32"/>
          <w:highlight w:val="none"/>
          <w:lang w:val="en-US" w:eastAsia="zh-CN"/>
        </w:rPr>
      </w:pPr>
      <w:r>
        <w:rPr>
          <w:rFonts w:hint="eastAsia" w:ascii="仿宋_GB2312" w:hAnsi="仿宋_GB2312" w:eastAsia="仿宋_GB2312" w:cs="仿宋_GB2312"/>
          <w:color w:val="auto"/>
          <w:sz w:val="32"/>
          <w:szCs w:val="32"/>
          <w:highlight w:val="none"/>
        </w:rPr>
        <w:t>小组成员在对收集</w:t>
      </w:r>
      <w:r>
        <w:rPr>
          <w:rFonts w:hint="eastAsia" w:ascii="仿宋_GB2312" w:hAnsi="仿宋_GB2312" w:eastAsia="仿宋_GB2312" w:cs="仿宋_GB2312"/>
          <w:color w:val="auto"/>
          <w:sz w:val="32"/>
          <w:szCs w:val="32"/>
          <w:highlight w:val="none"/>
          <w:lang w:eastAsia="zh-CN"/>
        </w:rPr>
        <w:t>到</w:t>
      </w:r>
      <w:r>
        <w:rPr>
          <w:rFonts w:hint="eastAsia" w:ascii="仿宋_GB2312" w:hAnsi="仿宋_GB2312" w:eastAsia="仿宋_GB2312" w:cs="仿宋_GB2312"/>
          <w:color w:val="auto"/>
          <w:sz w:val="32"/>
          <w:szCs w:val="32"/>
          <w:highlight w:val="none"/>
        </w:rPr>
        <w:t>的</w:t>
      </w:r>
      <w:r>
        <w:rPr>
          <w:rFonts w:hint="eastAsia" w:ascii="仿宋_GB2312" w:hAnsi="仿宋_GB2312" w:eastAsia="仿宋_GB2312" w:cs="仿宋_GB2312"/>
          <w:color w:val="auto"/>
          <w:sz w:val="32"/>
          <w:szCs w:val="32"/>
          <w:highlight w:val="none"/>
          <w:lang w:eastAsia="zh-CN"/>
        </w:rPr>
        <w:t>项目</w:t>
      </w:r>
      <w:r>
        <w:rPr>
          <w:rFonts w:hint="eastAsia" w:ascii="仿宋_GB2312" w:hAnsi="仿宋_GB2312" w:eastAsia="仿宋_GB2312" w:cs="仿宋_GB2312"/>
          <w:color w:val="auto"/>
          <w:sz w:val="32"/>
          <w:szCs w:val="32"/>
          <w:highlight w:val="none"/>
        </w:rPr>
        <w:t>数据、资料进行核对、比较、计算的基础上，</w:t>
      </w:r>
      <w:r>
        <w:rPr>
          <w:rFonts w:hint="eastAsia" w:ascii="仿宋_GB2312" w:hAnsi="仿宋_GB2312" w:eastAsia="仿宋_GB2312" w:cs="仿宋_GB2312"/>
          <w:color w:val="auto"/>
          <w:sz w:val="32"/>
          <w:szCs w:val="32"/>
          <w:highlight w:val="none"/>
          <w:lang w:val="en-US" w:eastAsia="zh-CN"/>
        </w:rPr>
        <w:t>同时审核部门整体支出与预算支出计划相符性，结合各个项目指标完成数据和评价结论并进行归集汇总，审核评价部门整体绩效目标和分项目标的完成情况。</w:t>
      </w:r>
      <w:r>
        <w:rPr>
          <w:rFonts w:hint="eastAsia" w:ascii="仿宋_GB2312" w:hAnsi="仿宋_GB2312" w:eastAsia="仿宋_GB2312" w:cs="仿宋_GB2312"/>
          <w:color w:val="auto"/>
          <w:sz w:val="32"/>
          <w:szCs w:val="32"/>
          <w:highlight w:val="none"/>
        </w:rPr>
        <w:t>对比年</w:t>
      </w:r>
      <w:r>
        <w:rPr>
          <w:rFonts w:hint="eastAsia" w:ascii="仿宋_GB2312" w:hAnsi="仿宋_GB2312" w:eastAsia="仿宋_GB2312" w:cs="仿宋_GB2312"/>
          <w:color w:val="auto"/>
          <w:sz w:val="32"/>
          <w:szCs w:val="32"/>
          <w:highlight w:val="none"/>
          <w:lang w:eastAsia="zh-CN"/>
        </w:rPr>
        <w:t>初</w:t>
      </w:r>
      <w:r>
        <w:rPr>
          <w:rFonts w:hint="eastAsia" w:ascii="仿宋_GB2312" w:hAnsi="仿宋_GB2312" w:eastAsia="仿宋_GB2312" w:cs="仿宋_GB2312"/>
          <w:color w:val="auto"/>
          <w:sz w:val="32"/>
          <w:szCs w:val="32"/>
          <w:highlight w:val="none"/>
          <w:lang w:val="en-US" w:eastAsia="zh-CN"/>
        </w:rPr>
        <w:t>部门</w:t>
      </w:r>
      <w:r>
        <w:rPr>
          <w:rFonts w:hint="eastAsia" w:ascii="仿宋_GB2312" w:hAnsi="仿宋_GB2312" w:eastAsia="仿宋_GB2312" w:cs="仿宋_GB2312"/>
          <w:color w:val="auto"/>
          <w:sz w:val="32"/>
          <w:szCs w:val="32"/>
          <w:highlight w:val="none"/>
        </w:rPr>
        <w:t>绩效目标，形成评价结论；根据</w:t>
      </w:r>
      <w:r>
        <w:rPr>
          <w:rFonts w:hint="eastAsia" w:ascii="仿宋_GB2312" w:hAnsi="仿宋_GB2312" w:eastAsia="仿宋_GB2312" w:cs="仿宋_GB2312"/>
          <w:color w:val="auto"/>
          <w:sz w:val="32"/>
          <w:szCs w:val="32"/>
          <w:highlight w:val="none"/>
          <w:lang w:eastAsia="zh-CN"/>
        </w:rPr>
        <w:t>结</w:t>
      </w:r>
      <w:r>
        <w:rPr>
          <w:rFonts w:hint="eastAsia" w:ascii="仿宋_GB2312" w:hAnsi="仿宋_GB2312" w:eastAsia="仿宋_GB2312" w:cs="仿宋_GB2312"/>
          <w:color w:val="auto"/>
          <w:sz w:val="32"/>
          <w:szCs w:val="32"/>
          <w:highlight w:val="none"/>
        </w:rPr>
        <w:t>论，撰写</w:t>
      </w:r>
      <w:r>
        <w:rPr>
          <w:rFonts w:hint="eastAsia" w:ascii="仿宋_GB2312" w:hAnsi="仿宋_GB2312" w:eastAsia="仿宋_GB2312" w:cs="仿宋_GB2312"/>
          <w:color w:val="auto"/>
          <w:sz w:val="32"/>
          <w:szCs w:val="32"/>
          <w:highlight w:val="none"/>
          <w:lang w:val="en-US" w:eastAsia="zh-CN"/>
        </w:rPr>
        <w:t>部门整体支出</w:t>
      </w:r>
      <w:r>
        <w:rPr>
          <w:rFonts w:hint="eastAsia" w:ascii="仿宋_GB2312" w:hAnsi="仿宋_GB2312" w:eastAsia="仿宋_GB2312" w:cs="仿宋_GB2312"/>
          <w:color w:val="auto"/>
          <w:sz w:val="32"/>
          <w:szCs w:val="32"/>
          <w:highlight w:val="none"/>
        </w:rPr>
        <w:t>绩效评价报告。</w:t>
      </w:r>
      <w:r>
        <w:rPr>
          <w:rFonts w:hint="eastAsia" w:ascii="黑体" w:hAnsi="黑体" w:eastAsia="黑体" w:cs="黑体"/>
          <w:b/>
          <w:bCs/>
          <w:color w:val="auto"/>
          <w:sz w:val="32"/>
          <w:szCs w:val="32"/>
          <w:highlight w:val="none"/>
        </w:rPr>
        <w:t xml:space="preserve"> </w:t>
      </w:r>
      <w:r>
        <w:rPr>
          <w:rFonts w:hint="eastAsia" w:ascii="黑体" w:hAnsi="黑体" w:eastAsia="黑体" w:cs="黑体"/>
          <w:b/>
          <w:bCs/>
          <w:color w:val="auto"/>
          <w:sz w:val="32"/>
          <w:szCs w:val="32"/>
          <w:highlight w:val="none"/>
          <w:lang w:val="en-US" w:eastAsia="zh-CN"/>
        </w:rPr>
        <w:t xml:space="preserve">   </w:t>
      </w:r>
    </w:p>
    <w:p w14:paraId="1CD43794">
      <w:pPr>
        <w:keepNext w:val="0"/>
        <w:keepLines w:val="0"/>
        <w:pageBreakBefore w:val="0"/>
        <w:widowControl w:val="0"/>
        <w:kinsoku/>
        <w:wordWrap/>
        <w:overflowPunct/>
        <w:topLinePunct w:val="0"/>
        <w:autoSpaceDE/>
        <w:autoSpaceDN/>
        <w:bidi w:val="0"/>
        <w:snapToGrid/>
        <w:spacing w:line="600" w:lineRule="exact"/>
        <w:ind w:left="0" w:leftChars="0" w:right="0" w:rightChars="0" w:firstLine="640" w:firstLineChars="200"/>
        <w:textAlignment w:val="auto"/>
        <w:outlineLvl w:val="9"/>
        <w:rPr>
          <w:rFonts w:hint="eastAsia" w:ascii="仿宋" w:hAnsi="仿宋" w:eastAsia="仿宋" w:cs="仿宋"/>
          <w:b/>
          <w:bCs/>
          <w:color w:val="auto"/>
          <w:sz w:val="32"/>
          <w:szCs w:val="32"/>
          <w:highlight w:val="none"/>
          <w:lang w:eastAsia="zh-CN"/>
        </w:rPr>
      </w:pPr>
      <w:r>
        <w:rPr>
          <w:rFonts w:hint="eastAsia" w:ascii="黑体" w:hAnsi="黑体" w:eastAsia="黑体" w:cs="黑体"/>
          <w:color w:val="auto"/>
          <w:sz w:val="32"/>
          <w:szCs w:val="32"/>
          <w:highlight w:val="none"/>
        </w:rPr>
        <w:t>三、</w:t>
      </w:r>
      <w:r>
        <w:rPr>
          <w:rFonts w:hint="eastAsia" w:ascii="黑体" w:hAnsi="黑体" w:eastAsia="黑体" w:cs="黑体"/>
          <w:color w:val="auto"/>
          <w:sz w:val="32"/>
          <w:szCs w:val="32"/>
          <w:highlight w:val="none"/>
          <w:lang w:eastAsia="zh-CN"/>
        </w:rPr>
        <w:t>部门整体支出</w:t>
      </w:r>
      <w:r>
        <w:rPr>
          <w:rFonts w:hint="eastAsia" w:ascii="黑体" w:hAnsi="黑体" w:eastAsia="黑体" w:cs="黑体"/>
          <w:color w:val="auto"/>
          <w:sz w:val="32"/>
          <w:szCs w:val="32"/>
          <w:highlight w:val="none"/>
        </w:rPr>
        <w:t>绩效</w:t>
      </w:r>
      <w:r>
        <w:rPr>
          <w:rFonts w:hint="eastAsia" w:ascii="黑体" w:hAnsi="黑体" w:eastAsia="黑体" w:cs="黑体"/>
          <w:color w:val="auto"/>
          <w:sz w:val="32"/>
          <w:szCs w:val="32"/>
          <w:highlight w:val="none"/>
          <w:lang w:eastAsia="zh-CN"/>
        </w:rPr>
        <w:t>目标实现情况及指标分析</w:t>
      </w:r>
    </w:p>
    <w:p w14:paraId="2D15F71E">
      <w:pPr>
        <w:pStyle w:val="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right="0" w:rightChars="0" w:firstLine="640" w:firstLineChars="200"/>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（一）</w:t>
      </w:r>
      <w:r>
        <w:rPr>
          <w:rFonts w:hint="eastAsia" w:ascii="楷体_GB2312" w:hAnsi="楷体_GB2312" w:eastAsia="楷体_GB2312" w:cs="楷体_GB2312"/>
          <w:b w:val="0"/>
          <w:bCs w:val="0"/>
          <w:color w:val="auto"/>
          <w:kern w:val="2"/>
          <w:sz w:val="32"/>
          <w:szCs w:val="32"/>
          <w:highlight w:val="none"/>
          <w:lang w:val="en-US" w:eastAsia="zh-CN" w:bidi="ar-SA"/>
        </w:rPr>
        <w:t>部门决策</w:t>
      </w:r>
    </w:p>
    <w:p w14:paraId="22C3E593">
      <w:pPr>
        <w:pStyle w:val="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right="0" w:rightChars="0" w:firstLine="640" w:firstLineChars="200"/>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部门决策指标满分15分，其中目标设定指标8分，预算配置指标7分。</w:t>
      </w:r>
    </w:p>
    <w:p w14:paraId="0D6E8B9C">
      <w:pPr>
        <w:pStyle w:val="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right="0" w:rightChars="0" w:firstLine="640" w:firstLineChars="200"/>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2023年是全面贯彻落实党的二十大精神的开局之年，也是我市“经济总量过万亿、实现弯道超车的跃升之年、展示之年”，做好2023年工作对推动我市智慧城市和数字政府建设等具有重要的支撑作用。2023年我局工作的总体要求是:坚持以习近平新时代中国特色社会主义思想为指导，全面贯彻党的二十大精神，认真落实市委十一届三次、四次全会要求，紧紧围绕市委、市政府中心工作，按照《中国式现代化石家庄场景行动方案》和《石家庄市数字政府建设三年行动方案》要求，实施数字政府创新发展行动，不断完善我市数字政府建设管理新模式，持续提升政务服务一体化支撑能力，大力推进市级政务信息化项目全链条管理，努力实现基础支撑跃升、服务能力跃升、安全管理跃升，不断增强数字政府效能，激发数字经济活力，展示“数字石家庄”建设新场景，为我市打造现代化、国际化美丽省会城市提供有力支撑，助力经济总量过万亿。</w:t>
      </w:r>
    </w:p>
    <w:p w14:paraId="4C58A5F6">
      <w:pPr>
        <w:pStyle w:val="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right="0" w:rightChars="0" w:firstLine="640" w:firstLineChars="200"/>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为配合我局制定的绩效目标，申请安排年初预算数66465.189923 万元，其中：基本支出 1259.54 万元，包括人员经费 1130.81 万元和日常公用经费 128.73 万元。项目支出65205.649923 万元，主要为：防入侵监测费 20 万元；信息化建设项目26747.00 万元；信息化项目运维费 37247.00 万元；支付日元贷款本金利息40.94万元；专用设备维修费3.00万元；办公设备购置 5.00 万元；党组织活动经费 3.90 万元；文件资料印刷费 5.00 万元；业务咨询委托费 228.00万元；质保金相关经费905.809923万元。</w:t>
      </w:r>
    </w:p>
    <w:p w14:paraId="7742BDBE">
      <w:pPr>
        <w:pStyle w:val="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right="0" w:rightChars="0" w:firstLine="640" w:firstLineChars="200"/>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本项指标满分15分，得分14分。</w:t>
      </w:r>
    </w:p>
    <w:p w14:paraId="73CD0551">
      <w:pPr>
        <w:pStyle w:val="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right="0" w:rightChars="0" w:firstLine="640" w:firstLineChars="200"/>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其中：2023年项目支出预算中，统一建设项目预算21000元对应年初计划建设项目25个，2023年实际立项建设项目48个，预算计划与实际项目差异过大，本项满分7分，得分6分。</w:t>
      </w:r>
    </w:p>
    <w:tbl>
      <w:tblPr>
        <w:tblStyle w:val="6"/>
        <w:tblW w:w="4703"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411"/>
        <w:gridCol w:w="4449"/>
        <w:gridCol w:w="1663"/>
      </w:tblGrid>
      <w:tr w14:paraId="35040063">
        <w:trPr>
          <w:trHeight w:val="278" w:hRule="atLeast"/>
        </w:trPr>
        <w:tc>
          <w:tcPr>
            <w:tcW w:w="1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F40EF">
            <w:pPr>
              <w:keepNext w:val="0"/>
              <w:keepLines w:val="0"/>
              <w:widowControl/>
              <w:suppressLineNumbers w:val="0"/>
              <w:jc w:val="center"/>
              <w:textAlignment w:val="center"/>
              <w:rPr>
                <w:rFonts w:hint="eastAsia" w:ascii="宋体" w:hAnsi="宋体" w:eastAsia="宋体" w:cs="宋体"/>
                <w:b/>
                <w:bCs/>
                <w:i w:val="0"/>
                <w:iCs w:val="0"/>
                <w:color w:val="auto"/>
                <w:kern w:val="2"/>
                <w:sz w:val="24"/>
                <w:szCs w:val="24"/>
                <w:highlight w:val="none"/>
                <w:u w:val="none"/>
                <w:lang w:val="en-US" w:eastAsia="zh-CN" w:bidi="ar-SA"/>
              </w:rPr>
            </w:pPr>
            <w:r>
              <w:rPr>
                <w:rFonts w:hint="eastAsia" w:ascii="宋体" w:hAnsi="宋体" w:eastAsia="宋体" w:cs="宋体"/>
                <w:b/>
                <w:bCs/>
                <w:i w:val="0"/>
                <w:iCs w:val="0"/>
                <w:color w:val="auto"/>
                <w:kern w:val="0"/>
                <w:sz w:val="24"/>
                <w:szCs w:val="24"/>
                <w:highlight w:val="none"/>
                <w:u w:val="none"/>
                <w:lang w:val="en-US" w:eastAsia="zh-CN" w:bidi="ar"/>
              </w:rPr>
              <w:t>一级指标</w:t>
            </w:r>
          </w:p>
        </w:tc>
        <w:tc>
          <w:tcPr>
            <w:tcW w:w="2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23A1E">
            <w:pPr>
              <w:keepNext w:val="0"/>
              <w:keepLines w:val="0"/>
              <w:widowControl/>
              <w:suppressLineNumbers w:val="0"/>
              <w:jc w:val="center"/>
              <w:textAlignment w:val="center"/>
              <w:rPr>
                <w:rFonts w:hint="eastAsia" w:ascii="宋体" w:hAnsi="宋体" w:eastAsia="宋体" w:cs="宋体"/>
                <w:b/>
                <w:bCs/>
                <w:i w:val="0"/>
                <w:iCs w:val="0"/>
                <w:color w:val="auto"/>
                <w:kern w:val="2"/>
                <w:sz w:val="24"/>
                <w:szCs w:val="24"/>
                <w:highlight w:val="none"/>
                <w:u w:val="none"/>
                <w:lang w:val="en-US" w:eastAsia="zh-CN" w:bidi="ar-SA"/>
              </w:rPr>
            </w:pPr>
            <w:r>
              <w:rPr>
                <w:rFonts w:hint="eastAsia" w:ascii="宋体" w:hAnsi="宋体" w:eastAsia="宋体" w:cs="宋体"/>
                <w:b/>
                <w:bCs/>
                <w:i w:val="0"/>
                <w:iCs w:val="0"/>
                <w:color w:val="auto"/>
                <w:kern w:val="0"/>
                <w:sz w:val="24"/>
                <w:szCs w:val="24"/>
                <w:highlight w:val="none"/>
                <w:u w:val="none"/>
                <w:lang w:val="en-US" w:eastAsia="zh-CN" w:bidi="ar"/>
              </w:rPr>
              <w:t>二级指标</w:t>
            </w:r>
          </w:p>
        </w:tc>
        <w:tc>
          <w:tcPr>
            <w:tcW w:w="9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8E8F8">
            <w:pPr>
              <w:keepNext w:val="0"/>
              <w:keepLines w:val="0"/>
              <w:widowControl/>
              <w:suppressLineNumbers w:val="0"/>
              <w:jc w:val="center"/>
              <w:textAlignment w:val="center"/>
              <w:rPr>
                <w:rFonts w:hint="default" w:ascii="宋体" w:hAnsi="宋体" w:eastAsia="宋体" w:cs="宋体"/>
                <w:b/>
                <w:bCs/>
                <w:i w:val="0"/>
                <w:iCs w:val="0"/>
                <w:color w:val="auto"/>
                <w:kern w:val="2"/>
                <w:sz w:val="24"/>
                <w:szCs w:val="24"/>
                <w:highlight w:val="none"/>
                <w:u w:val="none"/>
                <w:lang w:val="en-US" w:eastAsia="zh-CN" w:bidi="ar-SA"/>
              </w:rPr>
            </w:pPr>
            <w:r>
              <w:rPr>
                <w:rFonts w:hint="eastAsia" w:ascii="宋体" w:hAnsi="宋体" w:cs="宋体"/>
                <w:b/>
                <w:bCs/>
                <w:i w:val="0"/>
                <w:iCs w:val="0"/>
                <w:color w:val="auto"/>
                <w:kern w:val="2"/>
                <w:sz w:val="24"/>
                <w:szCs w:val="24"/>
                <w:highlight w:val="none"/>
                <w:u w:val="none"/>
                <w:lang w:val="en-US" w:eastAsia="zh-CN" w:bidi="ar-SA"/>
              </w:rPr>
              <w:t>得分</w:t>
            </w:r>
          </w:p>
        </w:tc>
      </w:tr>
      <w:tr w14:paraId="62F74451">
        <w:trPr>
          <w:trHeight w:val="278" w:hRule="atLeast"/>
        </w:trPr>
        <w:tc>
          <w:tcPr>
            <w:tcW w:w="141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EEFD6">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部门决策</w:t>
            </w:r>
          </w:p>
          <w:p w14:paraId="4E9CCB3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（15分）</w:t>
            </w:r>
          </w:p>
        </w:tc>
        <w:tc>
          <w:tcPr>
            <w:tcW w:w="2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E70B0">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目标设定</w:t>
            </w:r>
          </w:p>
        </w:tc>
        <w:tc>
          <w:tcPr>
            <w:tcW w:w="9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2EEB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r>
      <w:tr w14:paraId="0DBD203C">
        <w:trPr>
          <w:trHeight w:val="278" w:hRule="atLeast"/>
        </w:trPr>
        <w:tc>
          <w:tcPr>
            <w:tcW w:w="141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FABE3">
            <w:pPr>
              <w:jc w:val="center"/>
              <w:rPr>
                <w:rFonts w:hint="eastAsia" w:ascii="宋体" w:hAnsi="宋体" w:eastAsia="宋体" w:cs="宋体"/>
                <w:i w:val="0"/>
                <w:iCs w:val="0"/>
                <w:color w:val="auto"/>
                <w:sz w:val="24"/>
                <w:szCs w:val="24"/>
                <w:highlight w:val="none"/>
                <w:u w:val="none"/>
              </w:rPr>
            </w:pPr>
          </w:p>
        </w:tc>
        <w:tc>
          <w:tcPr>
            <w:tcW w:w="2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63908">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预算配置</w:t>
            </w:r>
          </w:p>
        </w:tc>
        <w:tc>
          <w:tcPr>
            <w:tcW w:w="9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FB01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i w:val="0"/>
                <w:iCs w:val="0"/>
                <w:color w:val="auto"/>
                <w:kern w:val="0"/>
                <w:sz w:val="24"/>
                <w:szCs w:val="24"/>
                <w:highlight w:val="none"/>
                <w:u w:val="none"/>
                <w:lang w:val="en-US" w:eastAsia="zh-CN" w:bidi="ar"/>
              </w:rPr>
              <w:t>6</w:t>
            </w:r>
          </w:p>
        </w:tc>
      </w:tr>
    </w:tbl>
    <w:p w14:paraId="7D6FA07F">
      <w:pPr>
        <w:pStyle w:val="3"/>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right="0" w:rightChars="0" w:firstLine="640" w:firstLineChars="200"/>
        <w:textAlignment w:val="auto"/>
        <w:rPr>
          <w:rFonts w:hint="eastAsia" w:ascii="楷体_GB2312" w:hAnsi="楷体_GB2312" w:eastAsia="楷体_GB2312" w:cs="楷体_GB2312"/>
          <w:b w:val="0"/>
          <w:bCs w:val="0"/>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lang w:val="en-US" w:eastAsia="zh-CN"/>
        </w:rPr>
        <w:t>（二）</w:t>
      </w:r>
      <w:r>
        <w:rPr>
          <w:rFonts w:hint="eastAsia" w:ascii="楷体_GB2312" w:hAnsi="楷体_GB2312" w:eastAsia="楷体_GB2312" w:cs="楷体_GB2312"/>
          <w:b w:val="0"/>
          <w:bCs w:val="0"/>
          <w:color w:val="auto"/>
          <w:kern w:val="2"/>
          <w:sz w:val="32"/>
          <w:szCs w:val="32"/>
          <w:highlight w:val="none"/>
          <w:lang w:val="en-US" w:eastAsia="zh-CN" w:bidi="ar-SA"/>
        </w:rPr>
        <w:t>部门管理</w:t>
      </w:r>
    </w:p>
    <w:p w14:paraId="5AE382A2">
      <w:pPr>
        <w:pStyle w:val="3"/>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right="0" w:rightChars="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部门管理绩效指标满分40分，预算执行指标5分，财务管理指标5分，内部控制制度建设指标5分，党建工作5分。</w:t>
      </w:r>
    </w:p>
    <w:p w14:paraId="490275F6">
      <w:pPr>
        <w:pStyle w:val="3"/>
        <w:keepNext w:val="0"/>
        <w:keepLines w:val="0"/>
        <w:pageBreakBefore w:val="0"/>
        <w:widowControl w:val="0"/>
        <w:numPr>
          <w:ilvl w:val="0"/>
          <w:numId w:val="7"/>
        </w:numPr>
        <w:kinsoku/>
        <w:wordWrap/>
        <w:overflowPunct/>
        <w:topLinePunct w:val="0"/>
        <w:autoSpaceDE/>
        <w:autoSpaceDN/>
        <w:bidi w:val="0"/>
        <w:adjustRightInd/>
        <w:snapToGrid/>
        <w:spacing w:after="0" w:line="576" w:lineRule="exact"/>
        <w:ind w:left="0" w:leftChars="0" w:right="0" w:rightChars="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2023年我局年初预算65559.38万元，调整预算数60108.13万元，预算完成57350.99万元，总体预算执行率为95.41%。</w:t>
      </w:r>
    </w:p>
    <w:p w14:paraId="583984B1">
      <w:pPr>
        <w:pStyle w:val="3"/>
        <w:keepNext w:val="0"/>
        <w:keepLines w:val="0"/>
        <w:pageBreakBefore w:val="0"/>
        <w:widowControl w:val="0"/>
        <w:numPr>
          <w:ilvl w:val="0"/>
          <w:numId w:val="7"/>
        </w:numPr>
        <w:kinsoku/>
        <w:wordWrap/>
        <w:overflowPunct/>
        <w:topLinePunct w:val="0"/>
        <w:autoSpaceDE/>
        <w:autoSpaceDN/>
        <w:bidi w:val="0"/>
        <w:adjustRightInd/>
        <w:snapToGrid/>
        <w:spacing w:after="0" w:line="576" w:lineRule="exact"/>
        <w:ind w:left="0" w:leftChars="0" w:right="0" w:rightChars="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根据我局制定的《内部控制工作手册及配套制度》要求，我局日常工作严格按制定要求执行，包括预算业务控制、收支业务控制、采购业务控制、合同管理控制，重大决策遵守三重一大管理制度要求。</w:t>
      </w:r>
    </w:p>
    <w:p w14:paraId="21BCAE6E">
      <w:pPr>
        <w:pStyle w:val="3"/>
        <w:keepNext w:val="0"/>
        <w:keepLines w:val="0"/>
        <w:pageBreakBefore w:val="0"/>
        <w:widowControl w:val="0"/>
        <w:numPr>
          <w:ilvl w:val="0"/>
          <w:numId w:val="7"/>
        </w:numPr>
        <w:kinsoku/>
        <w:wordWrap/>
        <w:overflowPunct/>
        <w:topLinePunct w:val="0"/>
        <w:autoSpaceDE/>
        <w:autoSpaceDN/>
        <w:bidi w:val="0"/>
        <w:adjustRightInd/>
        <w:snapToGrid/>
        <w:spacing w:after="0" w:line="576" w:lineRule="exact"/>
        <w:ind w:left="0" w:leftChars="0" w:right="0" w:rightChars="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日常财务管理遵照《中华人民共和国会计法》《中华人民共和国预算法》《政府会计准则》及国家、省、市有关法律、法规及《财务管理办法》（修订版）执行。</w:t>
      </w:r>
    </w:p>
    <w:p w14:paraId="38DF1742">
      <w:pPr>
        <w:pStyle w:val="3"/>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right="0" w:rightChars="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财务管理的基本原则：统一管理，综合平衡；量入为出，以收定支；厉行节约，保障重点；兼顾一般，注重绩效；完善程序，规范高效；强化业务科室（小组）资金使用主体责任和局办公室资金管理责任。财务管理的主要任务：合理编制年度经费预算，统筹安排、节约使用各项资金，保障部门工作正常运转的资金需要；强化经费预决算和财务收支管理，对预算执行实行全过程绩效管理，统管事情预算、事中控制、事后分析和信息反馈等，不断提高预算执行率和绩效；加强国有资产管理，确保资产的安全完整。</w:t>
      </w:r>
    </w:p>
    <w:p w14:paraId="41F45F8C">
      <w:pPr>
        <w:pStyle w:val="3"/>
        <w:keepNext w:val="0"/>
        <w:keepLines w:val="0"/>
        <w:pageBreakBefore w:val="0"/>
        <w:widowControl w:val="0"/>
        <w:numPr>
          <w:ilvl w:val="0"/>
          <w:numId w:val="7"/>
        </w:numPr>
        <w:kinsoku/>
        <w:wordWrap/>
        <w:overflowPunct/>
        <w:topLinePunct w:val="0"/>
        <w:autoSpaceDE/>
        <w:autoSpaceDN/>
        <w:bidi w:val="0"/>
        <w:adjustRightInd/>
        <w:snapToGrid/>
        <w:spacing w:after="0" w:line="576" w:lineRule="exact"/>
        <w:ind w:left="0" w:leftChars="0" w:right="0" w:rightChars="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为有效推动数字政府顶层设计向纵深和专项领域拓展，起草了《石家庄市人民政府关于加强数字政府建设的实施意见》以市政府名义印发，编制完成了《石家庄市数字政府网络与数据安全规划（2023-2025）》《石家庄市一体化政务大数据体系建设工作方案》，《石家庄市“一网统管”城市综合管理体系建设推进方案（2023-2025年）》也正在完善中。通过“一意见一规划两方案”的编制，有效承接了国家和我省关于数字政府建设的整体部署安排，推动了我市数字政府顶层设计向纵深和专项领域不断拓展和延伸。</w:t>
      </w:r>
    </w:p>
    <w:p w14:paraId="558678E9">
      <w:pPr>
        <w:pStyle w:val="3"/>
        <w:keepNext w:val="0"/>
        <w:keepLines w:val="0"/>
        <w:pageBreakBefore w:val="0"/>
        <w:widowControl w:val="0"/>
        <w:numPr>
          <w:ilvl w:val="0"/>
          <w:numId w:val="7"/>
        </w:numPr>
        <w:kinsoku/>
        <w:wordWrap/>
        <w:overflowPunct/>
        <w:topLinePunct w:val="0"/>
        <w:autoSpaceDE/>
        <w:autoSpaceDN/>
        <w:bidi w:val="0"/>
        <w:adjustRightInd/>
        <w:snapToGrid/>
        <w:spacing w:after="0" w:line="576" w:lineRule="exact"/>
        <w:ind w:left="0" w:leftChars="0" w:right="0" w:rightChars="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为更好的完善组织体系建设，充分发挥数字政府推进工作机制作用。以数字政府建设领导小组名义，组织召开了“全市推进数字政府建设暨首席数据官培训会”，对全市数字政府建设进行安排部署。调整充实全市首席数据官组织体系，部门首席数据官在原有39个政府部门的基础上，扩大到82个部门及单位，同时覆盖全部24个县（市、区），大幅提升了政务数据共享的统筹协调力度和覆盖范围，进一步发挥了数字政府“一盘棋”工作推进机制作用。</w:t>
      </w:r>
    </w:p>
    <w:p w14:paraId="22C1135B">
      <w:pPr>
        <w:pStyle w:val="3"/>
        <w:keepNext w:val="0"/>
        <w:keepLines w:val="0"/>
        <w:pageBreakBefore w:val="0"/>
        <w:widowControl w:val="0"/>
        <w:numPr>
          <w:ilvl w:val="0"/>
          <w:numId w:val="7"/>
        </w:numPr>
        <w:kinsoku/>
        <w:wordWrap/>
        <w:overflowPunct/>
        <w:topLinePunct w:val="0"/>
        <w:autoSpaceDE/>
        <w:autoSpaceDN/>
        <w:bidi w:val="0"/>
        <w:adjustRightInd/>
        <w:snapToGrid/>
        <w:spacing w:after="0" w:line="576" w:lineRule="exact"/>
        <w:ind w:left="0" w:leftChars="0" w:right="0" w:rightChars="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改革优化项目管理体制，逐步完善信息化项目建管体系。修订完善了《石家庄市市级政务信息化项目管理办法》及《石家庄市市级政务信息化建设项目需求申报实施方案》《石家庄市级政务信息化项目建设方案评审实施方案》《石家庄市市级政务信息化项目统一建设实施方案》《石家庄市市级政务信息化项目统一运维实施方案》 《石家庄市市级政务信息化项目验收实施方案》等6项规章制度。</w:t>
      </w:r>
    </w:p>
    <w:p w14:paraId="35943009">
      <w:pPr>
        <w:pStyle w:val="3"/>
        <w:keepNext w:val="0"/>
        <w:keepLines w:val="0"/>
        <w:pageBreakBefore w:val="0"/>
        <w:widowControl w:val="0"/>
        <w:numPr>
          <w:ilvl w:val="0"/>
          <w:numId w:val="7"/>
        </w:numPr>
        <w:kinsoku/>
        <w:wordWrap/>
        <w:overflowPunct/>
        <w:topLinePunct w:val="0"/>
        <w:autoSpaceDE/>
        <w:autoSpaceDN/>
        <w:bidi w:val="0"/>
        <w:adjustRightInd/>
        <w:snapToGrid/>
        <w:spacing w:after="0" w:line="576" w:lineRule="exact"/>
        <w:ind w:left="0" w:leftChars="0" w:right="0" w:rightChars="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坚持党建引领，政治标准和政治要求更加严格和过硬。以习近平新时代中国特色社会主义思想为指导，深入学习贯彻党的二十大精神和习近平总书记在河北考察时的重要讲话精神，严肃深入开展主题教育，全面贯彻落实新时代党的建设总要求和组织路线，大力推动重点任务落实见效，机关党总支以及所属三个党支部的组织力、战斗力、凝聚力和号召力进一步增强，党员先锋模范作用发挥更加充分，助推了全局各项工作高质量发展。</w:t>
      </w:r>
    </w:p>
    <w:p w14:paraId="417B2906">
      <w:pPr>
        <w:pStyle w:val="3"/>
        <w:keepNext w:val="0"/>
        <w:keepLines w:val="0"/>
        <w:pageBreakBefore w:val="0"/>
        <w:widowControl w:val="0"/>
        <w:numPr>
          <w:ilvl w:val="2"/>
          <w:numId w:val="8"/>
        </w:numPr>
        <w:kinsoku/>
        <w:wordWrap/>
        <w:overflowPunct/>
        <w:topLinePunct w:val="0"/>
        <w:autoSpaceDE/>
        <w:autoSpaceDN/>
        <w:bidi w:val="0"/>
        <w:adjustRightInd/>
        <w:snapToGrid/>
        <w:spacing w:after="0" w:line="576" w:lineRule="exact"/>
        <w:ind w:left="0" w:leftChars="0" w:right="0" w:rightChars="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强化制度建设和政治理论学习。年初制定了《党建工作要点》，对全年的党建工作进行安排部署；机关各党支部本着党建引领、思想建党的原则分别制定了适合自己的《党支部学习计划》；举办“七一”专题党课、学习党的二十大精神专题党课、主题教育专题党课等专题学习会3期240余人次；全年共发放学习类图书150余册。</w:t>
      </w:r>
    </w:p>
    <w:p w14:paraId="4D0EB9DB">
      <w:pPr>
        <w:pStyle w:val="3"/>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right="0" w:rightChars="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（2）加强基层组织建设。认真落实“中心组学习”制度，2023年共组织理论学习</w:t>
      </w:r>
      <w:bookmarkStart w:id="1" w:name="_GoBack"/>
      <w:bookmarkEnd w:id="1"/>
      <w:r>
        <w:rPr>
          <w:rFonts w:hint="eastAsia" w:ascii="仿宋_GB2312" w:hAnsi="仿宋_GB2312" w:eastAsia="仿宋_GB2312" w:cs="仿宋_GB2312"/>
          <w:color w:val="auto"/>
          <w:sz w:val="32"/>
          <w:szCs w:val="32"/>
          <w:highlight w:val="none"/>
          <w:lang w:val="en-US" w:eastAsia="zh-CN"/>
        </w:rPr>
        <w:t>中心组学习12次；严格落实“三会一课”制度；开好支委会、党员大会、讲好党课。</w:t>
      </w:r>
    </w:p>
    <w:p w14:paraId="11C2D4C1">
      <w:pPr>
        <w:pStyle w:val="3"/>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right="0" w:rightChars="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（3）做好党员管理和党费收缴工作。今年以来我局共接转党员组织关系3人次；培养入党积极分子1名，发展预备党员1名，预备党员转正1名；每月按时完成党费的收缴工作，今年共收缴党费29894元。</w:t>
      </w:r>
    </w:p>
    <w:p w14:paraId="5F008300">
      <w:pPr>
        <w:pStyle w:val="3"/>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right="0" w:rightChars="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（4）切实做好意识形态工作。全面落实意识形态工作责任制，狠抓意识形态领域各项工作任务落实。</w:t>
      </w:r>
    </w:p>
    <w:p w14:paraId="6E5B6060">
      <w:pPr>
        <w:pStyle w:val="3"/>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right="0" w:rightChars="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本项绩效评价指标满分20分，得分20分。</w:t>
      </w:r>
    </w:p>
    <w:tbl>
      <w:tblPr>
        <w:tblStyle w:val="6"/>
        <w:tblW w:w="4703"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411"/>
        <w:gridCol w:w="4449"/>
        <w:gridCol w:w="1663"/>
      </w:tblGrid>
      <w:tr w14:paraId="51B21A05">
        <w:trPr>
          <w:trHeight w:val="280" w:hRule="atLeast"/>
        </w:trPr>
        <w:tc>
          <w:tcPr>
            <w:tcW w:w="1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4107A">
            <w:pPr>
              <w:keepNext w:val="0"/>
              <w:keepLines w:val="0"/>
              <w:widowControl/>
              <w:suppressLineNumbers w:val="0"/>
              <w:jc w:val="center"/>
              <w:textAlignment w:val="center"/>
              <w:rPr>
                <w:rFonts w:hint="eastAsia" w:ascii="宋体" w:hAnsi="宋体" w:eastAsia="宋体" w:cs="宋体"/>
                <w:b/>
                <w:bCs/>
                <w:i w:val="0"/>
                <w:iCs w:val="0"/>
                <w:color w:val="auto"/>
                <w:kern w:val="2"/>
                <w:sz w:val="24"/>
                <w:szCs w:val="24"/>
                <w:highlight w:val="none"/>
                <w:u w:val="none"/>
                <w:lang w:val="en-US" w:eastAsia="zh-CN" w:bidi="ar-SA"/>
              </w:rPr>
            </w:pPr>
            <w:r>
              <w:rPr>
                <w:rFonts w:hint="eastAsia" w:ascii="宋体" w:hAnsi="宋体" w:eastAsia="宋体" w:cs="宋体"/>
                <w:b/>
                <w:bCs/>
                <w:i w:val="0"/>
                <w:iCs w:val="0"/>
                <w:color w:val="auto"/>
                <w:kern w:val="0"/>
                <w:sz w:val="24"/>
                <w:szCs w:val="24"/>
                <w:highlight w:val="none"/>
                <w:u w:val="none"/>
                <w:lang w:val="en-US" w:eastAsia="zh-CN" w:bidi="ar"/>
              </w:rPr>
              <w:t>一级指标</w:t>
            </w:r>
          </w:p>
        </w:tc>
        <w:tc>
          <w:tcPr>
            <w:tcW w:w="2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E75CF">
            <w:pPr>
              <w:keepNext w:val="0"/>
              <w:keepLines w:val="0"/>
              <w:widowControl/>
              <w:suppressLineNumbers w:val="0"/>
              <w:jc w:val="center"/>
              <w:textAlignment w:val="center"/>
              <w:rPr>
                <w:rFonts w:hint="eastAsia" w:ascii="宋体" w:hAnsi="宋体" w:eastAsia="宋体" w:cs="宋体"/>
                <w:b/>
                <w:bCs/>
                <w:i w:val="0"/>
                <w:iCs w:val="0"/>
                <w:color w:val="auto"/>
                <w:kern w:val="2"/>
                <w:sz w:val="24"/>
                <w:szCs w:val="24"/>
                <w:highlight w:val="none"/>
                <w:u w:val="none"/>
                <w:lang w:val="en-US" w:eastAsia="zh-CN" w:bidi="ar-SA"/>
              </w:rPr>
            </w:pPr>
            <w:r>
              <w:rPr>
                <w:rFonts w:hint="eastAsia" w:ascii="宋体" w:hAnsi="宋体" w:eastAsia="宋体" w:cs="宋体"/>
                <w:b/>
                <w:bCs/>
                <w:i w:val="0"/>
                <w:iCs w:val="0"/>
                <w:color w:val="auto"/>
                <w:kern w:val="0"/>
                <w:sz w:val="24"/>
                <w:szCs w:val="24"/>
                <w:highlight w:val="none"/>
                <w:u w:val="none"/>
                <w:lang w:val="en-US" w:eastAsia="zh-CN" w:bidi="ar"/>
              </w:rPr>
              <w:t>二级指标</w:t>
            </w:r>
          </w:p>
        </w:tc>
        <w:tc>
          <w:tcPr>
            <w:tcW w:w="9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93932">
            <w:pPr>
              <w:keepNext w:val="0"/>
              <w:keepLines w:val="0"/>
              <w:widowControl/>
              <w:suppressLineNumbers w:val="0"/>
              <w:jc w:val="center"/>
              <w:textAlignment w:val="center"/>
              <w:rPr>
                <w:rFonts w:hint="default" w:ascii="宋体" w:hAnsi="宋体" w:eastAsia="宋体" w:cs="宋体"/>
                <w:b/>
                <w:bCs/>
                <w:i w:val="0"/>
                <w:iCs w:val="0"/>
                <w:color w:val="auto"/>
                <w:kern w:val="2"/>
                <w:sz w:val="24"/>
                <w:szCs w:val="24"/>
                <w:highlight w:val="none"/>
                <w:u w:val="none"/>
                <w:lang w:val="en-US" w:eastAsia="zh-CN" w:bidi="ar-SA"/>
              </w:rPr>
            </w:pPr>
            <w:r>
              <w:rPr>
                <w:rFonts w:hint="eastAsia" w:ascii="宋体" w:hAnsi="宋体" w:cs="宋体"/>
                <w:b/>
                <w:bCs/>
                <w:i w:val="0"/>
                <w:iCs w:val="0"/>
                <w:color w:val="auto"/>
                <w:kern w:val="2"/>
                <w:sz w:val="24"/>
                <w:szCs w:val="24"/>
                <w:highlight w:val="none"/>
                <w:u w:val="none"/>
                <w:lang w:val="en-US" w:eastAsia="zh-CN" w:bidi="ar-SA"/>
              </w:rPr>
              <w:t>得分</w:t>
            </w:r>
          </w:p>
        </w:tc>
      </w:tr>
      <w:tr w14:paraId="6F10D7B8">
        <w:trPr>
          <w:trHeight w:val="280" w:hRule="atLeast"/>
        </w:trPr>
        <w:tc>
          <w:tcPr>
            <w:tcW w:w="14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4DBD6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部门管理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（20分）</w:t>
            </w:r>
          </w:p>
        </w:tc>
        <w:tc>
          <w:tcPr>
            <w:tcW w:w="2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91606">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预算执行</w:t>
            </w:r>
          </w:p>
        </w:tc>
        <w:tc>
          <w:tcPr>
            <w:tcW w:w="9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817E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r>
      <w:tr w14:paraId="64A20518">
        <w:trPr>
          <w:trHeight w:val="280" w:hRule="atLeast"/>
        </w:trPr>
        <w:tc>
          <w:tcPr>
            <w:tcW w:w="14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2D245C">
            <w:pPr>
              <w:jc w:val="center"/>
              <w:rPr>
                <w:rFonts w:hint="eastAsia" w:ascii="宋体" w:hAnsi="宋体" w:eastAsia="宋体" w:cs="宋体"/>
                <w:i w:val="0"/>
                <w:iCs w:val="0"/>
                <w:color w:val="auto"/>
                <w:sz w:val="24"/>
                <w:szCs w:val="24"/>
                <w:highlight w:val="none"/>
                <w:u w:val="none"/>
              </w:rPr>
            </w:pPr>
          </w:p>
        </w:tc>
        <w:tc>
          <w:tcPr>
            <w:tcW w:w="2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A0ACD">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财务管理</w:t>
            </w:r>
          </w:p>
        </w:tc>
        <w:tc>
          <w:tcPr>
            <w:tcW w:w="9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D1D1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r>
      <w:tr w14:paraId="0F6FE171">
        <w:trPr>
          <w:trHeight w:val="280" w:hRule="atLeast"/>
        </w:trPr>
        <w:tc>
          <w:tcPr>
            <w:tcW w:w="14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43378B">
            <w:pPr>
              <w:jc w:val="center"/>
              <w:rPr>
                <w:rFonts w:hint="eastAsia" w:ascii="宋体" w:hAnsi="宋体" w:eastAsia="宋体" w:cs="宋体"/>
                <w:i w:val="0"/>
                <w:iCs w:val="0"/>
                <w:color w:val="auto"/>
                <w:sz w:val="24"/>
                <w:szCs w:val="24"/>
                <w:highlight w:val="none"/>
                <w:u w:val="none"/>
              </w:rPr>
            </w:pPr>
          </w:p>
        </w:tc>
        <w:tc>
          <w:tcPr>
            <w:tcW w:w="2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4D877">
            <w:pPr>
              <w:keepNext w:val="0"/>
              <w:keepLines w:val="0"/>
              <w:widowControl/>
              <w:suppressLineNumbers w:val="0"/>
              <w:jc w:val="left"/>
              <w:textAlignment w:val="center"/>
              <w:rPr>
                <w:rFonts w:hint="default" w:ascii="宋体" w:hAnsi="宋体" w:eastAsia="宋体" w:cs="宋体"/>
                <w:i w:val="0"/>
                <w:iCs w:val="0"/>
                <w:color w:val="auto"/>
                <w:sz w:val="24"/>
                <w:szCs w:val="24"/>
                <w:highlight w:val="none"/>
                <w:u w:val="none"/>
                <w:lang w:val="en-US" w:eastAsia="zh-CN"/>
              </w:rPr>
            </w:pPr>
            <w:r>
              <w:rPr>
                <w:rFonts w:hint="eastAsia" w:ascii="宋体" w:hAnsi="宋体" w:cs="宋体"/>
                <w:i w:val="0"/>
                <w:iCs w:val="0"/>
                <w:color w:val="auto"/>
                <w:sz w:val="24"/>
                <w:szCs w:val="24"/>
                <w:highlight w:val="none"/>
                <w:u w:val="none"/>
                <w:lang w:val="en-US" w:eastAsia="zh-CN"/>
              </w:rPr>
              <w:t>内控制度建设</w:t>
            </w:r>
          </w:p>
        </w:tc>
        <w:tc>
          <w:tcPr>
            <w:tcW w:w="9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372E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r>
      <w:tr w14:paraId="4AB08F3F">
        <w:trPr>
          <w:trHeight w:val="280" w:hRule="atLeast"/>
        </w:trPr>
        <w:tc>
          <w:tcPr>
            <w:tcW w:w="14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029CE3">
            <w:pPr>
              <w:jc w:val="center"/>
              <w:rPr>
                <w:rFonts w:hint="eastAsia" w:ascii="宋体" w:hAnsi="宋体" w:eastAsia="宋体" w:cs="宋体"/>
                <w:i w:val="0"/>
                <w:iCs w:val="0"/>
                <w:color w:val="auto"/>
                <w:sz w:val="24"/>
                <w:szCs w:val="24"/>
                <w:highlight w:val="none"/>
                <w:u w:val="none"/>
              </w:rPr>
            </w:pPr>
          </w:p>
        </w:tc>
        <w:tc>
          <w:tcPr>
            <w:tcW w:w="2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73EC5">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党建工作</w:t>
            </w:r>
          </w:p>
        </w:tc>
        <w:tc>
          <w:tcPr>
            <w:tcW w:w="9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2BC6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r>
    </w:tbl>
    <w:p w14:paraId="6F73CB5D">
      <w:pPr>
        <w:pStyle w:val="2"/>
        <w:keepNext w:val="0"/>
        <w:keepLines w:val="0"/>
        <w:pageBreakBefore w:val="0"/>
        <w:widowControl w:val="0"/>
        <w:numPr>
          <w:ilvl w:val="0"/>
          <w:numId w:val="0"/>
        </w:numPr>
        <w:kinsoku/>
        <w:wordWrap/>
        <w:overflowPunct/>
        <w:topLinePunct w:val="0"/>
        <w:autoSpaceDE/>
        <w:autoSpaceDN/>
        <w:bidi w:val="0"/>
        <w:adjustRightInd w:val="0"/>
        <w:snapToGrid/>
        <w:spacing w:line="576" w:lineRule="exact"/>
        <w:ind w:leftChars="0" w:firstLine="640" w:firstLineChars="200"/>
        <w:jc w:val="both"/>
        <w:textAlignment w:val="baseline"/>
        <w:rPr>
          <w:rFonts w:hint="eastAsia" w:ascii="楷体_GB2312" w:hAnsi="楷体_GB2312" w:eastAsia="楷体_GB2312" w:cs="楷体_GB2312"/>
          <w:color w:val="auto"/>
          <w:kern w:val="2"/>
          <w:sz w:val="32"/>
          <w:szCs w:val="32"/>
          <w:highlight w:val="none"/>
          <w:lang w:val="en-US" w:eastAsia="zh-CN" w:bidi="ar-SA"/>
        </w:rPr>
      </w:pPr>
      <w:r>
        <w:rPr>
          <w:rFonts w:hint="eastAsia" w:ascii="楷体_GB2312" w:hAnsi="楷体_GB2312" w:eastAsia="楷体_GB2312" w:cs="楷体_GB2312"/>
          <w:color w:val="auto"/>
          <w:kern w:val="2"/>
          <w:sz w:val="32"/>
          <w:szCs w:val="32"/>
          <w:highlight w:val="none"/>
          <w:lang w:val="en-US" w:eastAsia="zh-CN" w:bidi="ar-SA"/>
        </w:rPr>
        <w:t>（三）</w:t>
      </w:r>
      <w:r>
        <w:rPr>
          <w:rFonts w:hint="eastAsia" w:ascii="楷体_GB2312" w:hAnsi="楷体_GB2312" w:eastAsia="楷体_GB2312" w:cs="楷体_GB2312"/>
          <w:b w:val="0"/>
          <w:bCs w:val="0"/>
          <w:color w:val="auto"/>
          <w:kern w:val="2"/>
          <w:sz w:val="32"/>
          <w:szCs w:val="32"/>
          <w:highlight w:val="none"/>
          <w:lang w:val="en-US" w:eastAsia="zh-CN" w:bidi="ar-SA"/>
        </w:rPr>
        <w:t>部门职责履行</w:t>
      </w:r>
    </w:p>
    <w:p w14:paraId="70F7F317">
      <w:pPr>
        <w:keepNext w:val="0"/>
        <w:keepLines w:val="0"/>
        <w:pageBreakBefore w:val="0"/>
        <w:widowControl/>
        <w:suppressLineNumbers w:val="0"/>
        <w:kinsoku/>
        <w:wordWrap/>
        <w:overflowPunct/>
        <w:topLinePunct w:val="0"/>
        <w:autoSpaceDE/>
        <w:autoSpaceDN/>
        <w:bidi w:val="0"/>
        <w:snapToGrid/>
        <w:spacing w:line="576" w:lineRule="exact"/>
        <w:ind w:firstLine="640" w:firstLineChars="200"/>
        <w:jc w:val="both"/>
        <w:textAlignment w:val="center"/>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部门职责履行指标满分40分，数字政府顶层设计与运行机制建设（8分），政务服务数字化支撑能力建设（10分），数据资源管理与共享（6分），电子政务应用建设与推广（8分），全市数据资源安全保障体系建设与指导（8分）。</w:t>
      </w:r>
    </w:p>
    <w:p w14:paraId="2BD34515">
      <w:pPr>
        <w:pStyle w:val="9"/>
        <w:keepNext w:val="0"/>
        <w:keepLines w:val="0"/>
        <w:pageBreakBefore w:val="0"/>
        <w:widowControl w:val="0"/>
        <w:numPr>
          <w:ilvl w:val="0"/>
          <w:numId w:val="9"/>
        </w:numPr>
        <w:kinsoku/>
        <w:wordWrap/>
        <w:overflowPunct/>
        <w:topLinePunct w:val="0"/>
        <w:autoSpaceDE/>
        <w:autoSpaceDN/>
        <w:bidi w:val="0"/>
        <w:adjustRightInd/>
        <w:snapToGrid/>
        <w:spacing w:line="576" w:lineRule="exact"/>
        <w:ind w:left="0" w:leftChars="0" w:right="0" w:rightChars="0" w:firstLine="640" w:firstLineChars="200"/>
        <w:jc w:val="both"/>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强化顶层设计，数字政府运行机制更加完善</w:t>
      </w:r>
    </w:p>
    <w:p w14:paraId="45DF1B1A">
      <w:pPr>
        <w:keepNext w:val="0"/>
        <w:keepLines w:val="0"/>
        <w:pageBreakBefore w:val="0"/>
        <w:widowControl w:val="0"/>
        <w:kinsoku/>
        <w:wordWrap/>
        <w:overflowPunct/>
        <w:topLinePunct w:val="0"/>
        <w:autoSpaceDE/>
        <w:autoSpaceDN/>
        <w:bidi w:val="0"/>
        <w:snapToGrid/>
        <w:spacing w:line="576" w:lineRule="exact"/>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解放思想，开阔视野，推动数字政府顶层设计向纵深和专项领域拓展；不断完善组织体系建设，充分发挥数字政府推进工作机制作用；改革优化项目管理体制，信息化项目建管体系逐步完善。</w:t>
      </w:r>
    </w:p>
    <w:p w14:paraId="45B191CB">
      <w:pPr>
        <w:pStyle w:val="2"/>
        <w:keepNext w:val="0"/>
        <w:keepLines w:val="0"/>
        <w:pageBreakBefore w:val="0"/>
        <w:widowControl w:val="0"/>
        <w:numPr>
          <w:ilvl w:val="0"/>
          <w:numId w:val="10"/>
        </w:numPr>
        <w:kinsoku/>
        <w:wordWrap/>
        <w:overflowPunct/>
        <w:topLinePunct w:val="0"/>
        <w:autoSpaceDE/>
        <w:autoSpaceDN/>
        <w:bidi w:val="0"/>
        <w:snapToGrid/>
        <w:spacing w:line="576" w:lineRule="exact"/>
        <w:ind w:left="0" w:leftChars="0"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起草了《石家庄市人民政府关于加强数字政府建设的实施意见》以市政府名义印发，编制完成了《石家庄市数字政府网络与数据安全规划（2023-2025）》《石家庄市一体化政务大数据体系建设工作方案》，《石家庄市“一网统管”城市综合管理体系建设推进方案（2023-2025年）》也正在完善中。通过“一意见一规划两方案”的编制，有效承接了国家和我省关于数字政府建设的整体部署安排，推动了我市数字政府顶层设计向纵深和专项领域不断拓展和延伸。</w:t>
      </w:r>
    </w:p>
    <w:p w14:paraId="54D37235">
      <w:pPr>
        <w:keepNext w:val="0"/>
        <w:keepLines w:val="0"/>
        <w:pageBreakBefore w:val="0"/>
        <w:widowControl w:val="0"/>
        <w:kinsoku/>
        <w:wordWrap/>
        <w:overflowPunct/>
        <w:topLinePunct w:val="0"/>
        <w:autoSpaceDE/>
        <w:autoSpaceDN/>
        <w:bidi w:val="0"/>
        <w:snapToGrid/>
        <w:spacing w:line="576" w:lineRule="exact"/>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（2）修订完善了《石家庄市市级政务信息化项目管理办法》</w:t>
      </w:r>
      <w:r>
        <w:rPr>
          <w:rFonts w:hint="eastAsia" w:ascii="仿宋_GB2312" w:hAnsi="仿宋_GB2312" w:eastAsia="仿宋_GB2312" w:cs="仿宋_GB2312"/>
          <w:color w:val="auto"/>
          <w:sz w:val="32"/>
          <w:szCs w:val="32"/>
          <w:highlight w:val="none"/>
          <w:u w:val="none"/>
          <w:lang w:val="en-US" w:eastAsia="zh-CN"/>
        </w:rPr>
        <w:t>等6项</w:t>
      </w:r>
      <w:r>
        <w:rPr>
          <w:rFonts w:hint="eastAsia" w:ascii="仿宋_GB2312" w:hAnsi="仿宋_GB2312" w:eastAsia="仿宋_GB2312" w:cs="仿宋_GB2312"/>
          <w:color w:val="auto"/>
          <w:sz w:val="32"/>
          <w:szCs w:val="32"/>
          <w:highlight w:val="none"/>
          <w:lang w:val="en-US" w:eastAsia="zh-CN"/>
        </w:rPr>
        <w:t>规章制度，按照“重点推进、分步实施、急用先行”的原则，综合考虑国家、省级重点政策文件和市委、市政府重点工作，制定科学的资金使用策略，共计53个新建项目和19个续建项目列入2023年度建设计划。通过信息化项目的统一谋划和建设，促使我市</w:t>
      </w:r>
      <w:r>
        <w:rPr>
          <w:rFonts w:hint="eastAsia" w:ascii="仿宋_GB2312" w:hAnsi="仿宋_GB2312" w:eastAsia="仿宋_GB2312" w:cs="仿宋_GB2312"/>
          <w:color w:val="auto"/>
          <w:sz w:val="32"/>
          <w:szCs w:val="32"/>
          <w:highlight w:val="none"/>
        </w:rPr>
        <w:t>数字政府建设</w:t>
      </w:r>
      <w:r>
        <w:rPr>
          <w:rFonts w:hint="eastAsia" w:ascii="仿宋_GB2312" w:hAnsi="仿宋_GB2312" w:eastAsia="仿宋_GB2312" w:cs="仿宋_GB2312"/>
          <w:color w:val="auto"/>
          <w:sz w:val="32"/>
          <w:szCs w:val="32"/>
          <w:highlight w:val="none"/>
          <w:lang w:val="en-US" w:eastAsia="zh-CN"/>
        </w:rPr>
        <w:t>加快</w:t>
      </w:r>
      <w:r>
        <w:rPr>
          <w:rFonts w:hint="eastAsia" w:ascii="仿宋_GB2312" w:hAnsi="仿宋_GB2312" w:eastAsia="仿宋_GB2312" w:cs="仿宋_GB2312"/>
          <w:color w:val="auto"/>
          <w:sz w:val="32"/>
          <w:szCs w:val="32"/>
          <w:highlight w:val="none"/>
        </w:rPr>
        <w:t>从“建系统”转向“谋场景”，从“技术驱动”转向“场景牵引”，</w:t>
      </w:r>
      <w:r>
        <w:rPr>
          <w:rFonts w:hint="eastAsia" w:ascii="仿宋_GB2312" w:hAnsi="仿宋_GB2312" w:eastAsia="仿宋_GB2312" w:cs="仿宋_GB2312"/>
          <w:color w:val="auto"/>
          <w:sz w:val="32"/>
          <w:szCs w:val="32"/>
          <w:highlight w:val="none"/>
          <w:lang w:val="en-US" w:eastAsia="zh-CN"/>
        </w:rPr>
        <w:t>有效提高了财政资金使用效益，也推动了全市政务信息化系统跨部门跨层级互联互通和业务协同。</w:t>
      </w:r>
    </w:p>
    <w:p w14:paraId="0E0A24E2">
      <w:pPr>
        <w:keepNext w:val="0"/>
        <w:keepLines w:val="0"/>
        <w:pageBreakBefore w:val="0"/>
        <w:widowControl w:val="0"/>
        <w:kinsoku/>
        <w:wordWrap/>
        <w:overflowPunct/>
        <w:topLinePunct w:val="0"/>
        <w:autoSpaceDE/>
        <w:autoSpaceDN/>
        <w:bidi w:val="0"/>
        <w:snapToGrid/>
        <w:spacing w:line="576" w:lineRule="exact"/>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组织召开了“全市推进数字政府建设暨首席数据官培训会”，对全市数字政府建设进行安排部署。调整充实全市首席数据官组织体系，部门首席数据官在原有39个政府部门的基础上，扩大到82个部门及单位，同时覆盖全部24个县（市、区），大幅提升了政务数据共享的统筹协调力度和覆盖范围。</w:t>
      </w:r>
    </w:p>
    <w:p w14:paraId="1EDA29CF">
      <w:pPr>
        <w:keepNext w:val="0"/>
        <w:keepLines w:val="0"/>
        <w:pageBreakBefore w:val="0"/>
        <w:widowControl w:val="0"/>
        <w:numPr>
          <w:ilvl w:val="0"/>
          <w:numId w:val="9"/>
        </w:numPr>
        <w:kinsoku/>
        <w:wordWrap/>
        <w:overflowPunct/>
        <w:topLinePunct w:val="0"/>
        <w:autoSpaceDE/>
        <w:autoSpaceDN/>
        <w:bidi w:val="0"/>
        <w:snapToGrid/>
        <w:spacing w:line="576" w:lineRule="exact"/>
        <w:ind w:left="0" w:leftChars="0"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筑牢基础底座，数字化支撑能力全面提升。持续提升“云、网、端”基础支撑能力、共性应用平台支撑能力及一体化政务服务支撑能力。</w:t>
      </w:r>
    </w:p>
    <w:p w14:paraId="13A5A6A4">
      <w:pPr>
        <w:pStyle w:val="3"/>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加强对政务云资源的监测评估，实现对云平台运行状况和资源使用情况统一纳管；持续推动全市电子政务网络优化整合，全市电子政务外网实现市县乡三级全覆盖，具备随时升级到“千兆到县、百兆到乡”的条件；持续做好市级政务外网和市级政务云平台IPv6日常管理和运行维护，全市政府网站全部实现IPv6访问。依托视频联网、大数据、人工智能等先进技术，实现全市视频图像资源的一体化整合、接入、管理、解析和运维等，建设全市视频云中台。</w:t>
      </w:r>
    </w:p>
    <w:p w14:paraId="117A9AFC">
      <w:pPr>
        <w:pStyle w:val="3"/>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强化政务应用中台建设，大力推广电子档案系统，推动人社、公积金等部门高频业务系统实现CA数字证书及电子签章、电子签名互认。持续推进电子证照归集和共享应用，截至2023年底，已累计归集电子证照310种、670余万张，在全省排名第一。进一步加大社会主体免费印章推广应用，推动市行政审批局工改系统、市住建局住房租赁系统等6个部门10个涉企业务系统支持在线使用电子印章。</w:t>
      </w:r>
    </w:p>
    <w:p w14:paraId="3BE09EB5">
      <w:pPr>
        <w:pStyle w:val="3"/>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建设了政务服务“全流程网办”平台和“一窗”综合管理平台，支撑全市范围市、县、乡、村四级政务服务事项一窗受理、全程网办。依托省市两级数据交换平台，将线上线下办件数据、“好差评”数据汇聚到省、市统一的办件信息库，助力企业、群众在政务服务事项办理中“零材料提交”。积极组织开展政务服务事项目录梳理和填报，市级46个部门和24个县（市、区）全部完成填报，在省营商环境、数字河北、质量强省考核中位列全省第一。在2023年10月国务院办公厅电子政务办公室发布的《2022年度省级政府和重点城市一体化政务服务能力调查评估报告》中，我市由“中”组级别升至“高”组级别，排名大幅提升，是华北地区唯一一个提高组别的重点城市。</w:t>
      </w:r>
    </w:p>
    <w:p w14:paraId="1489BE3F">
      <w:pPr>
        <w:pStyle w:val="3"/>
        <w:keepNext w:val="0"/>
        <w:keepLines w:val="0"/>
        <w:pageBreakBefore w:val="0"/>
        <w:widowControl w:val="0"/>
        <w:numPr>
          <w:ilvl w:val="0"/>
          <w:numId w:val="9"/>
        </w:numPr>
        <w:kinsoku/>
        <w:wordWrap/>
        <w:overflowPunct/>
        <w:topLinePunct w:val="0"/>
        <w:autoSpaceDE/>
        <w:autoSpaceDN/>
        <w:bidi w:val="0"/>
        <w:adjustRightInd/>
        <w:snapToGrid/>
        <w:spacing w:after="0" w:line="576" w:lineRule="exact"/>
        <w:ind w:left="0" w:leftChars="0" w:right="0" w:rightChars="0"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聚焦共享共用，数据要素价值不断释放。不断深化政务数据归集和共享应用，在全省率先试点数据资源目录编制，极探索公共数据资源开放。</w:t>
      </w:r>
    </w:p>
    <w:p w14:paraId="137E3453">
      <w:pPr>
        <w:pStyle w:val="3"/>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累计梳理编制52个部门2600余条数据资源目录，年内新增近2000条目录。累计归集政务数据68亿余条，年内新增1亿条。全年受理新增共享需求283个，调用数据接口267万次，共享数据量1.5亿条，为我市政务服务、市域治理、营商环境等领域提供大量数据服务。牵头完成公积金提取、义务教育招生入学、人才一体化综合管理等20个应用场景的建设，超额完成省定15个场景建设任务，场景质量和数量均居全省前列。</w:t>
      </w:r>
    </w:p>
    <w:p w14:paraId="7730B0A3">
      <w:pPr>
        <w:pStyle w:val="3"/>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在省政务办的大力支持下，今年我市率先列为全省政务数据目录编制试点城市，先期在农业农村、生态环境、工业和信息化三个业务条线开展全量规范化编目试点。目前已编制目录5000余条，为全市政务数据应用提供目录基础。</w:t>
      </w:r>
    </w:p>
    <w:p w14:paraId="61E3745F">
      <w:pPr>
        <w:pStyle w:val="3"/>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研究制定了《石家庄市公共数据开放责任清单（第一批）》，将53个部门、752条公共数据资源纳入开放清单。起草了《石家庄市公共数据管理规定》，目前正通过市政府网站等渠道广泛征求各有关部门和社会公众意见。研究制定了《石家庄市公共数据运营工作方案》，并向市政府有关领导进行了专题汇报，积极探索推进公共数据运营。</w:t>
      </w:r>
    </w:p>
    <w:p w14:paraId="31866F11">
      <w:pPr>
        <w:pStyle w:val="3"/>
        <w:keepNext w:val="0"/>
        <w:keepLines w:val="0"/>
        <w:pageBreakBefore w:val="0"/>
        <w:widowControl w:val="0"/>
        <w:numPr>
          <w:ilvl w:val="0"/>
          <w:numId w:val="9"/>
        </w:numPr>
        <w:kinsoku/>
        <w:wordWrap/>
        <w:overflowPunct/>
        <w:topLinePunct w:val="0"/>
        <w:autoSpaceDE/>
        <w:autoSpaceDN/>
        <w:bidi w:val="0"/>
        <w:adjustRightInd/>
        <w:snapToGrid/>
        <w:spacing w:after="0" w:line="576" w:lineRule="exact"/>
        <w:ind w:left="0" w:leftChars="0" w:right="0" w:rightChars="0" w:firstLine="640" w:firstLineChars="200"/>
        <w:jc w:val="both"/>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突出创新应用，政府数字化履职能力不断提升。党政协同办公效能大幅跃升，“一网统管”综合体系初步建立，更多服务实现“掌上办”、“指尖办”，政府网站改版和日常监管成效明显。</w:t>
      </w:r>
    </w:p>
    <w:p w14:paraId="7741F2F8">
      <w:pPr>
        <w:pStyle w:val="3"/>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right="0" w:rightChars="0" w:firstLine="640" w:firstLineChars="200"/>
        <w:jc w:val="both"/>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建设了“掌上石家庄·石i民”APP，于2023年4月3日正式上线运行，作为我市一站式城市服务移动端总入口。上线后，我局围绕民生热点、高频事项，先后新增了中考成绩查询、义务入学报名、地铁乘车、供暖缴费等服务。截至2023年底，“石i民”APP已汇集了民政、人社、卫健、医保、文旅、体育等38个部门200余项公共服务事项，注册用户数已达116万余人。</w:t>
      </w:r>
    </w:p>
    <w:p w14:paraId="5AAA329F">
      <w:pPr>
        <w:pStyle w:val="3"/>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right="0" w:rightChars="0" w:firstLine="640" w:firstLineChars="200"/>
        <w:jc w:val="both"/>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在省内率先打造了第一个数字化政企综合服务平台“石i企”，汇集国家、省、市三级稳经济政策、助企惠企政策，实现企业诉求“一键提”，政府部门“速反馈”，扶持政策“一站汇”，精准服务“更匹配”。目前，平台注册用户超18.24万，认证企业19.18万家。</w:t>
      </w:r>
    </w:p>
    <w:p w14:paraId="190BF758">
      <w:pPr>
        <w:pStyle w:val="3"/>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right="0" w:rightChars="0" w:firstLine="640" w:firstLineChars="200"/>
        <w:jc w:val="both"/>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2023年我市在省内率先建成“一网统管”城市综合管理平台，布局了数字底座、数据治理、城市综合治理一张图、城市运行管理服务平台等六大板块。以此为依托，建设了市级数字化应急指挥中心，对接了城管、应急、水利等20多个市直部门2000多类数据指标，相关数据1.4亿条，以及15000多路视频信号，实现了跨部门、跨层级的协同管理和数据融合。部署了应急、防汛、城管、教育、文旅等5大场景应用，初步实现了“一网感知态势、一网纵观全城、一网决策指挥、一网协同共治”。</w:t>
      </w:r>
    </w:p>
    <w:p w14:paraId="42A09DF7">
      <w:pPr>
        <w:pStyle w:val="3"/>
        <w:keepNext w:val="0"/>
        <w:keepLines w:val="0"/>
        <w:pageBreakBefore w:val="0"/>
        <w:widowControl w:val="0"/>
        <w:numPr>
          <w:ilvl w:val="0"/>
          <w:numId w:val="9"/>
        </w:numPr>
        <w:kinsoku/>
        <w:wordWrap/>
        <w:overflowPunct/>
        <w:topLinePunct w:val="0"/>
        <w:autoSpaceDE/>
        <w:autoSpaceDN/>
        <w:bidi w:val="0"/>
        <w:adjustRightInd/>
        <w:snapToGrid/>
        <w:spacing w:after="0" w:line="576" w:lineRule="exact"/>
        <w:ind w:left="0" w:leftChars="0" w:right="0" w:rightChars="0" w:firstLine="640" w:firstLineChars="200"/>
        <w:jc w:val="both"/>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统筹发展与安全，网络和数据安全防线更加牢固。严格落实网络安全责任制，建立健全网络数据安全管理制度，持续做好网络安全保障。</w:t>
      </w:r>
    </w:p>
    <w:p w14:paraId="7BA015A8">
      <w:pPr>
        <w:pStyle w:val="3"/>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right="0" w:rightChars="0" w:firstLine="640" w:firstLineChars="200"/>
        <w:jc w:val="both"/>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我局整体履职任务推进有效，同时存在以下问题：</w:t>
      </w:r>
    </w:p>
    <w:p w14:paraId="4181B5C2">
      <w:pPr>
        <w:pStyle w:val="3"/>
        <w:keepNext w:val="0"/>
        <w:keepLines w:val="0"/>
        <w:pageBreakBefore w:val="0"/>
        <w:widowControl w:val="0"/>
        <w:numPr>
          <w:ilvl w:val="1"/>
          <w:numId w:val="11"/>
        </w:numPr>
        <w:kinsoku/>
        <w:wordWrap/>
        <w:overflowPunct/>
        <w:topLinePunct w:val="0"/>
        <w:autoSpaceDE/>
        <w:autoSpaceDN/>
        <w:bidi w:val="0"/>
        <w:adjustRightInd/>
        <w:snapToGrid/>
        <w:spacing w:after="0" w:line="576" w:lineRule="exact"/>
        <w:ind w:left="0" w:leftChars="0" w:right="0" w:rightChars="0" w:firstLine="640" w:firstLineChars="200"/>
        <w:jc w:val="both"/>
        <w:textAlignment w:val="auto"/>
        <w:rPr>
          <w:rFonts w:hint="default" w:ascii="仿宋_GB2312" w:hAnsi="仿宋_GB2312" w:eastAsia="仿宋_GB2312" w:cs="仿宋_GB2312"/>
          <w:b w:val="0"/>
          <w:bCs w:val="0"/>
          <w:color w:val="auto"/>
          <w:sz w:val="32"/>
          <w:szCs w:val="32"/>
          <w:highlight w:val="none"/>
          <w:lang w:val="en-US" w:eastAsia="zh-CN"/>
        </w:rPr>
      </w:pPr>
      <w:r>
        <w:rPr>
          <w:rFonts w:hint="default" w:ascii="仿宋_GB2312" w:hAnsi="仿宋_GB2312" w:eastAsia="仿宋_GB2312" w:cs="仿宋_GB2312"/>
          <w:b w:val="0"/>
          <w:bCs w:val="0"/>
          <w:color w:val="auto"/>
          <w:sz w:val="32"/>
          <w:szCs w:val="32"/>
          <w:highlight w:val="none"/>
          <w:lang w:val="en-US" w:eastAsia="zh-CN"/>
        </w:rPr>
        <w:t>数字政府市县统筹建设有待加强</w:t>
      </w:r>
    </w:p>
    <w:p w14:paraId="72AEABF3">
      <w:pPr>
        <w:pStyle w:val="3"/>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right="0" w:rightChars="0" w:firstLine="640" w:firstLineChars="200"/>
        <w:jc w:val="both"/>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由于机构设置不统一、建设经费分级负责等原因，我市目前市、县两级统一规划和统筹管理还有差距。同时受到经济、资源、人才等因素影响，整体看各县（市、区）数字政府建设水平参差不齐，步伐不一致。</w:t>
      </w:r>
    </w:p>
    <w:p w14:paraId="0C9967B5">
      <w:pPr>
        <w:pStyle w:val="3"/>
        <w:keepNext w:val="0"/>
        <w:keepLines w:val="0"/>
        <w:pageBreakBefore w:val="0"/>
        <w:widowControl w:val="0"/>
        <w:numPr>
          <w:ilvl w:val="1"/>
          <w:numId w:val="11"/>
        </w:numPr>
        <w:kinsoku/>
        <w:wordWrap/>
        <w:overflowPunct/>
        <w:topLinePunct w:val="0"/>
        <w:autoSpaceDE/>
        <w:autoSpaceDN/>
        <w:bidi w:val="0"/>
        <w:adjustRightInd/>
        <w:snapToGrid/>
        <w:spacing w:after="0" w:line="576" w:lineRule="exact"/>
        <w:ind w:left="0" w:leftChars="0" w:right="0" w:rightChars="0" w:firstLine="640" w:firstLineChars="200"/>
        <w:jc w:val="both"/>
        <w:textAlignment w:val="auto"/>
        <w:rPr>
          <w:rFonts w:hint="default" w:ascii="仿宋_GB2312" w:hAnsi="仿宋_GB2312" w:eastAsia="仿宋_GB2312" w:cs="仿宋_GB2312"/>
          <w:b w:val="0"/>
          <w:bCs w:val="0"/>
          <w:color w:val="auto"/>
          <w:sz w:val="32"/>
          <w:szCs w:val="32"/>
          <w:highlight w:val="none"/>
          <w:lang w:val="en-US" w:eastAsia="zh-CN"/>
        </w:rPr>
      </w:pPr>
      <w:r>
        <w:rPr>
          <w:rFonts w:hint="default" w:ascii="仿宋_GB2312" w:hAnsi="仿宋_GB2312" w:eastAsia="仿宋_GB2312" w:cs="仿宋_GB2312"/>
          <w:b w:val="0"/>
          <w:bCs w:val="0"/>
          <w:color w:val="auto"/>
          <w:sz w:val="32"/>
          <w:szCs w:val="32"/>
          <w:highlight w:val="none"/>
          <w:lang w:val="en-US" w:eastAsia="zh-CN"/>
        </w:rPr>
        <w:t>数据资源体系建设有待完善</w:t>
      </w:r>
    </w:p>
    <w:p w14:paraId="560B0AB9">
      <w:pPr>
        <w:pStyle w:val="3"/>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right="0" w:rightChars="0" w:firstLine="640" w:firstLineChars="200"/>
        <w:jc w:val="both"/>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对标国家、省一体化政务大数据体系建设要求，我市政务大数据体系还存在数据资源底数不清、基础支撑能力有待提高、安全保障能力需要强化等问题，亟需加强数据资源统筹管理，持续提升大数据平台能力。</w:t>
      </w:r>
    </w:p>
    <w:p w14:paraId="283CF7CB">
      <w:pPr>
        <w:pStyle w:val="3"/>
        <w:keepNext w:val="0"/>
        <w:keepLines w:val="0"/>
        <w:pageBreakBefore w:val="0"/>
        <w:widowControl w:val="0"/>
        <w:numPr>
          <w:ilvl w:val="1"/>
          <w:numId w:val="11"/>
        </w:numPr>
        <w:kinsoku/>
        <w:wordWrap/>
        <w:overflowPunct/>
        <w:topLinePunct w:val="0"/>
        <w:autoSpaceDE/>
        <w:autoSpaceDN/>
        <w:bidi w:val="0"/>
        <w:adjustRightInd/>
        <w:snapToGrid/>
        <w:spacing w:after="0" w:line="576" w:lineRule="exact"/>
        <w:ind w:left="0" w:leftChars="0" w:right="0" w:rightChars="0" w:firstLine="640" w:firstLineChars="200"/>
        <w:jc w:val="both"/>
        <w:textAlignment w:val="auto"/>
        <w:rPr>
          <w:rFonts w:hint="default" w:ascii="仿宋_GB2312" w:hAnsi="仿宋_GB2312" w:eastAsia="仿宋_GB2312" w:cs="仿宋_GB2312"/>
          <w:b w:val="0"/>
          <w:bCs w:val="0"/>
          <w:color w:val="auto"/>
          <w:sz w:val="32"/>
          <w:szCs w:val="32"/>
          <w:highlight w:val="none"/>
          <w:lang w:val="en-US" w:eastAsia="zh-CN"/>
        </w:rPr>
      </w:pPr>
      <w:r>
        <w:rPr>
          <w:rFonts w:hint="default" w:ascii="仿宋_GB2312" w:hAnsi="仿宋_GB2312" w:eastAsia="仿宋_GB2312" w:cs="仿宋_GB2312"/>
          <w:b w:val="0"/>
          <w:bCs w:val="0"/>
          <w:color w:val="auto"/>
          <w:sz w:val="32"/>
          <w:szCs w:val="32"/>
          <w:highlight w:val="none"/>
          <w:lang w:val="en-US" w:eastAsia="zh-CN"/>
        </w:rPr>
        <w:t>服务于企业、服务群众的意识还有待加强</w:t>
      </w:r>
    </w:p>
    <w:p w14:paraId="0E453F69">
      <w:pPr>
        <w:pStyle w:val="3"/>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right="0" w:rightChars="0" w:firstLine="640" w:firstLineChars="200"/>
        <w:jc w:val="both"/>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与企业和群众联系不够紧密，有些工作还单纯定位于技术支撑，没有做到从企业和群众的角度出发，企业和群众常用、刚需的服务应用还需增加。</w:t>
      </w:r>
    </w:p>
    <w:p w14:paraId="3B091D11">
      <w:pPr>
        <w:pStyle w:val="3"/>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right="0" w:rightChars="0" w:firstLine="640" w:firstLineChars="200"/>
        <w:jc w:val="both"/>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本项绩效指标满分40分，得分38.8分，如下表：</w:t>
      </w: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51"/>
        <w:gridCol w:w="1846"/>
        <w:gridCol w:w="4445"/>
        <w:gridCol w:w="1119"/>
      </w:tblGrid>
      <w:tr w14:paraId="1D17852E">
        <w:trPr>
          <w:trHeight w:val="4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5B9A0">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eastAsia="宋体" w:cs="宋体"/>
                <w:b/>
                <w:bCs/>
                <w:i w:val="0"/>
                <w:iCs w:val="0"/>
                <w:color w:val="auto"/>
                <w:kern w:val="0"/>
                <w:sz w:val="24"/>
                <w:szCs w:val="24"/>
                <w:highlight w:val="none"/>
                <w:u w:val="none"/>
                <w:lang w:val="en-US" w:eastAsia="zh-CN" w:bidi="ar"/>
              </w:rPr>
              <w:t>部门职责履行指标</w:t>
            </w:r>
          </w:p>
        </w:tc>
      </w:tr>
      <w:tr w14:paraId="151E2865">
        <w:trPr>
          <w:trHeight w:val="280" w:hRule="atLeast"/>
        </w:trPr>
        <w:tc>
          <w:tcPr>
            <w:tcW w:w="9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E291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一级指标</w:t>
            </w:r>
          </w:p>
        </w:tc>
        <w:tc>
          <w:tcPr>
            <w:tcW w:w="10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A425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二级指标</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2A5A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三级指标</w:t>
            </w:r>
          </w:p>
        </w:tc>
        <w:tc>
          <w:tcPr>
            <w:tcW w:w="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C1BC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cs="宋体"/>
                <w:i w:val="0"/>
                <w:iCs w:val="0"/>
                <w:color w:val="auto"/>
                <w:sz w:val="24"/>
                <w:szCs w:val="24"/>
                <w:highlight w:val="none"/>
                <w:u w:val="none"/>
                <w:lang w:val="en-US" w:eastAsia="zh-CN"/>
              </w:rPr>
              <w:t>得分</w:t>
            </w:r>
          </w:p>
        </w:tc>
      </w:tr>
      <w:tr w14:paraId="6680DD65">
        <w:trPr>
          <w:trHeight w:val="280" w:hRule="atLeast"/>
        </w:trPr>
        <w:tc>
          <w:tcPr>
            <w:tcW w:w="91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7FE7C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部门职责履行（40分）</w:t>
            </w:r>
          </w:p>
        </w:tc>
        <w:tc>
          <w:tcPr>
            <w:tcW w:w="101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0D5A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数字政府顶层设计与运行机制建设</w:t>
            </w:r>
            <w:r>
              <w:rPr>
                <w:rFonts w:hint="eastAsia" w:ascii="宋体" w:hAnsi="宋体" w:cs="宋体"/>
                <w:i w:val="0"/>
                <w:iCs w:val="0"/>
                <w:color w:val="auto"/>
                <w:kern w:val="0"/>
                <w:sz w:val="24"/>
                <w:szCs w:val="24"/>
                <w:highlight w:val="none"/>
                <w:u w:val="none"/>
                <w:lang w:val="en-US" w:eastAsia="zh-CN" w:bidi="ar"/>
              </w:rPr>
              <w:t>（8分）</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57F15">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数字政府建设施意见、规划、方案</w:t>
            </w:r>
          </w:p>
        </w:tc>
        <w:tc>
          <w:tcPr>
            <w:tcW w:w="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7F0C4">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eastAsia="zh-CN"/>
              </w:rPr>
            </w:pPr>
            <w:r>
              <w:rPr>
                <w:rFonts w:hint="eastAsia" w:ascii="宋体" w:hAnsi="宋体" w:cs="宋体"/>
                <w:i w:val="0"/>
                <w:iCs w:val="0"/>
                <w:color w:val="auto"/>
                <w:sz w:val="24"/>
                <w:szCs w:val="24"/>
                <w:highlight w:val="none"/>
                <w:u w:val="none"/>
                <w:lang w:val="en-US" w:eastAsia="zh-CN"/>
              </w:rPr>
              <w:t>1.8</w:t>
            </w:r>
          </w:p>
        </w:tc>
      </w:tr>
      <w:tr w14:paraId="05D31978">
        <w:trPr>
          <w:trHeight w:val="280" w:hRule="atLeast"/>
        </w:trPr>
        <w:tc>
          <w:tcPr>
            <w:tcW w:w="9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74F5D1">
            <w:pPr>
              <w:jc w:val="center"/>
              <w:rPr>
                <w:rFonts w:hint="eastAsia" w:ascii="宋体" w:hAnsi="宋体" w:eastAsia="宋体" w:cs="宋体"/>
                <w:i w:val="0"/>
                <w:iCs w:val="0"/>
                <w:color w:val="auto"/>
                <w:sz w:val="24"/>
                <w:szCs w:val="24"/>
                <w:highlight w:val="none"/>
                <w:u w:val="none"/>
              </w:rPr>
            </w:pPr>
          </w:p>
        </w:tc>
        <w:tc>
          <w:tcPr>
            <w:tcW w:w="10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849DF">
            <w:pPr>
              <w:jc w:val="center"/>
              <w:rPr>
                <w:rFonts w:hint="eastAsia" w:ascii="宋体" w:hAnsi="宋体" w:eastAsia="宋体" w:cs="宋体"/>
                <w:i w:val="0"/>
                <w:iCs w:val="0"/>
                <w:color w:val="auto"/>
                <w:sz w:val="24"/>
                <w:szCs w:val="24"/>
                <w:highlight w:val="none"/>
                <w:u w:val="none"/>
              </w:rPr>
            </w:pP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7CB01">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首席数据官体系建设与培训</w:t>
            </w:r>
          </w:p>
        </w:tc>
        <w:tc>
          <w:tcPr>
            <w:tcW w:w="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D705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r>
      <w:tr w14:paraId="47650801">
        <w:trPr>
          <w:trHeight w:val="90" w:hRule="atLeast"/>
        </w:trPr>
        <w:tc>
          <w:tcPr>
            <w:tcW w:w="9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3513F8">
            <w:pPr>
              <w:jc w:val="center"/>
              <w:rPr>
                <w:rFonts w:hint="eastAsia" w:ascii="宋体" w:hAnsi="宋体" w:eastAsia="宋体" w:cs="宋体"/>
                <w:i w:val="0"/>
                <w:iCs w:val="0"/>
                <w:color w:val="auto"/>
                <w:sz w:val="24"/>
                <w:szCs w:val="24"/>
                <w:highlight w:val="none"/>
                <w:u w:val="none"/>
              </w:rPr>
            </w:pPr>
          </w:p>
        </w:tc>
        <w:tc>
          <w:tcPr>
            <w:tcW w:w="10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0D9BF">
            <w:pPr>
              <w:jc w:val="center"/>
              <w:rPr>
                <w:rFonts w:hint="eastAsia" w:ascii="宋体" w:hAnsi="宋体" w:eastAsia="宋体" w:cs="宋体"/>
                <w:i w:val="0"/>
                <w:iCs w:val="0"/>
                <w:color w:val="auto"/>
                <w:sz w:val="24"/>
                <w:szCs w:val="24"/>
                <w:highlight w:val="none"/>
                <w:u w:val="none"/>
              </w:rPr>
            </w:pP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58D17">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政务信息化项目管理办法修订与实施</w:t>
            </w:r>
          </w:p>
        </w:tc>
        <w:tc>
          <w:tcPr>
            <w:tcW w:w="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1834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r>
      <w:tr w14:paraId="3D148F53">
        <w:trPr>
          <w:trHeight w:val="280" w:hRule="atLeast"/>
        </w:trPr>
        <w:tc>
          <w:tcPr>
            <w:tcW w:w="9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04E454">
            <w:pPr>
              <w:jc w:val="center"/>
              <w:rPr>
                <w:rFonts w:hint="eastAsia" w:ascii="宋体" w:hAnsi="宋体" w:eastAsia="宋体" w:cs="宋体"/>
                <w:i w:val="0"/>
                <w:iCs w:val="0"/>
                <w:color w:val="auto"/>
                <w:sz w:val="24"/>
                <w:szCs w:val="24"/>
                <w:highlight w:val="none"/>
                <w:u w:val="none"/>
              </w:rPr>
            </w:pPr>
          </w:p>
        </w:tc>
        <w:tc>
          <w:tcPr>
            <w:tcW w:w="10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5C30C">
            <w:pPr>
              <w:jc w:val="center"/>
              <w:rPr>
                <w:rFonts w:hint="eastAsia" w:ascii="宋体" w:hAnsi="宋体" w:eastAsia="宋体" w:cs="宋体"/>
                <w:i w:val="0"/>
                <w:iCs w:val="0"/>
                <w:color w:val="auto"/>
                <w:sz w:val="24"/>
                <w:szCs w:val="24"/>
                <w:highlight w:val="none"/>
                <w:u w:val="none"/>
              </w:rPr>
            </w:pP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6B54B">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市级信息化项目</w:t>
            </w:r>
            <w:r>
              <w:rPr>
                <w:rFonts w:hint="eastAsia" w:ascii="宋体" w:hAnsi="宋体" w:cs="宋体"/>
                <w:i w:val="0"/>
                <w:iCs w:val="0"/>
                <w:color w:val="auto"/>
                <w:kern w:val="0"/>
                <w:sz w:val="24"/>
                <w:szCs w:val="24"/>
                <w:highlight w:val="none"/>
                <w:u w:val="none"/>
                <w:lang w:val="en-US" w:eastAsia="zh-CN" w:bidi="ar"/>
              </w:rPr>
              <w:t>统一</w:t>
            </w:r>
            <w:r>
              <w:rPr>
                <w:rFonts w:hint="eastAsia" w:ascii="宋体" w:hAnsi="宋体" w:eastAsia="宋体" w:cs="宋体"/>
                <w:i w:val="0"/>
                <w:iCs w:val="0"/>
                <w:color w:val="auto"/>
                <w:kern w:val="0"/>
                <w:sz w:val="24"/>
                <w:szCs w:val="24"/>
                <w:highlight w:val="none"/>
                <w:u w:val="none"/>
                <w:lang w:val="en-US" w:eastAsia="zh-CN" w:bidi="ar"/>
              </w:rPr>
              <w:t>运维</w:t>
            </w:r>
          </w:p>
        </w:tc>
        <w:tc>
          <w:tcPr>
            <w:tcW w:w="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0E68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r>
      <w:tr w14:paraId="0A74CDC7">
        <w:trPr>
          <w:trHeight w:val="280" w:hRule="atLeast"/>
        </w:trPr>
        <w:tc>
          <w:tcPr>
            <w:tcW w:w="9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A4B26C">
            <w:pPr>
              <w:jc w:val="center"/>
              <w:rPr>
                <w:rFonts w:hint="eastAsia" w:ascii="宋体" w:hAnsi="宋体" w:eastAsia="宋体" w:cs="宋体"/>
                <w:i w:val="0"/>
                <w:iCs w:val="0"/>
                <w:color w:val="auto"/>
                <w:sz w:val="24"/>
                <w:szCs w:val="24"/>
                <w:highlight w:val="none"/>
                <w:u w:val="none"/>
              </w:rPr>
            </w:pPr>
          </w:p>
        </w:tc>
        <w:tc>
          <w:tcPr>
            <w:tcW w:w="101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422F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政务服务数字化支撑能力建设</w:t>
            </w:r>
            <w:r>
              <w:rPr>
                <w:rFonts w:hint="eastAsia" w:ascii="宋体" w:hAnsi="宋体" w:cs="宋体"/>
                <w:i w:val="0"/>
                <w:iCs w:val="0"/>
                <w:color w:val="auto"/>
                <w:kern w:val="0"/>
                <w:sz w:val="24"/>
                <w:szCs w:val="24"/>
                <w:highlight w:val="none"/>
                <w:u w:val="none"/>
                <w:lang w:val="en-US" w:eastAsia="zh-CN" w:bidi="ar"/>
              </w:rPr>
              <w:t>（10分）</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5F7B0">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政府网站全部实现IPv6访问</w:t>
            </w:r>
          </w:p>
        </w:tc>
        <w:tc>
          <w:tcPr>
            <w:tcW w:w="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1A61A">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eastAsia="zh-CN"/>
              </w:rPr>
            </w:pPr>
            <w:r>
              <w:rPr>
                <w:rFonts w:hint="eastAsia" w:ascii="宋体" w:hAnsi="宋体" w:cs="宋体"/>
                <w:i w:val="0"/>
                <w:iCs w:val="0"/>
                <w:color w:val="auto"/>
                <w:sz w:val="24"/>
                <w:szCs w:val="24"/>
                <w:highlight w:val="none"/>
                <w:u w:val="none"/>
                <w:lang w:val="en-US" w:eastAsia="zh-CN"/>
              </w:rPr>
              <w:t>1.8</w:t>
            </w:r>
          </w:p>
        </w:tc>
      </w:tr>
      <w:tr w14:paraId="37895F30">
        <w:trPr>
          <w:trHeight w:val="280" w:hRule="atLeast"/>
        </w:trPr>
        <w:tc>
          <w:tcPr>
            <w:tcW w:w="9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2562D0">
            <w:pPr>
              <w:jc w:val="center"/>
              <w:rPr>
                <w:rFonts w:hint="eastAsia" w:ascii="宋体" w:hAnsi="宋体" w:eastAsia="宋体" w:cs="宋体"/>
                <w:i w:val="0"/>
                <w:iCs w:val="0"/>
                <w:color w:val="auto"/>
                <w:sz w:val="24"/>
                <w:szCs w:val="24"/>
                <w:highlight w:val="none"/>
                <w:u w:val="none"/>
              </w:rPr>
            </w:pPr>
          </w:p>
        </w:tc>
        <w:tc>
          <w:tcPr>
            <w:tcW w:w="10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6D8B8">
            <w:pPr>
              <w:jc w:val="center"/>
              <w:rPr>
                <w:rFonts w:hint="eastAsia" w:ascii="宋体" w:hAnsi="宋体" w:eastAsia="宋体" w:cs="宋体"/>
                <w:i w:val="0"/>
                <w:iCs w:val="0"/>
                <w:color w:val="auto"/>
                <w:sz w:val="24"/>
                <w:szCs w:val="24"/>
                <w:highlight w:val="none"/>
                <w:u w:val="none"/>
              </w:rPr>
            </w:pP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3D5CD">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城市运行管理视频云中台</w:t>
            </w:r>
          </w:p>
        </w:tc>
        <w:tc>
          <w:tcPr>
            <w:tcW w:w="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D25D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r>
      <w:tr w14:paraId="35079F03">
        <w:trPr>
          <w:trHeight w:val="280" w:hRule="atLeast"/>
        </w:trPr>
        <w:tc>
          <w:tcPr>
            <w:tcW w:w="9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9140A1">
            <w:pPr>
              <w:jc w:val="center"/>
              <w:rPr>
                <w:rFonts w:hint="eastAsia" w:ascii="宋体" w:hAnsi="宋体" w:eastAsia="宋体" w:cs="宋体"/>
                <w:i w:val="0"/>
                <w:iCs w:val="0"/>
                <w:color w:val="auto"/>
                <w:sz w:val="24"/>
                <w:szCs w:val="24"/>
                <w:highlight w:val="none"/>
                <w:u w:val="none"/>
              </w:rPr>
            </w:pPr>
          </w:p>
        </w:tc>
        <w:tc>
          <w:tcPr>
            <w:tcW w:w="10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A5B20">
            <w:pPr>
              <w:jc w:val="center"/>
              <w:rPr>
                <w:rFonts w:hint="eastAsia" w:ascii="宋体" w:hAnsi="宋体" w:eastAsia="宋体" w:cs="宋体"/>
                <w:i w:val="0"/>
                <w:iCs w:val="0"/>
                <w:color w:val="auto"/>
                <w:sz w:val="24"/>
                <w:szCs w:val="24"/>
                <w:highlight w:val="none"/>
                <w:u w:val="none"/>
              </w:rPr>
            </w:pP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856C7">
            <w:pPr>
              <w:keepNext w:val="0"/>
              <w:keepLines w:val="0"/>
              <w:widowControl/>
              <w:suppressLineNumbers w:val="0"/>
              <w:jc w:val="left"/>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市级信息化项目</w:t>
            </w:r>
            <w:r>
              <w:rPr>
                <w:rFonts w:hint="eastAsia" w:ascii="宋体" w:hAnsi="宋体" w:cs="宋体"/>
                <w:i w:val="0"/>
                <w:iCs w:val="0"/>
                <w:color w:val="auto"/>
                <w:kern w:val="0"/>
                <w:sz w:val="24"/>
                <w:szCs w:val="24"/>
                <w:highlight w:val="none"/>
                <w:u w:val="none"/>
                <w:lang w:val="en-US" w:eastAsia="zh-CN" w:bidi="ar"/>
              </w:rPr>
              <w:t>统一建设</w:t>
            </w:r>
          </w:p>
        </w:tc>
        <w:tc>
          <w:tcPr>
            <w:tcW w:w="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0B215">
            <w:pPr>
              <w:keepNext w:val="0"/>
              <w:keepLines w:val="0"/>
              <w:widowControl/>
              <w:suppressLineNumbers w:val="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2</w:t>
            </w:r>
          </w:p>
        </w:tc>
      </w:tr>
      <w:tr w14:paraId="35422A54">
        <w:trPr>
          <w:trHeight w:val="560" w:hRule="atLeast"/>
        </w:trPr>
        <w:tc>
          <w:tcPr>
            <w:tcW w:w="9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836E26">
            <w:pPr>
              <w:jc w:val="center"/>
              <w:rPr>
                <w:rFonts w:hint="eastAsia" w:ascii="宋体" w:hAnsi="宋体" w:eastAsia="宋体" w:cs="宋体"/>
                <w:i w:val="0"/>
                <w:iCs w:val="0"/>
                <w:color w:val="auto"/>
                <w:sz w:val="24"/>
                <w:szCs w:val="24"/>
                <w:highlight w:val="none"/>
                <w:u w:val="none"/>
              </w:rPr>
            </w:pPr>
          </w:p>
        </w:tc>
        <w:tc>
          <w:tcPr>
            <w:tcW w:w="10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A677C">
            <w:pPr>
              <w:jc w:val="center"/>
              <w:rPr>
                <w:rFonts w:hint="eastAsia" w:ascii="宋体" w:hAnsi="宋体" w:eastAsia="宋体" w:cs="宋体"/>
                <w:i w:val="0"/>
                <w:iCs w:val="0"/>
                <w:color w:val="auto"/>
                <w:sz w:val="24"/>
                <w:szCs w:val="24"/>
                <w:highlight w:val="none"/>
                <w:u w:val="none"/>
              </w:rPr>
            </w:pPr>
          </w:p>
        </w:tc>
        <w:tc>
          <w:tcPr>
            <w:tcW w:w="2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7A739">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电子档案系统、CA数字证书及电子签章、电子签名的推广使用</w:t>
            </w:r>
          </w:p>
        </w:tc>
        <w:tc>
          <w:tcPr>
            <w:tcW w:w="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D99C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r>
      <w:tr w14:paraId="4EA42F16">
        <w:trPr>
          <w:trHeight w:val="840" w:hRule="atLeast"/>
        </w:trPr>
        <w:tc>
          <w:tcPr>
            <w:tcW w:w="9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B047BC">
            <w:pPr>
              <w:jc w:val="center"/>
              <w:rPr>
                <w:rFonts w:hint="eastAsia" w:ascii="宋体" w:hAnsi="宋体" w:eastAsia="宋体" w:cs="宋体"/>
                <w:i w:val="0"/>
                <w:iCs w:val="0"/>
                <w:color w:val="auto"/>
                <w:sz w:val="24"/>
                <w:szCs w:val="24"/>
                <w:highlight w:val="none"/>
                <w:u w:val="none"/>
              </w:rPr>
            </w:pPr>
          </w:p>
        </w:tc>
        <w:tc>
          <w:tcPr>
            <w:tcW w:w="10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1B3BF">
            <w:pPr>
              <w:jc w:val="center"/>
              <w:rPr>
                <w:rFonts w:hint="eastAsia" w:ascii="宋体" w:hAnsi="宋体" w:eastAsia="宋体" w:cs="宋体"/>
                <w:i w:val="0"/>
                <w:iCs w:val="0"/>
                <w:color w:val="auto"/>
                <w:sz w:val="24"/>
                <w:szCs w:val="24"/>
                <w:highlight w:val="none"/>
                <w:u w:val="none"/>
              </w:rPr>
            </w:pPr>
          </w:p>
        </w:tc>
        <w:tc>
          <w:tcPr>
            <w:tcW w:w="2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BDA2E">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政务服务“全流程网办”和全市范围市、县、乡、村四级政务服务事项“一窗”受理</w:t>
            </w:r>
          </w:p>
        </w:tc>
        <w:tc>
          <w:tcPr>
            <w:tcW w:w="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20AD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r>
      <w:tr w14:paraId="7C4D93DA">
        <w:trPr>
          <w:trHeight w:val="280" w:hRule="atLeast"/>
        </w:trPr>
        <w:tc>
          <w:tcPr>
            <w:tcW w:w="9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79B250">
            <w:pPr>
              <w:jc w:val="center"/>
              <w:rPr>
                <w:rFonts w:hint="eastAsia" w:ascii="宋体" w:hAnsi="宋体" w:eastAsia="宋体" w:cs="宋体"/>
                <w:i w:val="0"/>
                <w:iCs w:val="0"/>
                <w:color w:val="auto"/>
                <w:sz w:val="24"/>
                <w:szCs w:val="24"/>
                <w:highlight w:val="none"/>
                <w:u w:val="none"/>
              </w:rPr>
            </w:pPr>
          </w:p>
        </w:tc>
        <w:tc>
          <w:tcPr>
            <w:tcW w:w="101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82E5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数据资源管理与共享</w:t>
            </w:r>
            <w:r>
              <w:rPr>
                <w:rFonts w:hint="eastAsia" w:ascii="宋体" w:hAnsi="宋体" w:cs="宋体"/>
                <w:i w:val="0"/>
                <w:iCs w:val="0"/>
                <w:color w:val="auto"/>
                <w:kern w:val="0"/>
                <w:sz w:val="24"/>
                <w:szCs w:val="24"/>
                <w:highlight w:val="none"/>
                <w:u w:val="none"/>
                <w:lang w:val="en-US" w:eastAsia="zh-CN" w:bidi="ar"/>
              </w:rPr>
              <w:t>（6分）</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F9DAB">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政务数据归集和共享</w:t>
            </w:r>
          </w:p>
        </w:tc>
        <w:tc>
          <w:tcPr>
            <w:tcW w:w="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75FCF">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eastAsia="zh-CN"/>
              </w:rPr>
            </w:pPr>
            <w:r>
              <w:rPr>
                <w:rFonts w:hint="eastAsia" w:ascii="宋体" w:hAnsi="宋体" w:cs="宋体"/>
                <w:i w:val="0"/>
                <w:iCs w:val="0"/>
                <w:color w:val="auto"/>
                <w:sz w:val="24"/>
                <w:szCs w:val="24"/>
                <w:highlight w:val="none"/>
                <w:u w:val="none"/>
                <w:lang w:val="en-US" w:eastAsia="zh-CN"/>
              </w:rPr>
              <w:t>1.8</w:t>
            </w:r>
          </w:p>
        </w:tc>
      </w:tr>
      <w:tr w14:paraId="2561119F">
        <w:trPr>
          <w:trHeight w:val="280" w:hRule="atLeast"/>
        </w:trPr>
        <w:tc>
          <w:tcPr>
            <w:tcW w:w="9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EB2CE2">
            <w:pPr>
              <w:jc w:val="center"/>
              <w:rPr>
                <w:rFonts w:hint="eastAsia" w:ascii="宋体" w:hAnsi="宋体" w:eastAsia="宋体" w:cs="宋体"/>
                <w:i w:val="0"/>
                <w:iCs w:val="0"/>
                <w:color w:val="auto"/>
                <w:sz w:val="24"/>
                <w:szCs w:val="24"/>
                <w:highlight w:val="none"/>
                <w:u w:val="none"/>
              </w:rPr>
            </w:pPr>
          </w:p>
        </w:tc>
        <w:tc>
          <w:tcPr>
            <w:tcW w:w="10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F1857">
            <w:pPr>
              <w:jc w:val="center"/>
              <w:rPr>
                <w:rFonts w:hint="eastAsia" w:ascii="宋体" w:hAnsi="宋体" w:eastAsia="宋体" w:cs="宋体"/>
                <w:i w:val="0"/>
                <w:iCs w:val="0"/>
                <w:color w:val="auto"/>
                <w:sz w:val="24"/>
                <w:szCs w:val="24"/>
                <w:highlight w:val="none"/>
                <w:u w:val="none"/>
              </w:rPr>
            </w:pP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7BDA8">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试点数据资源目录编制</w:t>
            </w:r>
          </w:p>
        </w:tc>
        <w:tc>
          <w:tcPr>
            <w:tcW w:w="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3053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r>
      <w:tr w14:paraId="17AF2381">
        <w:trPr>
          <w:trHeight w:val="280" w:hRule="atLeast"/>
        </w:trPr>
        <w:tc>
          <w:tcPr>
            <w:tcW w:w="9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1416CE">
            <w:pPr>
              <w:jc w:val="center"/>
              <w:rPr>
                <w:rFonts w:hint="eastAsia" w:ascii="宋体" w:hAnsi="宋体" w:eastAsia="宋体" w:cs="宋体"/>
                <w:i w:val="0"/>
                <w:iCs w:val="0"/>
                <w:color w:val="auto"/>
                <w:sz w:val="24"/>
                <w:szCs w:val="24"/>
                <w:highlight w:val="none"/>
                <w:u w:val="none"/>
              </w:rPr>
            </w:pPr>
          </w:p>
        </w:tc>
        <w:tc>
          <w:tcPr>
            <w:tcW w:w="10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A6869">
            <w:pPr>
              <w:jc w:val="center"/>
              <w:rPr>
                <w:rFonts w:hint="eastAsia" w:ascii="宋体" w:hAnsi="宋体" w:eastAsia="宋体" w:cs="宋体"/>
                <w:i w:val="0"/>
                <w:iCs w:val="0"/>
                <w:color w:val="auto"/>
                <w:sz w:val="24"/>
                <w:szCs w:val="24"/>
                <w:highlight w:val="none"/>
                <w:u w:val="none"/>
              </w:rPr>
            </w:pP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3168F">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探索公共数据资源开放</w:t>
            </w:r>
          </w:p>
        </w:tc>
        <w:tc>
          <w:tcPr>
            <w:tcW w:w="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EEF5F">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eastAsia="zh-CN"/>
              </w:rPr>
            </w:pPr>
            <w:r>
              <w:rPr>
                <w:rFonts w:hint="eastAsia" w:ascii="宋体" w:hAnsi="宋体" w:cs="宋体"/>
                <w:i w:val="0"/>
                <w:iCs w:val="0"/>
                <w:color w:val="auto"/>
                <w:sz w:val="24"/>
                <w:szCs w:val="24"/>
                <w:highlight w:val="none"/>
                <w:u w:val="none"/>
                <w:lang w:val="en-US" w:eastAsia="zh-CN"/>
              </w:rPr>
              <w:t>1.8</w:t>
            </w:r>
          </w:p>
        </w:tc>
      </w:tr>
      <w:tr w14:paraId="3C3855A1">
        <w:trPr>
          <w:trHeight w:val="280" w:hRule="atLeast"/>
        </w:trPr>
        <w:tc>
          <w:tcPr>
            <w:tcW w:w="9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FE442E">
            <w:pPr>
              <w:jc w:val="center"/>
              <w:rPr>
                <w:rFonts w:hint="eastAsia" w:ascii="宋体" w:hAnsi="宋体" w:eastAsia="宋体" w:cs="宋体"/>
                <w:i w:val="0"/>
                <w:iCs w:val="0"/>
                <w:color w:val="auto"/>
                <w:sz w:val="24"/>
                <w:szCs w:val="24"/>
                <w:highlight w:val="none"/>
                <w:u w:val="none"/>
              </w:rPr>
            </w:pPr>
          </w:p>
        </w:tc>
        <w:tc>
          <w:tcPr>
            <w:tcW w:w="101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A0D45">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电子政务应用建设与推广</w:t>
            </w:r>
          </w:p>
          <w:p w14:paraId="05B5DE3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i w:val="0"/>
                <w:iCs w:val="0"/>
                <w:color w:val="auto"/>
                <w:kern w:val="0"/>
                <w:sz w:val="24"/>
                <w:szCs w:val="24"/>
                <w:highlight w:val="none"/>
                <w:u w:val="none"/>
                <w:lang w:val="en-US" w:eastAsia="zh-CN" w:bidi="ar"/>
              </w:rPr>
              <w:t>（8分）</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EE1D3">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完善一体化党政协同办公平台功能</w:t>
            </w:r>
          </w:p>
        </w:tc>
        <w:tc>
          <w:tcPr>
            <w:tcW w:w="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680B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r>
      <w:tr w14:paraId="7906703D">
        <w:trPr>
          <w:trHeight w:val="280" w:hRule="atLeast"/>
        </w:trPr>
        <w:tc>
          <w:tcPr>
            <w:tcW w:w="9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B96874">
            <w:pPr>
              <w:jc w:val="center"/>
              <w:rPr>
                <w:rFonts w:hint="eastAsia" w:ascii="宋体" w:hAnsi="宋体" w:eastAsia="宋体" w:cs="宋体"/>
                <w:i w:val="0"/>
                <w:iCs w:val="0"/>
                <w:color w:val="auto"/>
                <w:sz w:val="24"/>
                <w:szCs w:val="24"/>
                <w:highlight w:val="none"/>
                <w:u w:val="none"/>
              </w:rPr>
            </w:pPr>
          </w:p>
        </w:tc>
        <w:tc>
          <w:tcPr>
            <w:tcW w:w="10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BA09C">
            <w:pPr>
              <w:jc w:val="center"/>
              <w:rPr>
                <w:rFonts w:hint="eastAsia" w:ascii="宋体" w:hAnsi="宋体" w:eastAsia="宋体" w:cs="宋体"/>
                <w:i w:val="0"/>
                <w:iCs w:val="0"/>
                <w:color w:val="auto"/>
                <w:sz w:val="24"/>
                <w:szCs w:val="24"/>
                <w:highlight w:val="none"/>
                <w:u w:val="none"/>
              </w:rPr>
            </w:pP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58903">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建设“一网统管”综合体系</w:t>
            </w:r>
          </w:p>
        </w:tc>
        <w:tc>
          <w:tcPr>
            <w:tcW w:w="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45FD5">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eastAsia="zh-CN"/>
              </w:rPr>
            </w:pPr>
            <w:r>
              <w:rPr>
                <w:rFonts w:hint="eastAsia" w:ascii="宋体" w:hAnsi="宋体" w:cs="宋体"/>
                <w:i w:val="0"/>
                <w:iCs w:val="0"/>
                <w:color w:val="auto"/>
                <w:sz w:val="24"/>
                <w:szCs w:val="24"/>
                <w:highlight w:val="none"/>
                <w:u w:val="none"/>
                <w:lang w:val="en-US" w:eastAsia="zh-CN"/>
              </w:rPr>
              <w:t>1.8</w:t>
            </w:r>
          </w:p>
        </w:tc>
      </w:tr>
      <w:tr w14:paraId="57288D7D">
        <w:trPr>
          <w:trHeight w:val="280" w:hRule="atLeast"/>
        </w:trPr>
        <w:tc>
          <w:tcPr>
            <w:tcW w:w="9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F5B29A">
            <w:pPr>
              <w:jc w:val="center"/>
              <w:rPr>
                <w:rFonts w:hint="eastAsia" w:ascii="宋体" w:hAnsi="宋体" w:eastAsia="宋体" w:cs="宋体"/>
                <w:i w:val="0"/>
                <w:iCs w:val="0"/>
                <w:color w:val="auto"/>
                <w:sz w:val="24"/>
                <w:szCs w:val="24"/>
                <w:highlight w:val="none"/>
                <w:u w:val="none"/>
              </w:rPr>
            </w:pPr>
          </w:p>
        </w:tc>
        <w:tc>
          <w:tcPr>
            <w:tcW w:w="10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15F8C">
            <w:pPr>
              <w:jc w:val="center"/>
              <w:rPr>
                <w:rFonts w:hint="eastAsia" w:ascii="宋体" w:hAnsi="宋体" w:eastAsia="宋体" w:cs="宋体"/>
                <w:i w:val="0"/>
                <w:iCs w:val="0"/>
                <w:color w:val="auto"/>
                <w:sz w:val="24"/>
                <w:szCs w:val="24"/>
                <w:highlight w:val="none"/>
                <w:u w:val="none"/>
              </w:rPr>
            </w:pP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79BA5">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一站式城市服务“掌上办”、“指尖办”</w:t>
            </w:r>
          </w:p>
        </w:tc>
        <w:tc>
          <w:tcPr>
            <w:tcW w:w="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EEBE6">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eastAsia="zh-CN"/>
              </w:rPr>
            </w:pPr>
            <w:r>
              <w:rPr>
                <w:rFonts w:hint="eastAsia" w:ascii="宋体" w:hAnsi="宋体" w:cs="宋体"/>
                <w:i w:val="0"/>
                <w:iCs w:val="0"/>
                <w:color w:val="auto"/>
                <w:sz w:val="24"/>
                <w:szCs w:val="24"/>
                <w:highlight w:val="none"/>
                <w:u w:val="none"/>
                <w:lang w:val="en-US" w:eastAsia="zh-CN"/>
              </w:rPr>
              <w:t>1.8</w:t>
            </w:r>
          </w:p>
        </w:tc>
      </w:tr>
      <w:tr w14:paraId="655E35AC">
        <w:trPr>
          <w:trHeight w:val="280" w:hRule="atLeast"/>
        </w:trPr>
        <w:tc>
          <w:tcPr>
            <w:tcW w:w="9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72E064">
            <w:pPr>
              <w:jc w:val="center"/>
              <w:rPr>
                <w:rFonts w:hint="eastAsia" w:ascii="宋体" w:hAnsi="宋体" w:eastAsia="宋体" w:cs="宋体"/>
                <w:i w:val="0"/>
                <w:iCs w:val="0"/>
                <w:color w:val="auto"/>
                <w:sz w:val="24"/>
                <w:szCs w:val="24"/>
                <w:highlight w:val="none"/>
                <w:u w:val="none"/>
              </w:rPr>
            </w:pPr>
          </w:p>
        </w:tc>
        <w:tc>
          <w:tcPr>
            <w:tcW w:w="10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59C3D">
            <w:pPr>
              <w:jc w:val="center"/>
              <w:rPr>
                <w:rFonts w:hint="eastAsia" w:ascii="宋体" w:hAnsi="宋体" w:eastAsia="宋体" w:cs="宋体"/>
                <w:i w:val="0"/>
                <w:iCs w:val="0"/>
                <w:color w:val="auto"/>
                <w:sz w:val="24"/>
                <w:szCs w:val="24"/>
                <w:highlight w:val="none"/>
                <w:u w:val="none"/>
              </w:rPr>
            </w:pP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F61A5">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政府网站改版和日常监管</w:t>
            </w:r>
          </w:p>
        </w:tc>
        <w:tc>
          <w:tcPr>
            <w:tcW w:w="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E4B4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r>
      <w:tr w14:paraId="7FD81FD0">
        <w:trPr>
          <w:trHeight w:val="280" w:hRule="atLeast"/>
        </w:trPr>
        <w:tc>
          <w:tcPr>
            <w:tcW w:w="9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6868E2">
            <w:pPr>
              <w:jc w:val="center"/>
              <w:rPr>
                <w:rFonts w:hint="eastAsia" w:ascii="宋体" w:hAnsi="宋体" w:eastAsia="宋体" w:cs="宋体"/>
                <w:i w:val="0"/>
                <w:iCs w:val="0"/>
                <w:color w:val="auto"/>
                <w:sz w:val="24"/>
                <w:szCs w:val="24"/>
                <w:highlight w:val="none"/>
                <w:u w:val="none"/>
              </w:rPr>
            </w:pPr>
          </w:p>
        </w:tc>
        <w:tc>
          <w:tcPr>
            <w:tcW w:w="101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E5162">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全市数据资源安全保障体系建设与指导</w:t>
            </w:r>
          </w:p>
          <w:p w14:paraId="1D74D56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i w:val="0"/>
                <w:iCs w:val="0"/>
                <w:color w:val="auto"/>
                <w:kern w:val="0"/>
                <w:sz w:val="24"/>
                <w:szCs w:val="24"/>
                <w:highlight w:val="none"/>
                <w:u w:val="none"/>
                <w:lang w:val="en-US" w:eastAsia="zh-CN" w:bidi="ar"/>
              </w:rPr>
              <w:t>（8分）</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B46E7">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落实网络安全责任制</w:t>
            </w:r>
          </w:p>
        </w:tc>
        <w:tc>
          <w:tcPr>
            <w:tcW w:w="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D100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r>
      <w:tr w14:paraId="329A8753">
        <w:trPr>
          <w:trHeight w:val="280" w:hRule="atLeast"/>
        </w:trPr>
        <w:tc>
          <w:tcPr>
            <w:tcW w:w="9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2A2107">
            <w:pPr>
              <w:jc w:val="center"/>
              <w:rPr>
                <w:rFonts w:hint="eastAsia" w:ascii="宋体" w:hAnsi="宋体" w:eastAsia="宋体" w:cs="宋体"/>
                <w:i w:val="0"/>
                <w:iCs w:val="0"/>
                <w:color w:val="auto"/>
                <w:sz w:val="24"/>
                <w:szCs w:val="24"/>
                <w:highlight w:val="none"/>
                <w:u w:val="none"/>
              </w:rPr>
            </w:pPr>
          </w:p>
        </w:tc>
        <w:tc>
          <w:tcPr>
            <w:tcW w:w="10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A9ED9">
            <w:pPr>
              <w:jc w:val="center"/>
              <w:rPr>
                <w:rFonts w:hint="eastAsia" w:ascii="宋体" w:hAnsi="宋体" w:eastAsia="宋体" w:cs="宋体"/>
                <w:i w:val="0"/>
                <w:iCs w:val="0"/>
                <w:color w:val="auto"/>
                <w:sz w:val="24"/>
                <w:szCs w:val="24"/>
                <w:highlight w:val="none"/>
                <w:u w:val="none"/>
              </w:rPr>
            </w:pP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7815E">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建立健全网络数据安全管理制度</w:t>
            </w:r>
          </w:p>
        </w:tc>
        <w:tc>
          <w:tcPr>
            <w:tcW w:w="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2146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r>
      <w:tr w14:paraId="54C7E305">
        <w:trPr>
          <w:trHeight w:val="280" w:hRule="atLeast"/>
        </w:trPr>
        <w:tc>
          <w:tcPr>
            <w:tcW w:w="9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E94B9E">
            <w:pPr>
              <w:jc w:val="center"/>
              <w:rPr>
                <w:rFonts w:hint="eastAsia" w:ascii="宋体" w:hAnsi="宋体" w:eastAsia="宋体" w:cs="宋体"/>
                <w:i w:val="0"/>
                <w:iCs w:val="0"/>
                <w:color w:val="auto"/>
                <w:sz w:val="24"/>
                <w:szCs w:val="24"/>
                <w:highlight w:val="none"/>
                <w:u w:val="none"/>
              </w:rPr>
            </w:pPr>
          </w:p>
        </w:tc>
        <w:tc>
          <w:tcPr>
            <w:tcW w:w="10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9B26F">
            <w:pPr>
              <w:jc w:val="center"/>
              <w:rPr>
                <w:rFonts w:hint="eastAsia" w:ascii="宋体" w:hAnsi="宋体" w:eastAsia="宋体" w:cs="宋体"/>
                <w:i w:val="0"/>
                <w:iCs w:val="0"/>
                <w:color w:val="auto"/>
                <w:sz w:val="24"/>
                <w:szCs w:val="24"/>
                <w:highlight w:val="none"/>
                <w:u w:val="none"/>
              </w:rPr>
            </w:pP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46DAD">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网络安全保障</w:t>
            </w:r>
          </w:p>
        </w:tc>
        <w:tc>
          <w:tcPr>
            <w:tcW w:w="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DA6F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r>
    </w:tbl>
    <w:p w14:paraId="3B9A09A2">
      <w:pPr>
        <w:pStyle w:val="2"/>
        <w:keepNext w:val="0"/>
        <w:keepLines w:val="0"/>
        <w:pageBreakBefore w:val="0"/>
        <w:widowControl w:val="0"/>
        <w:numPr>
          <w:ilvl w:val="0"/>
          <w:numId w:val="0"/>
        </w:numPr>
        <w:kinsoku/>
        <w:wordWrap/>
        <w:overflowPunct/>
        <w:topLinePunct w:val="0"/>
        <w:autoSpaceDE/>
        <w:autoSpaceDN/>
        <w:bidi w:val="0"/>
        <w:adjustRightInd w:val="0"/>
        <w:snapToGrid/>
        <w:spacing w:line="576" w:lineRule="exact"/>
        <w:ind w:firstLine="640" w:firstLineChars="200"/>
        <w:jc w:val="both"/>
        <w:textAlignment w:val="baseline"/>
        <w:rPr>
          <w:rFonts w:hint="eastAsia" w:ascii="楷体_GB2312" w:hAnsi="楷体_GB2312" w:eastAsia="楷体_GB2312" w:cs="楷体_GB2312"/>
          <w:color w:val="auto"/>
          <w:kern w:val="2"/>
          <w:sz w:val="32"/>
          <w:szCs w:val="32"/>
          <w:highlight w:val="none"/>
          <w:lang w:val="en-US" w:eastAsia="zh-CN" w:bidi="ar-SA"/>
        </w:rPr>
      </w:pPr>
      <w:r>
        <w:rPr>
          <w:rFonts w:hint="eastAsia" w:ascii="楷体_GB2312" w:hAnsi="楷体_GB2312" w:eastAsia="楷体_GB2312" w:cs="楷体_GB2312"/>
          <w:color w:val="auto"/>
          <w:kern w:val="2"/>
          <w:sz w:val="32"/>
          <w:szCs w:val="32"/>
          <w:highlight w:val="none"/>
          <w:lang w:val="en-US" w:eastAsia="zh-CN" w:bidi="ar-SA"/>
        </w:rPr>
        <w:t>（四）部门履职效益</w:t>
      </w:r>
    </w:p>
    <w:p w14:paraId="4E08EF27">
      <w:pPr>
        <w:pStyle w:val="9"/>
        <w:keepNext w:val="0"/>
        <w:keepLines w:val="0"/>
        <w:pageBreakBefore w:val="0"/>
        <w:widowControl w:val="0"/>
        <w:numPr>
          <w:ilvl w:val="0"/>
          <w:numId w:val="0"/>
        </w:numPr>
        <w:kinsoku/>
        <w:wordWrap/>
        <w:overflowPunct/>
        <w:topLinePunct w:val="0"/>
        <w:autoSpaceDE/>
        <w:autoSpaceDN/>
        <w:bidi w:val="0"/>
        <w:adjustRightInd/>
        <w:snapToGrid/>
        <w:spacing w:line="576" w:lineRule="exact"/>
        <w:ind w:right="0" w:rightChars="0" w:firstLine="640" w:firstLineChars="200"/>
        <w:jc w:val="both"/>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部门履职效益指标满分25分，其中社会效益指标5分，可持续影响指标5分，生态效益指标5分，可持续发展指标5分，服务对象满意度指标5分。</w:t>
      </w:r>
    </w:p>
    <w:p w14:paraId="3913A967">
      <w:pPr>
        <w:pStyle w:val="9"/>
        <w:keepNext w:val="0"/>
        <w:keepLines w:val="0"/>
        <w:pageBreakBefore w:val="0"/>
        <w:widowControl w:val="0"/>
        <w:numPr>
          <w:ilvl w:val="0"/>
          <w:numId w:val="0"/>
        </w:numPr>
        <w:kinsoku/>
        <w:wordWrap/>
        <w:overflowPunct/>
        <w:topLinePunct w:val="0"/>
        <w:autoSpaceDE/>
        <w:autoSpaceDN/>
        <w:bidi w:val="0"/>
        <w:adjustRightInd/>
        <w:snapToGrid/>
        <w:spacing w:line="576" w:lineRule="exact"/>
        <w:ind w:right="0" w:rightChars="0" w:firstLine="640" w:firstLineChars="200"/>
        <w:jc w:val="both"/>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本项绩效指标得分24.8分。</w:t>
      </w:r>
    </w:p>
    <w:p w14:paraId="476326FD">
      <w:pPr>
        <w:pStyle w:val="9"/>
        <w:keepNext w:val="0"/>
        <w:keepLines w:val="0"/>
        <w:pageBreakBefore w:val="0"/>
        <w:widowControl w:val="0"/>
        <w:numPr>
          <w:ilvl w:val="0"/>
          <w:numId w:val="0"/>
        </w:numPr>
        <w:kinsoku/>
        <w:wordWrap/>
        <w:overflowPunct/>
        <w:topLinePunct w:val="0"/>
        <w:autoSpaceDE/>
        <w:autoSpaceDN/>
        <w:bidi w:val="0"/>
        <w:adjustRightInd/>
        <w:snapToGrid/>
        <w:spacing w:line="576" w:lineRule="exact"/>
        <w:ind w:right="0" w:rightChars="0" w:firstLine="640" w:firstLineChars="200"/>
        <w:jc w:val="both"/>
        <w:textAlignment w:val="auto"/>
        <w:rPr>
          <w:rFonts w:hint="default" w:ascii="仿宋" w:hAnsi="仿宋" w:eastAsia="仿宋" w:cs="仿宋"/>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其中：服务对象满意度指标5分，评价组以访谈形式对部分服务对象进行沟通，均表示满意，但访谈无法覆盖全部用户，不排除还有需改进的内容，此项得分为4.8分。</w:t>
      </w:r>
    </w:p>
    <w:tbl>
      <w:tblPr>
        <w:tblStyle w:val="6"/>
        <w:tblW w:w="4703"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411"/>
        <w:gridCol w:w="4449"/>
        <w:gridCol w:w="1663"/>
      </w:tblGrid>
      <w:tr w14:paraId="39741A30">
        <w:trPr>
          <w:trHeight w:val="280" w:hRule="atLeast"/>
        </w:trPr>
        <w:tc>
          <w:tcPr>
            <w:tcW w:w="1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3BAB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一级指标</w:t>
            </w:r>
          </w:p>
        </w:tc>
        <w:tc>
          <w:tcPr>
            <w:tcW w:w="2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4A03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二级指标</w:t>
            </w:r>
          </w:p>
        </w:tc>
        <w:tc>
          <w:tcPr>
            <w:tcW w:w="9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EDF3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cs="宋体"/>
                <w:i w:val="0"/>
                <w:iCs w:val="0"/>
                <w:color w:val="auto"/>
                <w:sz w:val="24"/>
                <w:szCs w:val="24"/>
                <w:highlight w:val="none"/>
                <w:u w:val="none"/>
                <w:lang w:val="en-US" w:eastAsia="zh-CN"/>
              </w:rPr>
              <w:t>得分</w:t>
            </w:r>
          </w:p>
        </w:tc>
      </w:tr>
      <w:tr w14:paraId="66F58C0F">
        <w:trPr>
          <w:trHeight w:val="280" w:hRule="atLeast"/>
        </w:trPr>
        <w:tc>
          <w:tcPr>
            <w:tcW w:w="141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A1349">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部门履职效益</w:t>
            </w:r>
          </w:p>
          <w:p w14:paraId="4BC2528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（25分）</w:t>
            </w:r>
          </w:p>
        </w:tc>
        <w:tc>
          <w:tcPr>
            <w:tcW w:w="2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CFD58">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社会效益</w:t>
            </w:r>
          </w:p>
        </w:tc>
        <w:tc>
          <w:tcPr>
            <w:tcW w:w="9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F6B0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r>
      <w:tr w14:paraId="27EB84A6">
        <w:trPr>
          <w:trHeight w:val="280" w:hRule="atLeast"/>
        </w:trPr>
        <w:tc>
          <w:tcPr>
            <w:tcW w:w="141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E7225">
            <w:pPr>
              <w:jc w:val="center"/>
              <w:rPr>
                <w:rFonts w:hint="eastAsia" w:ascii="宋体" w:hAnsi="宋体" w:eastAsia="宋体" w:cs="宋体"/>
                <w:i w:val="0"/>
                <w:iCs w:val="0"/>
                <w:color w:val="auto"/>
                <w:sz w:val="24"/>
                <w:szCs w:val="24"/>
                <w:highlight w:val="none"/>
                <w:u w:val="none"/>
              </w:rPr>
            </w:pPr>
          </w:p>
        </w:tc>
        <w:tc>
          <w:tcPr>
            <w:tcW w:w="2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6FAC4">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可持续影响</w:t>
            </w:r>
          </w:p>
        </w:tc>
        <w:tc>
          <w:tcPr>
            <w:tcW w:w="9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08E7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r>
      <w:tr w14:paraId="2F10EA97">
        <w:trPr>
          <w:trHeight w:val="280" w:hRule="atLeast"/>
        </w:trPr>
        <w:tc>
          <w:tcPr>
            <w:tcW w:w="141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2330C">
            <w:pPr>
              <w:jc w:val="center"/>
              <w:rPr>
                <w:rFonts w:hint="eastAsia" w:ascii="宋体" w:hAnsi="宋体" w:eastAsia="宋体" w:cs="宋体"/>
                <w:i w:val="0"/>
                <w:iCs w:val="0"/>
                <w:color w:val="auto"/>
                <w:sz w:val="24"/>
                <w:szCs w:val="24"/>
                <w:highlight w:val="none"/>
                <w:u w:val="none"/>
              </w:rPr>
            </w:pPr>
          </w:p>
        </w:tc>
        <w:tc>
          <w:tcPr>
            <w:tcW w:w="2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A4F4A">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生态效益</w:t>
            </w:r>
          </w:p>
        </w:tc>
        <w:tc>
          <w:tcPr>
            <w:tcW w:w="9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722F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r>
      <w:tr w14:paraId="7189E4D5">
        <w:trPr>
          <w:trHeight w:val="280" w:hRule="atLeast"/>
        </w:trPr>
        <w:tc>
          <w:tcPr>
            <w:tcW w:w="141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E2A02">
            <w:pPr>
              <w:jc w:val="center"/>
              <w:rPr>
                <w:rFonts w:hint="eastAsia" w:ascii="宋体" w:hAnsi="宋体" w:eastAsia="宋体" w:cs="宋体"/>
                <w:i w:val="0"/>
                <w:iCs w:val="0"/>
                <w:color w:val="auto"/>
                <w:sz w:val="24"/>
                <w:szCs w:val="24"/>
                <w:highlight w:val="none"/>
                <w:u w:val="none"/>
              </w:rPr>
            </w:pPr>
          </w:p>
        </w:tc>
        <w:tc>
          <w:tcPr>
            <w:tcW w:w="2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6F838">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可持续发展</w:t>
            </w:r>
          </w:p>
        </w:tc>
        <w:tc>
          <w:tcPr>
            <w:tcW w:w="9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FB2F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r>
      <w:tr w14:paraId="75E5CB0B">
        <w:trPr>
          <w:trHeight w:val="280" w:hRule="atLeast"/>
        </w:trPr>
        <w:tc>
          <w:tcPr>
            <w:tcW w:w="141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5DC9A">
            <w:pPr>
              <w:jc w:val="center"/>
              <w:rPr>
                <w:rFonts w:hint="eastAsia" w:ascii="宋体" w:hAnsi="宋体" w:eastAsia="宋体" w:cs="宋体"/>
                <w:i w:val="0"/>
                <w:iCs w:val="0"/>
                <w:color w:val="auto"/>
                <w:sz w:val="24"/>
                <w:szCs w:val="24"/>
                <w:highlight w:val="none"/>
                <w:u w:val="none"/>
              </w:rPr>
            </w:pPr>
          </w:p>
        </w:tc>
        <w:tc>
          <w:tcPr>
            <w:tcW w:w="2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B50F3">
            <w:pPr>
              <w:keepNext w:val="0"/>
              <w:keepLines w:val="0"/>
              <w:widowControl/>
              <w:suppressLineNumbers w:val="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服务对象满意度</w:t>
            </w:r>
          </w:p>
        </w:tc>
        <w:tc>
          <w:tcPr>
            <w:tcW w:w="9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8E4E7">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eastAsia="zh-CN"/>
              </w:rPr>
            </w:pPr>
            <w:r>
              <w:rPr>
                <w:rFonts w:hint="eastAsia" w:ascii="宋体" w:hAnsi="宋体" w:cs="宋体"/>
                <w:i w:val="0"/>
                <w:iCs w:val="0"/>
                <w:color w:val="auto"/>
                <w:sz w:val="24"/>
                <w:szCs w:val="24"/>
                <w:highlight w:val="none"/>
                <w:u w:val="none"/>
                <w:lang w:val="en-US" w:eastAsia="zh-CN"/>
              </w:rPr>
              <w:t>4.8</w:t>
            </w:r>
          </w:p>
        </w:tc>
      </w:tr>
    </w:tbl>
    <w:p w14:paraId="38701C40">
      <w:pPr>
        <w:pStyle w:val="2"/>
        <w:keepNext w:val="0"/>
        <w:keepLines w:val="0"/>
        <w:pageBreakBefore w:val="0"/>
        <w:widowControl w:val="0"/>
        <w:numPr>
          <w:ilvl w:val="0"/>
          <w:numId w:val="0"/>
        </w:numPr>
        <w:kinsoku/>
        <w:wordWrap/>
        <w:overflowPunct/>
        <w:topLinePunct w:val="0"/>
        <w:autoSpaceDE/>
        <w:autoSpaceDN/>
        <w:bidi w:val="0"/>
        <w:adjustRightInd w:val="0"/>
        <w:snapToGrid/>
        <w:spacing w:line="576" w:lineRule="exact"/>
        <w:ind w:leftChars="0" w:firstLine="640" w:firstLineChars="200"/>
        <w:textAlignment w:val="baseline"/>
        <w:rPr>
          <w:rFonts w:hint="eastAsia" w:ascii="楷体_GB2312" w:hAnsi="楷体_GB2312" w:eastAsia="楷体_GB2312" w:cs="楷体_GB2312"/>
          <w:color w:val="auto"/>
          <w:kern w:val="2"/>
          <w:sz w:val="32"/>
          <w:szCs w:val="32"/>
          <w:highlight w:val="none"/>
          <w:lang w:val="en-US" w:eastAsia="zh-CN" w:bidi="ar-SA"/>
        </w:rPr>
      </w:pPr>
      <w:r>
        <w:rPr>
          <w:rFonts w:hint="eastAsia" w:ascii="楷体_GB2312" w:hAnsi="楷体_GB2312" w:eastAsia="楷体_GB2312" w:cs="楷体_GB2312"/>
          <w:color w:val="auto"/>
          <w:kern w:val="2"/>
          <w:sz w:val="32"/>
          <w:szCs w:val="32"/>
          <w:highlight w:val="none"/>
          <w:lang w:val="en-US" w:eastAsia="zh-CN" w:bidi="ar-SA"/>
        </w:rPr>
        <w:t>（五）分项绩效目标实现分析</w:t>
      </w:r>
    </w:p>
    <w:p w14:paraId="2D6C15EC">
      <w:pPr>
        <w:pStyle w:val="3"/>
        <w:keepNext w:val="0"/>
        <w:keepLines w:val="0"/>
        <w:pageBreakBefore w:val="0"/>
        <w:widowControl w:val="0"/>
        <w:numPr>
          <w:ilvl w:val="1"/>
          <w:numId w:val="12"/>
        </w:numPr>
        <w:kinsoku/>
        <w:wordWrap/>
        <w:overflowPunct/>
        <w:topLinePunct w:val="0"/>
        <w:autoSpaceDE/>
        <w:autoSpaceDN/>
        <w:bidi w:val="0"/>
        <w:adjustRightInd/>
        <w:snapToGrid/>
        <w:spacing w:after="0" w:line="576" w:lineRule="exact"/>
        <w:ind w:left="-10" w:leftChars="0" w:right="0" w:rightChars="0" w:firstLine="640" w:firstLineChars="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 xml:space="preserve">智能化视频应用，全面提升城市数字化管理水平 </w:t>
      </w:r>
    </w:p>
    <w:p w14:paraId="0C75A714">
      <w:pPr>
        <w:pStyle w:val="3"/>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right="0" w:rightChars="0" w:firstLine="643" w:firstLineChars="2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b/>
          <w:bCs/>
          <w:color w:val="auto"/>
          <w:sz w:val="32"/>
          <w:szCs w:val="32"/>
          <w:highlight w:val="none"/>
          <w:lang w:val="en-US" w:eastAsia="zh-CN"/>
        </w:rPr>
        <w:t>绩效目标</w:t>
      </w:r>
      <w:r>
        <w:rPr>
          <w:rFonts w:hint="default" w:ascii="仿宋_GB2312" w:hAnsi="仿宋_GB2312" w:eastAsia="仿宋_GB2312" w:cs="仿宋_GB2312"/>
          <w:color w:val="auto"/>
          <w:sz w:val="32"/>
          <w:szCs w:val="32"/>
          <w:highlight w:val="none"/>
          <w:lang w:val="en-US" w:eastAsia="zh-CN"/>
        </w:rPr>
        <w:t xml:space="preserve">：依托视频联网、大数据、人工智能等先进技术，实现全市视频图像资源的一体化整合、接入、管理、解析和运维等，建设全市视频云中台。 </w:t>
      </w:r>
    </w:p>
    <w:p w14:paraId="4CEF0B39">
      <w:pPr>
        <w:pStyle w:val="3"/>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right="0" w:rightChars="0" w:firstLine="643" w:firstLineChars="2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b/>
          <w:bCs/>
          <w:color w:val="auto"/>
          <w:sz w:val="32"/>
          <w:szCs w:val="32"/>
          <w:highlight w:val="none"/>
          <w:lang w:val="en-US" w:eastAsia="zh-CN"/>
        </w:rPr>
        <w:t>绩效指标</w:t>
      </w:r>
      <w:r>
        <w:rPr>
          <w:rFonts w:hint="default" w:ascii="仿宋_GB2312" w:hAnsi="仿宋_GB2312" w:eastAsia="仿宋_GB2312" w:cs="仿宋_GB2312"/>
          <w:color w:val="auto"/>
          <w:sz w:val="32"/>
          <w:szCs w:val="32"/>
          <w:highlight w:val="none"/>
          <w:lang w:val="en-US" w:eastAsia="zh-CN"/>
        </w:rPr>
        <w:t>：整合汇聚全市视频监控资源，推进重点领域视频感知终端升级与补点建设，强化全市视频终端的建设和统一管理。</w:t>
      </w:r>
    </w:p>
    <w:p w14:paraId="00FB4065">
      <w:pPr>
        <w:pStyle w:val="3"/>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right="0" w:rightChars="0" w:firstLine="643" w:firstLineChars="2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b/>
          <w:bCs/>
          <w:color w:val="auto"/>
          <w:sz w:val="32"/>
          <w:szCs w:val="32"/>
          <w:highlight w:val="none"/>
          <w:lang w:val="en-US" w:eastAsia="zh-CN"/>
        </w:rPr>
        <w:t>分项绩效目标实现情况</w:t>
      </w:r>
      <w:r>
        <w:rPr>
          <w:rFonts w:hint="default" w:ascii="仿宋_GB2312" w:hAnsi="仿宋_GB2312" w:eastAsia="仿宋_GB2312" w:cs="仿宋_GB2312"/>
          <w:color w:val="auto"/>
          <w:sz w:val="32"/>
          <w:szCs w:val="32"/>
          <w:highlight w:val="none"/>
          <w:lang w:val="en-US" w:eastAsia="zh-CN"/>
        </w:rPr>
        <w:t>：</w:t>
      </w:r>
    </w:p>
    <w:p w14:paraId="13A3D800">
      <w:pPr>
        <w:pStyle w:val="3"/>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right="0" w:rightChars="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启动建设了石家庄市城市运行管理中心一期（视频云中台）项目，构建视频云平台及视频保障体系，实现城市公共区域视频监控资源的汇聚治理、融合解析及共享服务，赋能各部门快速构建可视化、智能化的视频应用能力，辅助构建现代化治理能力，提升城市精细化管理水平，统筹视频等城市感知终端的布局和建设，加快构建“城市感知网”统一体系。</w:t>
      </w:r>
    </w:p>
    <w:p w14:paraId="5C3A2023">
      <w:pPr>
        <w:pStyle w:val="3"/>
        <w:keepNext w:val="0"/>
        <w:keepLines w:val="0"/>
        <w:pageBreakBefore w:val="0"/>
        <w:widowControl w:val="0"/>
        <w:numPr>
          <w:ilvl w:val="1"/>
          <w:numId w:val="12"/>
        </w:numPr>
        <w:kinsoku/>
        <w:wordWrap/>
        <w:overflowPunct/>
        <w:topLinePunct w:val="0"/>
        <w:autoSpaceDE/>
        <w:autoSpaceDN/>
        <w:bidi w:val="0"/>
        <w:adjustRightInd/>
        <w:snapToGrid/>
        <w:spacing w:after="0" w:line="576" w:lineRule="exact"/>
        <w:ind w:left="-10" w:leftChars="0" w:right="0" w:rightChars="0" w:firstLine="640" w:firstLineChars="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 xml:space="preserve">继续提升政务服务信息化水平，助力营商环境持续优化       </w:t>
      </w:r>
    </w:p>
    <w:p w14:paraId="414DF17F">
      <w:pPr>
        <w:pStyle w:val="3"/>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right="0" w:rightChars="0" w:firstLine="643" w:firstLineChars="2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b/>
          <w:bCs/>
          <w:color w:val="auto"/>
          <w:sz w:val="32"/>
          <w:szCs w:val="32"/>
          <w:highlight w:val="none"/>
          <w:lang w:val="en-US" w:eastAsia="zh-CN"/>
        </w:rPr>
        <w:t>绩效目标</w:t>
      </w:r>
      <w:r>
        <w:rPr>
          <w:rFonts w:hint="default" w:ascii="仿宋_GB2312" w:hAnsi="仿宋_GB2312" w:eastAsia="仿宋_GB2312" w:cs="仿宋_GB2312"/>
          <w:color w:val="auto"/>
          <w:sz w:val="32"/>
          <w:szCs w:val="32"/>
          <w:highlight w:val="none"/>
          <w:lang w:val="en-US" w:eastAsia="zh-CN"/>
        </w:rPr>
        <w:t>：依托一体化政务服务平台，聚焦企业和群众常办事项，推进更多政务服务事项从“网上能办”向“网上好办”升级。</w:t>
      </w:r>
    </w:p>
    <w:p w14:paraId="6256F766">
      <w:pPr>
        <w:pStyle w:val="3"/>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right="0" w:rightChars="0" w:firstLine="643" w:firstLineChars="2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b/>
          <w:bCs/>
          <w:color w:val="auto"/>
          <w:sz w:val="32"/>
          <w:szCs w:val="32"/>
          <w:highlight w:val="none"/>
          <w:lang w:val="en-US" w:eastAsia="zh-CN"/>
        </w:rPr>
        <w:t>绩效指标</w:t>
      </w:r>
      <w:r>
        <w:rPr>
          <w:rFonts w:hint="default" w:ascii="仿宋_GB2312" w:hAnsi="仿宋_GB2312" w:eastAsia="仿宋_GB2312" w:cs="仿宋_GB2312"/>
          <w:color w:val="auto"/>
          <w:sz w:val="32"/>
          <w:szCs w:val="32"/>
          <w:highlight w:val="none"/>
          <w:lang w:val="en-US" w:eastAsia="zh-CN"/>
        </w:rPr>
        <w:t>：围绕企业和群众简单高效办成一件事，推进高频政务服务事项实现“掌上办”，增强企业和群众便捷化、高效化的移动政务服务体验。</w:t>
      </w:r>
    </w:p>
    <w:p w14:paraId="30417F86">
      <w:pPr>
        <w:pStyle w:val="3"/>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right="0" w:rightChars="0" w:firstLine="643" w:firstLineChars="200"/>
        <w:textAlignment w:val="auto"/>
        <w:rPr>
          <w:rFonts w:hint="default" w:ascii="仿宋_GB2312" w:hAnsi="仿宋_GB2312" w:eastAsia="仿宋_GB2312" w:cs="仿宋_GB2312"/>
          <w:b/>
          <w:bCs/>
          <w:color w:val="auto"/>
          <w:sz w:val="32"/>
          <w:szCs w:val="32"/>
          <w:highlight w:val="none"/>
          <w:lang w:val="en-US" w:eastAsia="zh-CN"/>
        </w:rPr>
      </w:pPr>
      <w:r>
        <w:rPr>
          <w:rFonts w:hint="default" w:ascii="仿宋_GB2312" w:hAnsi="仿宋_GB2312" w:eastAsia="仿宋_GB2312" w:cs="仿宋_GB2312"/>
          <w:b/>
          <w:bCs/>
          <w:color w:val="auto"/>
          <w:sz w:val="32"/>
          <w:szCs w:val="32"/>
          <w:highlight w:val="none"/>
          <w:lang w:val="en-US" w:eastAsia="zh-CN"/>
        </w:rPr>
        <w:t>分项绩效目标实现情况：</w:t>
      </w:r>
    </w:p>
    <w:p w14:paraId="2A42DA69">
      <w:pPr>
        <w:pStyle w:val="3"/>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right="0" w:rightChars="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更多服务实现“掌上办”、“指尖办”突出创新应用，政府数字化履职能力不断提升。</w:t>
      </w:r>
    </w:p>
    <w:p w14:paraId="1163ADCE">
      <w:pPr>
        <w:pStyle w:val="3"/>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right="0" w:rightChars="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建设了“掌上石家庄·石i民”APP，于2023年4月3日正式上线运行，作为我市一站式城市服务移动端总入口。上线后，我局围绕民生热点、高频事项，先后新增了中考成绩查询、义务入学报名、地铁乘车、供暖缴费等服务。截至2023年底，“石i民”APP已汇集了民政、人社、卫健、医保、文旅、体育等38个部门200余项公共服务事项，注册用户数已达116万余人。</w:t>
      </w:r>
    </w:p>
    <w:p w14:paraId="5E66D770">
      <w:pPr>
        <w:pStyle w:val="3"/>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right="0" w:rightChars="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在省内率先打造了第一个数字化政企综合服务平台“石i企”，汇集国家、省、市三级稳经济政策、助企惠企政策，实现企业诉求“一键提”，政府部门“速反馈”，扶持政策“一站汇”，精准服务“更匹配”。目前，平台注册用户超18.24万，认证企业19.18万家。</w:t>
      </w:r>
    </w:p>
    <w:p w14:paraId="04874D57">
      <w:pPr>
        <w:pStyle w:val="3"/>
        <w:keepNext w:val="0"/>
        <w:keepLines w:val="0"/>
        <w:pageBreakBefore w:val="0"/>
        <w:widowControl w:val="0"/>
        <w:numPr>
          <w:ilvl w:val="1"/>
          <w:numId w:val="12"/>
        </w:numPr>
        <w:kinsoku/>
        <w:wordWrap/>
        <w:overflowPunct/>
        <w:topLinePunct w:val="0"/>
        <w:autoSpaceDE/>
        <w:autoSpaceDN/>
        <w:bidi w:val="0"/>
        <w:adjustRightInd/>
        <w:snapToGrid/>
        <w:spacing w:after="0" w:line="576" w:lineRule="exact"/>
        <w:ind w:left="-10" w:leftChars="0" w:right="0" w:rightChars="0" w:firstLine="640" w:firstLineChars="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 w:val="0"/>
          <w:bCs w:val="0"/>
          <w:color w:val="auto"/>
          <w:kern w:val="0"/>
          <w:sz w:val="32"/>
          <w:szCs w:val="32"/>
          <w:highlight w:val="none"/>
          <w:lang w:val="en-US" w:eastAsia="zh-CN" w:bidi="ar"/>
        </w:rPr>
        <w:t>信息化项目全流程管理</w:t>
      </w:r>
    </w:p>
    <w:p w14:paraId="54608645">
      <w:pPr>
        <w:pStyle w:val="3"/>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right="0" w:rightChars="0" w:firstLine="643" w:firstLineChars="2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b/>
          <w:bCs/>
          <w:color w:val="auto"/>
          <w:sz w:val="32"/>
          <w:szCs w:val="32"/>
          <w:highlight w:val="none"/>
          <w:lang w:val="en-US" w:eastAsia="zh-CN"/>
        </w:rPr>
        <w:t>绩效目标：</w:t>
      </w:r>
      <w:r>
        <w:rPr>
          <w:rFonts w:hint="default" w:ascii="仿宋_GB2312" w:hAnsi="仿宋_GB2312" w:eastAsia="仿宋_GB2312" w:cs="仿宋_GB2312"/>
          <w:color w:val="auto"/>
          <w:sz w:val="32"/>
          <w:szCs w:val="32"/>
          <w:highlight w:val="none"/>
          <w:lang w:val="en-US" w:eastAsia="zh-CN"/>
        </w:rPr>
        <w:t>按照国家及省市相关规定，结合我市情况，完善各项管理制度，加强信息化项目全流程管理。</w:t>
      </w:r>
    </w:p>
    <w:p w14:paraId="18DCB151">
      <w:pPr>
        <w:pStyle w:val="3"/>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right="0" w:rightChars="0" w:firstLine="643" w:firstLineChars="2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b/>
          <w:bCs/>
          <w:color w:val="auto"/>
          <w:sz w:val="32"/>
          <w:szCs w:val="32"/>
          <w:highlight w:val="none"/>
          <w:lang w:val="en-US" w:eastAsia="zh-CN"/>
        </w:rPr>
        <w:t>绩效指标：</w:t>
      </w:r>
      <w:r>
        <w:rPr>
          <w:rFonts w:hint="default" w:ascii="仿宋_GB2312" w:hAnsi="仿宋_GB2312" w:eastAsia="仿宋_GB2312" w:cs="仿宋_GB2312"/>
          <w:color w:val="auto"/>
          <w:sz w:val="32"/>
          <w:szCs w:val="32"/>
          <w:highlight w:val="none"/>
          <w:lang w:val="en-US" w:eastAsia="zh-CN"/>
        </w:rPr>
        <w:t>按照《石家庄市市级政务信息化项目管理办法》完成市级新建政务信息化项目的评审，保障全市90%以上使用市级财政资金的新建政务信息化项目建设方案经专家评审论证，节约财政资金比例大于15%；做好 2022 年建设项目后期管理等相关工作。</w:t>
      </w:r>
    </w:p>
    <w:p w14:paraId="6D7362EE">
      <w:pPr>
        <w:pStyle w:val="3"/>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right="0" w:rightChars="0" w:firstLine="643" w:firstLineChars="2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b/>
          <w:bCs/>
          <w:color w:val="auto"/>
          <w:sz w:val="32"/>
          <w:szCs w:val="32"/>
          <w:highlight w:val="none"/>
          <w:lang w:val="en-US" w:eastAsia="zh-CN"/>
        </w:rPr>
        <w:t>分项绩效目标实现情况：</w:t>
      </w:r>
    </w:p>
    <w:p w14:paraId="0575C65D">
      <w:pPr>
        <w:pStyle w:val="3"/>
        <w:keepNext w:val="0"/>
        <w:keepLines w:val="0"/>
        <w:pageBreakBefore w:val="0"/>
        <w:widowControl w:val="0"/>
        <w:numPr>
          <w:ilvl w:val="2"/>
          <w:numId w:val="13"/>
        </w:numPr>
        <w:kinsoku/>
        <w:wordWrap/>
        <w:overflowPunct/>
        <w:topLinePunct w:val="0"/>
        <w:autoSpaceDE/>
        <w:autoSpaceDN/>
        <w:bidi w:val="0"/>
        <w:adjustRightInd/>
        <w:snapToGrid/>
        <w:spacing w:after="0" w:line="576" w:lineRule="exact"/>
        <w:ind w:left="0" w:leftChars="0" w:right="0" w:rightChars="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按照国家及省市相关规定，结合石家庄市情况，修订完善了《石家庄市市级政务信息化项目管理办法》《石家庄市市级政务信息化项目验收管理办法》，加强信息化项目全流程管理。</w:t>
      </w:r>
    </w:p>
    <w:p w14:paraId="557781A4">
      <w:pPr>
        <w:pStyle w:val="3"/>
        <w:keepNext w:val="0"/>
        <w:keepLines w:val="0"/>
        <w:pageBreakBefore w:val="0"/>
        <w:widowControl w:val="0"/>
        <w:numPr>
          <w:ilvl w:val="2"/>
          <w:numId w:val="13"/>
        </w:numPr>
        <w:kinsoku/>
        <w:wordWrap/>
        <w:overflowPunct/>
        <w:topLinePunct w:val="0"/>
        <w:autoSpaceDE/>
        <w:autoSpaceDN/>
        <w:bidi w:val="0"/>
        <w:adjustRightInd/>
        <w:snapToGrid/>
        <w:spacing w:after="0" w:line="576" w:lineRule="exact"/>
        <w:ind w:left="0" w:leftChars="0" w:right="0" w:rightChars="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按照《石家庄市市级政务信息化项目管理办法》，2023年完成119项目/次专家评审论证，市级财政资金新建政务信息化项目评审覆盖率100%，超过年初预设的90%标准；节约财政资金超过25% ，节约资金比率高于年初预设的15%标准。</w:t>
      </w:r>
    </w:p>
    <w:p w14:paraId="4A80F353">
      <w:pPr>
        <w:pStyle w:val="3"/>
        <w:keepNext w:val="0"/>
        <w:keepLines w:val="0"/>
        <w:pageBreakBefore w:val="0"/>
        <w:widowControl w:val="0"/>
        <w:numPr>
          <w:ilvl w:val="2"/>
          <w:numId w:val="13"/>
        </w:numPr>
        <w:kinsoku/>
        <w:wordWrap/>
        <w:overflowPunct/>
        <w:topLinePunct w:val="0"/>
        <w:autoSpaceDE/>
        <w:autoSpaceDN/>
        <w:bidi w:val="0"/>
        <w:adjustRightInd/>
        <w:snapToGrid/>
        <w:spacing w:after="0" w:line="576" w:lineRule="exact"/>
        <w:ind w:left="0" w:leftChars="0" w:right="0" w:rightChars="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做好 2022 年建设项目后期管理等相关工作。</w:t>
      </w:r>
    </w:p>
    <w:p w14:paraId="0566E396">
      <w:pPr>
        <w:pStyle w:val="3"/>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right="0" w:rightChars="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2023年，承担了174个部门及单位1131项运维需求，包括原有的统运维项目以及新增的2022年建设项目的运维管理工作。在统一运维工作中，不断加强对运维单位的监督管理，强化与使用部门沟通联系，先后到重点使用单位实地调研10余次，接待并回访使用单位50余次，协调解决设备更换、线路改造等紧急事项120余件，有效提升了全市政务信息化系统整体运行效率。</w:t>
      </w:r>
    </w:p>
    <w:p w14:paraId="68923D50">
      <w:pPr>
        <w:pStyle w:val="3"/>
        <w:keepNext w:val="0"/>
        <w:keepLines w:val="0"/>
        <w:pageBreakBefore w:val="0"/>
        <w:widowControl w:val="0"/>
        <w:numPr>
          <w:ilvl w:val="1"/>
          <w:numId w:val="12"/>
        </w:numPr>
        <w:kinsoku/>
        <w:wordWrap/>
        <w:overflowPunct/>
        <w:topLinePunct w:val="0"/>
        <w:autoSpaceDE/>
        <w:autoSpaceDN/>
        <w:bidi w:val="0"/>
        <w:adjustRightInd/>
        <w:snapToGrid/>
        <w:spacing w:after="0" w:line="576" w:lineRule="exact"/>
        <w:ind w:left="-10" w:leftChars="0" w:right="0" w:rightChars="0" w:firstLine="640" w:firstLineChars="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 w:val="0"/>
          <w:bCs w:val="0"/>
          <w:color w:val="auto"/>
          <w:kern w:val="0"/>
          <w:sz w:val="32"/>
          <w:szCs w:val="32"/>
          <w:highlight w:val="none"/>
          <w:lang w:val="en-US" w:eastAsia="zh-CN" w:bidi="ar"/>
        </w:rPr>
        <w:t>电子政务外网网络和安全</w:t>
      </w:r>
    </w:p>
    <w:p w14:paraId="4F071FA6">
      <w:pPr>
        <w:pStyle w:val="3"/>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right="0" w:rightChars="0" w:firstLine="643" w:firstLineChars="2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b/>
          <w:bCs/>
          <w:color w:val="auto"/>
          <w:sz w:val="32"/>
          <w:szCs w:val="32"/>
          <w:highlight w:val="none"/>
          <w:lang w:val="en-US" w:eastAsia="zh-CN"/>
        </w:rPr>
        <w:t>绩效目标：</w:t>
      </w:r>
      <w:r>
        <w:rPr>
          <w:rFonts w:hint="default" w:ascii="仿宋_GB2312" w:hAnsi="仿宋_GB2312" w:eastAsia="仿宋_GB2312" w:cs="仿宋_GB2312"/>
          <w:color w:val="auto"/>
          <w:sz w:val="32"/>
          <w:szCs w:val="32"/>
          <w:highlight w:val="none"/>
          <w:lang w:val="en-US" w:eastAsia="zh-CN"/>
        </w:rPr>
        <w:t xml:space="preserve">按照国家和省相关规定，积极推进我市电子政务外网横向到边纵向到底的全面覆盖，保障电子政务外网网络安全、稳定、高效运行。 </w:t>
      </w:r>
    </w:p>
    <w:p w14:paraId="4860DED4">
      <w:pPr>
        <w:pStyle w:val="3"/>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right="0" w:rightChars="0" w:firstLine="643" w:firstLineChars="2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b/>
          <w:bCs/>
          <w:color w:val="auto"/>
          <w:sz w:val="32"/>
          <w:szCs w:val="32"/>
          <w:highlight w:val="none"/>
          <w:lang w:val="en-US" w:eastAsia="zh-CN"/>
        </w:rPr>
        <w:t>绩效指标：</w:t>
      </w:r>
      <w:r>
        <w:rPr>
          <w:rFonts w:hint="default" w:ascii="仿宋_GB2312" w:hAnsi="仿宋_GB2312" w:eastAsia="仿宋_GB2312" w:cs="仿宋_GB2312"/>
          <w:color w:val="auto"/>
          <w:sz w:val="32"/>
          <w:szCs w:val="32"/>
          <w:highlight w:val="none"/>
          <w:lang w:val="en-US" w:eastAsia="zh-CN"/>
        </w:rPr>
        <w:t xml:space="preserve">加强电子政务外网网络安全基础设施建设，做好机房内网络设备、安全设备、基础环境设施的日常巡检。完成主要设备及系统的硬件维护、软件升级以及网络维护（故障处理）服务。保证系统故障率小于 10%，故障维护及时率大于 90%。完成电子政务外网、办公专网及互联网的线路维护工作，保证网络安全、稳定运行。保证线路故障率小于5%，非正常断网率小于5%，故障排除率大于 98%。根据相关法规、标准和行业规范，组织实施政务网络等系统的等保测评工作，对发现的问题及时做出整改和调整。 </w:t>
      </w:r>
    </w:p>
    <w:p w14:paraId="22E53503">
      <w:pPr>
        <w:pStyle w:val="3"/>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right="0" w:rightChars="0" w:firstLine="643" w:firstLineChars="200"/>
        <w:textAlignment w:val="auto"/>
        <w:rPr>
          <w:rFonts w:hint="default" w:ascii="仿宋_GB2312" w:hAnsi="仿宋_GB2312" w:eastAsia="仿宋_GB2312" w:cs="仿宋_GB2312"/>
          <w:b/>
          <w:bCs/>
          <w:color w:val="auto"/>
          <w:sz w:val="32"/>
          <w:szCs w:val="32"/>
          <w:highlight w:val="none"/>
          <w:lang w:val="en-US" w:eastAsia="zh-CN"/>
        </w:rPr>
      </w:pPr>
      <w:r>
        <w:rPr>
          <w:rFonts w:hint="default" w:ascii="仿宋_GB2312" w:hAnsi="仿宋_GB2312" w:eastAsia="仿宋_GB2312" w:cs="仿宋_GB2312"/>
          <w:b/>
          <w:bCs/>
          <w:color w:val="auto"/>
          <w:sz w:val="32"/>
          <w:szCs w:val="32"/>
          <w:highlight w:val="none"/>
          <w:lang w:val="en-US" w:eastAsia="zh-CN"/>
        </w:rPr>
        <w:t>分项绩效目标实现情况：</w:t>
      </w:r>
    </w:p>
    <w:p w14:paraId="177C7103">
      <w:pPr>
        <w:pStyle w:val="3"/>
        <w:keepNext w:val="0"/>
        <w:keepLines w:val="0"/>
        <w:pageBreakBefore w:val="0"/>
        <w:widowControl w:val="0"/>
        <w:numPr>
          <w:ilvl w:val="2"/>
          <w:numId w:val="14"/>
        </w:numPr>
        <w:kinsoku/>
        <w:wordWrap/>
        <w:overflowPunct/>
        <w:topLinePunct w:val="0"/>
        <w:autoSpaceDE/>
        <w:autoSpaceDN/>
        <w:bidi w:val="0"/>
        <w:adjustRightInd/>
        <w:snapToGrid/>
        <w:spacing w:after="0" w:line="576" w:lineRule="exact"/>
        <w:ind w:left="0" w:leftChars="0" w:right="0" w:rightChars="0" w:firstLine="640" w:firstLineChars="200"/>
        <w:textAlignment w:val="auto"/>
        <w:rPr>
          <w:rFonts w:hint="default" w:ascii="仿宋_GB2312" w:hAnsi="仿宋_GB2312" w:eastAsia="仿宋_GB2312" w:cs="仿宋_GB2312"/>
          <w:b w:val="0"/>
          <w:bCs w:val="0"/>
          <w:color w:val="auto"/>
          <w:sz w:val="32"/>
          <w:szCs w:val="32"/>
          <w:highlight w:val="none"/>
          <w:lang w:val="en-US" w:eastAsia="zh-CN"/>
        </w:rPr>
      </w:pPr>
      <w:r>
        <w:rPr>
          <w:rFonts w:hint="default" w:ascii="仿宋_GB2312" w:hAnsi="仿宋_GB2312" w:eastAsia="仿宋_GB2312" w:cs="仿宋_GB2312"/>
          <w:b w:val="0"/>
          <w:bCs w:val="0"/>
          <w:color w:val="auto"/>
          <w:sz w:val="32"/>
          <w:szCs w:val="32"/>
          <w:highlight w:val="none"/>
          <w:lang w:val="en-US" w:eastAsia="zh-CN"/>
        </w:rPr>
        <w:t>严格落实网络安全责任制。根据工作需要及时对局网络与信息安全工作领导小组进行调整，确保制度建设实施的延续性和时效性。认真贯彻落实网络安全法律法规，研究制定本单位网络安全的主要目标、工作任务、安全措施以及重大事件的处置等。2023年召开8次局党组会和5次专题会议研究部署网络安全相关工作。</w:t>
      </w:r>
    </w:p>
    <w:p w14:paraId="0785D4B8">
      <w:pPr>
        <w:pStyle w:val="3"/>
        <w:keepNext w:val="0"/>
        <w:keepLines w:val="0"/>
        <w:pageBreakBefore w:val="0"/>
        <w:widowControl w:val="0"/>
        <w:numPr>
          <w:ilvl w:val="2"/>
          <w:numId w:val="14"/>
        </w:numPr>
        <w:kinsoku/>
        <w:wordWrap/>
        <w:overflowPunct/>
        <w:topLinePunct w:val="0"/>
        <w:autoSpaceDE/>
        <w:autoSpaceDN/>
        <w:bidi w:val="0"/>
        <w:adjustRightInd/>
        <w:snapToGrid/>
        <w:spacing w:after="0" w:line="576" w:lineRule="exact"/>
        <w:ind w:left="0" w:leftChars="0" w:right="0" w:rightChars="0" w:firstLine="640" w:firstLineChars="200"/>
        <w:textAlignment w:val="auto"/>
        <w:rPr>
          <w:rFonts w:hint="default" w:ascii="仿宋_GB2312" w:hAnsi="仿宋_GB2312" w:eastAsia="仿宋_GB2312" w:cs="仿宋_GB2312"/>
          <w:b w:val="0"/>
          <w:bCs w:val="0"/>
          <w:color w:val="auto"/>
          <w:sz w:val="32"/>
          <w:szCs w:val="32"/>
          <w:highlight w:val="none"/>
          <w:lang w:val="en-US" w:eastAsia="zh-CN"/>
        </w:rPr>
      </w:pPr>
      <w:r>
        <w:rPr>
          <w:rFonts w:hint="default" w:ascii="仿宋_GB2312" w:hAnsi="仿宋_GB2312" w:eastAsia="仿宋_GB2312" w:cs="仿宋_GB2312"/>
          <w:b w:val="0"/>
          <w:bCs w:val="0"/>
          <w:color w:val="auto"/>
          <w:sz w:val="32"/>
          <w:szCs w:val="32"/>
          <w:highlight w:val="none"/>
          <w:lang w:val="en-US" w:eastAsia="zh-CN"/>
        </w:rPr>
        <w:t>建立健全网络数据安全管理制度。组织编制了《石家庄市数字政府网络与数据安全规划（2023-2025）》，聚焦政务云、政务外网、政务应用、政务数据、政务终端五个关键领域，提升网络数据安全监测预警、纵深防御、风险管控和应急处置能力。该《规划》属全省第一个网络数据安全规划，在全国也处于领先水平。</w:t>
      </w:r>
    </w:p>
    <w:p w14:paraId="72A773D1">
      <w:pPr>
        <w:pStyle w:val="3"/>
        <w:keepNext w:val="0"/>
        <w:keepLines w:val="0"/>
        <w:pageBreakBefore w:val="0"/>
        <w:widowControl w:val="0"/>
        <w:numPr>
          <w:ilvl w:val="2"/>
          <w:numId w:val="14"/>
        </w:numPr>
        <w:kinsoku/>
        <w:wordWrap/>
        <w:overflowPunct/>
        <w:topLinePunct w:val="0"/>
        <w:autoSpaceDE/>
        <w:autoSpaceDN/>
        <w:bidi w:val="0"/>
        <w:adjustRightInd/>
        <w:snapToGrid/>
        <w:spacing w:after="0" w:line="576" w:lineRule="exact"/>
        <w:ind w:left="0" w:leftChars="0" w:right="0" w:rightChars="0" w:firstLine="640" w:firstLineChars="200"/>
        <w:textAlignment w:val="auto"/>
        <w:rPr>
          <w:rFonts w:hint="default" w:ascii="仿宋_GB2312" w:hAnsi="仿宋_GB2312" w:eastAsia="仿宋_GB2312" w:cs="仿宋_GB2312"/>
          <w:b w:val="0"/>
          <w:bCs w:val="0"/>
          <w:color w:val="auto"/>
          <w:sz w:val="32"/>
          <w:szCs w:val="32"/>
          <w:highlight w:val="none"/>
          <w:lang w:val="en-US" w:eastAsia="zh-CN"/>
        </w:rPr>
      </w:pPr>
      <w:r>
        <w:rPr>
          <w:rFonts w:hint="default" w:ascii="仿宋_GB2312" w:hAnsi="仿宋_GB2312" w:eastAsia="仿宋_GB2312" w:cs="仿宋_GB2312"/>
          <w:b w:val="0"/>
          <w:bCs w:val="0"/>
          <w:color w:val="auto"/>
          <w:sz w:val="32"/>
          <w:szCs w:val="32"/>
          <w:highlight w:val="none"/>
          <w:lang w:val="en-US" w:eastAsia="zh-CN"/>
        </w:rPr>
        <w:t>持续做好网络安全保障。按照《中华人民共和国网络安全法》规定和年度工作安排，委托国内不同的权威安全机构对我市政务云平台、政府网站云平台内运行的61个政府网站、党政协同办公平台、“石i民”APP 等重要信息系统开展了4次安全渗透测试，共发现468个安全漏洞问题，已督促有关单位全部整改到位，进一步提高了网络数据和信息系统安全防护水平。</w:t>
      </w:r>
    </w:p>
    <w:p w14:paraId="5E65EE4F">
      <w:pPr>
        <w:pStyle w:val="3"/>
        <w:keepNext w:val="0"/>
        <w:keepLines w:val="0"/>
        <w:pageBreakBefore w:val="0"/>
        <w:widowControl w:val="0"/>
        <w:numPr>
          <w:ilvl w:val="2"/>
          <w:numId w:val="14"/>
        </w:numPr>
        <w:kinsoku/>
        <w:wordWrap/>
        <w:overflowPunct/>
        <w:topLinePunct w:val="0"/>
        <w:autoSpaceDE/>
        <w:autoSpaceDN/>
        <w:bidi w:val="0"/>
        <w:adjustRightInd/>
        <w:snapToGrid/>
        <w:spacing w:after="0" w:line="576" w:lineRule="exact"/>
        <w:ind w:left="0" w:leftChars="0" w:right="0" w:rightChars="0" w:firstLine="640" w:firstLineChars="200"/>
        <w:textAlignment w:val="auto"/>
        <w:rPr>
          <w:rFonts w:hint="default" w:ascii="仿宋_GB2312" w:hAnsi="仿宋_GB2312" w:eastAsia="仿宋_GB2312" w:cs="仿宋_GB2312"/>
          <w:b w:val="0"/>
          <w:bCs w:val="0"/>
          <w:color w:val="auto"/>
          <w:sz w:val="32"/>
          <w:szCs w:val="32"/>
          <w:highlight w:val="none"/>
          <w:lang w:val="en-US" w:eastAsia="zh-CN"/>
        </w:rPr>
      </w:pPr>
      <w:r>
        <w:rPr>
          <w:rFonts w:hint="default" w:ascii="仿宋_GB2312" w:hAnsi="仿宋_GB2312" w:eastAsia="仿宋_GB2312" w:cs="仿宋_GB2312"/>
          <w:b w:val="0"/>
          <w:bCs w:val="0"/>
          <w:color w:val="auto"/>
          <w:sz w:val="32"/>
          <w:szCs w:val="32"/>
          <w:highlight w:val="none"/>
          <w:lang w:val="en-US" w:eastAsia="zh-CN"/>
        </w:rPr>
        <w:t>系统故障率小于 10%，故障维护及时率100%，完成电子政务外网、办公专网及互联网的线路维护工作，保证网络安全、稳定运行。线路故障率小于5%，非正常断网率小于5%，故障排除率100%。</w:t>
      </w:r>
    </w:p>
    <w:p w14:paraId="47468B78">
      <w:pPr>
        <w:pStyle w:val="3"/>
        <w:keepNext w:val="0"/>
        <w:keepLines w:val="0"/>
        <w:pageBreakBefore w:val="0"/>
        <w:widowControl w:val="0"/>
        <w:numPr>
          <w:ilvl w:val="1"/>
          <w:numId w:val="12"/>
        </w:numPr>
        <w:kinsoku/>
        <w:wordWrap/>
        <w:overflowPunct/>
        <w:topLinePunct w:val="0"/>
        <w:autoSpaceDE/>
        <w:autoSpaceDN/>
        <w:bidi w:val="0"/>
        <w:adjustRightInd/>
        <w:snapToGrid/>
        <w:spacing w:after="0" w:line="576" w:lineRule="exact"/>
        <w:ind w:left="-10" w:leftChars="0" w:right="0" w:rightChars="0" w:firstLine="640" w:firstLineChars="0"/>
        <w:textAlignment w:val="auto"/>
        <w:rPr>
          <w:rFonts w:hint="default"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kern w:val="0"/>
          <w:sz w:val="32"/>
          <w:szCs w:val="32"/>
          <w:highlight w:val="none"/>
          <w:lang w:val="en-US" w:eastAsia="zh-CN" w:bidi="ar"/>
        </w:rPr>
        <w:t>政府网站管理和运行</w:t>
      </w:r>
    </w:p>
    <w:p w14:paraId="6AF224E4">
      <w:pPr>
        <w:pStyle w:val="3"/>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right="0" w:rightChars="0" w:firstLine="643" w:firstLineChars="2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b/>
          <w:bCs/>
          <w:color w:val="auto"/>
          <w:sz w:val="32"/>
          <w:szCs w:val="32"/>
          <w:highlight w:val="none"/>
          <w:lang w:val="en-US" w:eastAsia="zh-CN"/>
        </w:rPr>
        <w:t>绩效目标</w:t>
      </w:r>
      <w:r>
        <w:rPr>
          <w:rFonts w:hint="default" w:ascii="仿宋_GB2312" w:hAnsi="仿宋_GB2312" w:eastAsia="仿宋_GB2312" w:cs="仿宋_GB2312"/>
          <w:color w:val="auto"/>
          <w:sz w:val="32"/>
          <w:szCs w:val="32"/>
          <w:highlight w:val="none"/>
          <w:lang w:val="en-US" w:eastAsia="zh-CN"/>
        </w:rPr>
        <w:t>：按照上级文件要求，结合我市实际，进一步建好、管好、用好政府网站，最大程度发挥网站作用。持续开拓创新，不断加强市政府门户网站信息内容建设,发挥政务公开第一平台的作用。加强常态化监管，逐步规范全市政府 网站建设管理工作，不断提高网站服务水平，开创我市政府网站发展新局面。</w:t>
      </w:r>
    </w:p>
    <w:p w14:paraId="75A53D23">
      <w:pPr>
        <w:pStyle w:val="3"/>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right="0" w:rightChars="0" w:firstLine="643" w:firstLineChars="2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b/>
          <w:bCs/>
          <w:color w:val="auto"/>
          <w:sz w:val="32"/>
          <w:szCs w:val="32"/>
          <w:highlight w:val="none"/>
          <w:lang w:val="en-US" w:eastAsia="zh-CN"/>
        </w:rPr>
        <w:t>绩效指标：</w:t>
      </w:r>
      <w:r>
        <w:rPr>
          <w:rFonts w:hint="default" w:ascii="仿宋_GB2312" w:hAnsi="仿宋_GB2312" w:eastAsia="仿宋_GB2312" w:cs="仿宋_GB2312"/>
          <w:color w:val="auto"/>
          <w:sz w:val="32"/>
          <w:szCs w:val="32"/>
          <w:highlight w:val="none"/>
          <w:lang w:val="en-US" w:eastAsia="zh-CN"/>
        </w:rPr>
        <w:t>加强市政府门户网站信息发布，及时发布市委、市政府重要会议、活动，政策法规及解读、应急和热点 事件的回应等信息，年录入信息条数超过 15000 条。不断提高网民留言办理效率和质量，对常见咨询类留言 1 个工作日内答复，一般留言 5 个工作日内答复，处理答复率超过 96%。健全管理制度，进一步规范全市政府网站的建设管理工作，加强队伍建设，不断提高网站工作人员业务能力，强化日常监管，及时发现和解决突出问题，保障不出现重大网络安全事件。</w:t>
      </w:r>
    </w:p>
    <w:p w14:paraId="67BA70C7">
      <w:pPr>
        <w:pStyle w:val="3"/>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right="0" w:rightChars="0" w:firstLine="643" w:firstLineChars="200"/>
        <w:textAlignment w:val="auto"/>
        <w:rPr>
          <w:rFonts w:hint="default" w:ascii="仿宋_GB2312" w:hAnsi="仿宋_GB2312" w:eastAsia="仿宋_GB2312" w:cs="仿宋_GB2312"/>
          <w:b/>
          <w:bCs/>
          <w:color w:val="auto"/>
          <w:sz w:val="32"/>
          <w:szCs w:val="32"/>
          <w:highlight w:val="none"/>
          <w:lang w:val="en-US" w:eastAsia="zh-CN"/>
        </w:rPr>
      </w:pPr>
      <w:r>
        <w:rPr>
          <w:rFonts w:hint="default" w:ascii="仿宋_GB2312" w:hAnsi="仿宋_GB2312" w:eastAsia="仿宋_GB2312" w:cs="仿宋_GB2312"/>
          <w:b/>
          <w:bCs/>
          <w:color w:val="auto"/>
          <w:sz w:val="32"/>
          <w:szCs w:val="32"/>
          <w:highlight w:val="none"/>
          <w:lang w:val="en-US" w:eastAsia="zh-CN"/>
        </w:rPr>
        <w:t>分项绩效目标实现情况：</w:t>
      </w:r>
    </w:p>
    <w:p w14:paraId="3A83F8B4">
      <w:pPr>
        <w:pStyle w:val="3"/>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right="0" w:rightChars="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政府网站改版和日常监管成效明显。2023年6月对市政府门户网站进行全新改版，改版后的市政府网站包含8大版块280个栏目，外部链接及平台总数24个。全年发布市政要闻、政务动态、政策文件等各类信息1.5万余条，访问量近1亿次。充分依托网站监测平台等技术手段对全市政府网站进行全天候监测，通过下发通报、督办卡和检测报告等方式，加强对全市政府网站的监管。2023年底，石家庄市政府网站在中国信息化研究与促进网等国内权威机构开展的全国优秀政务平台推荐评估中荣获“2023年中国优秀政务网站”称号，这也是市政府网站第4次荣获“中国优秀政务网站”称号。</w:t>
      </w:r>
    </w:p>
    <w:p w14:paraId="3E52BF0F">
      <w:pPr>
        <w:pStyle w:val="3"/>
        <w:keepNext w:val="0"/>
        <w:keepLines w:val="0"/>
        <w:pageBreakBefore w:val="0"/>
        <w:widowControl w:val="0"/>
        <w:numPr>
          <w:ilvl w:val="1"/>
          <w:numId w:val="12"/>
        </w:numPr>
        <w:kinsoku/>
        <w:wordWrap/>
        <w:overflowPunct/>
        <w:topLinePunct w:val="0"/>
        <w:autoSpaceDE/>
        <w:autoSpaceDN/>
        <w:bidi w:val="0"/>
        <w:adjustRightInd/>
        <w:snapToGrid/>
        <w:spacing w:after="0" w:line="576" w:lineRule="exact"/>
        <w:ind w:left="-10" w:leftChars="0" w:right="0" w:rightChars="0" w:firstLine="640" w:firstLineChars="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保障相关应用系统稳定运行</w:t>
      </w:r>
    </w:p>
    <w:p w14:paraId="4ABE0CBD">
      <w:pPr>
        <w:pStyle w:val="3"/>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right="0" w:rightChars="0" w:firstLine="643" w:firstLineChars="2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b/>
          <w:bCs/>
          <w:color w:val="auto"/>
          <w:sz w:val="32"/>
          <w:szCs w:val="32"/>
          <w:highlight w:val="none"/>
          <w:lang w:val="en-US" w:eastAsia="zh-CN"/>
        </w:rPr>
        <w:t>绩效目标：</w:t>
      </w:r>
      <w:r>
        <w:rPr>
          <w:rFonts w:hint="default" w:ascii="仿宋_GB2312" w:hAnsi="仿宋_GB2312" w:eastAsia="仿宋_GB2312" w:cs="仿宋_GB2312"/>
          <w:color w:val="auto"/>
          <w:sz w:val="32"/>
          <w:szCs w:val="32"/>
          <w:highlight w:val="none"/>
          <w:lang w:val="en-US" w:eastAsia="zh-CN"/>
        </w:rPr>
        <w:t>做好石家庄党政协同办公平台运行维护工作，提升网上办公效率；市委公务内网主站、电子公文系统、短信系统实现安全稳定运行。</w:t>
      </w:r>
    </w:p>
    <w:p w14:paraId="1C5312AF">
      <w:pPr>
        <w:pStyle w:val="3"/>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right="0" w:rightChars="0" w:firstLine="643" w:firstLineChars="2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b/>
          <w:bCs/>
          <w:color w:val="auto"/>
          <w:sz w:val="32"/>
          <w:szCs w:val="32"/>
          <w:highlight w:val="none"/>
          <w:lang w:val="en-US" w:eastAsia="zh-CN"/>
        </w:rPr>
        <w:t>绩效指标：</w:t>
      </w:r>
      <w:r>
        <w:rPr>
          <w:rFonts w:hint="default" w:ascii="仿宋_GB2312" w:hAnsi="仿宋_GB2312" w:eastAsia="仿宋_GB2312" w:cs="仿宋_GB2312"/>
          <w:color w:val="auto"/>
          <w:sz w:val="32"/>
          <w:szCs w:val="32"/>
          <w:highlight w:val="none"/>
          <w:lang w:val="en-US" w:eastAsia="zh-CN"/>
        </w:rPr>
        <w:t>做好石家庄党政协同办公平台运行维护工作，保障办公平台各项功能模块信息畅通，确保办公平台高效稳定运行，出现故障及时进行处理，故障处理率大于 95%；市委公务内网主站、电子公文系统、短信系统等通过应用软件运行维护、技术改造与升级、数据库支持服务、定期系统巡检、网络与硬件调试与支持等手段，进行市委公务内网主站及相关系统维护，出现故障及时进行处理，故障解决率大于 95%，实现安全稳定运行。</w:t>
      </w:r>
    </w:p>
    <w:p w14:paraId="13F55D72">
      <w:pPr>
        <w:pStyle w:val="3"/>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right="0" w:rightChars="0" w:firstLine="643" w:firstLineChars="200"/>
        <w:textAlignment w:val="auto"/>
        <w:rPr>
          <w:rFonts w:hint="default" w:ascii="仿宋_GB2312" w:hAnsi="仿宋_GB2312" w:eastAsia="仿宋_GB2312" w:cs="仿宋_GB2312"/>
          <w:b/>
          <w:bCs/>
          <w:color w:val="auto"/>
          <w:sz w:val="32"/>
          <w:szCs w:val="32"/>
          <w:highlight w:val="none"/>
          <w:lang w:val="en-US" w:eastAsia="zh-CN"/>
        </w:rPr>
      </w:pPr>
      <w:r>
        <w:rPr>
          <w:rFonts w:hint="default" w:ascii="仿宋_GB2312" w:hAnsi="仿宋_GB2312" w:eastAsia="仿宋_GB2312" w:cs="仿宋_GB2312"/>
          <w:b/>
          <w:bCs/>
          <w:color w:val="auto"/>
          <w:sz w:val="32"/>
          <w:szCs w:val="32"/>
          <w:highlight w:val="none"/>
          <w:lang w:val="en-US" w:eastAsia="zh-CN"/>
        </w:rPr>
        <w:t>分项绩效目标实现情况：</w:t>
      </w:r>
    </w:p>
    <w:p w14:paraId="7C8876AE">
      <w:pPr>
        <w:pStyle w:val="3"/>
        <w:keepNext w:val="0"/>
        <w:keepLines w:val="0"/>
        <w:pageBreakBefore w:val="0"/>
        <w:widowControl w:val="0"/>
        <w:numPr>
          <w:ilvl w:val="2"/>
          <w:numId w:val="15"/>
        </w:numPr>
        <w:kinsoku/>
        <w:wordWrap/>
        <w:overflowPunct/>
        <w:topLinePunct w:val="0"/>
        <w:autoSpaceDE/>
        <w:autoSpaceDN/>
        <w:bidi w:val="0"/>
        <w:adjustRightInd/>
        <w:snapToGrid/>
        <w:spacing w:after="0" w:line="576" w:lineRule="exact"/>
        <w:ind w:left="0" w:leftChars="0" w:right="0" w:rightChars="0" w:firstLine="640" w:firstLineChars="200"/>
        <w:textAlignment w:val="auto"/>
        <w:rPr>
          <w:rFonts w:hint="default" w:ascii="仿宋_GB2312" w:hAnsi="仿宋_GB2312" w:eastAsia="仿宋_GB2312" w:cs="仿宋_GB2312"/>
          <w:b w:val="0"/>
          <w:bCs w:val="0"/>
          <w:color w:val="auto"/>
          <w:sz w:val="32"/>
          <w:szCs w:val="32"/>
          <w:highlight w:val="none"/>
          <w:lang w:val="en-US" w:eastAsia="zh-CN"/>
        </w:rPr>
      </w:pPr>
      <w:r>
        <w:rPr>
          <w:rFonts w:hint="default" w:ascii="仿宋_GB2312" w:hAnsi="仿宋_GB2312" w:eastAsia="仿宋_GB2312" w:cs="仿宋_GB2312"/>
          <w:b w:val="0"/>
          <w:bCs w:val="0"/>
          <w:color w:val="auto"/>
          <w:sz w:val="32"/>
          <w:szCs w:val="32"/>
          <w:highlight w:val="none"/>
          <w:lang w:val="en-US" w:eastAsia="zh-CN"/>
        </w:rPr>
        <w:t>党政协同办公效能大幅跃升。不断完善一体化党政协同办公平台功能，目前平台共接入各类单位1931个，注册用户数12513个，较2023年初新增接入单位849个，新增用户4379个。据统计，自2022年10月1日办公平台上线至今，累计流转文件90.7万余件，政府系统文件电子化率达到了90%以上。市政府日均办理电子公文1290件，文件办结最快用时为13分20秒，为工作效率提升和机关作风改善提供了有力支撑。</w:t>
      </w:r>
    </w:p>
    <w:p w14:paraId="64798146">
      <w:pPr>
        <w:pStyle w:val="3"/>
        <w:keepNext w:val="0"/>
        <w:keepLines w:val="0"/>
        <w:pageBreakBefore w:val="0"/>
        <w:widowControl w:val="0"/>
        <w:numPr>
          <w:ilvl w:val="2"/>
          <w:numId w:val="15"/>
        </w:numPr>
        <w:kinsoku/>
        <w:wordWrap/>
        <w:overflowPunct/>
        <w:topLinePunct w:val="0"/>
        <w:autoSpaceDE/>
        <w:autoSpaceDN/>
        <w:bidi w:val="0"/>
        <w:adjustRightInd/>
        <w:snapToGrid/>
        <w:spacing w:after="0" w:line="576" w:lineRule="exact"/>
        <w:ind w:left="0" w:leftChars="0" w:right="0" w:rightChars="0" w:firstLine="640" w:firstLineChars="200"/>
        <w:textAlignment w:val="auto"/>
        <w:rPr>
          <w:rFonts w:hint="default" w:ascii="仿宋_GB2312" w:hAnsi="仿宋_GB2312" w:eastAsia="仿宋_GB2312" w:cs="仿宋_GB2312"/>
          <w:b w:val="0"/>
          <w:bCs w:val="0"/>
          <w:color w:val="auto"/>
          <w:sz w:val="32"/>
          <w:szCs w:val="32"/>
          <w:highlight w:val="none"/>
          <w:lang w:val="en-US" w:eastAsia="zh-CN"/>
        </w:rPr>
      </w:pPr>
      <w:r>
        <w:rPr>
          <w:rFonts w:hint="default" w:ascii="仿宋_GB2312" w:hAnsi="仿宋_GB2312" w:eastAsia="仿宋_GB2312" w:cs="仿宋_GB2312"/>
          <w:b w:val="0"/>
          <w:bCs w:val="0"/>
          <w:color w:val="auto"/>
          <w:sz w:val="32"/>
          <w:szCs w:val="32"/>
          <w:highlight w:val="none"/>
          <w:lang w:val="en-US" w:eastAsia="zh-CN"/>
        </w:rPr>
        <w:t xml:space="preserve">做好石家庄党政协同办公平台运行维护工作，提升网上办公效率，办公平台各项功能模块信息畅通，办公平台高效稳定运行，出现故障及时进行处理，故障处理率100%；市委公务内网主站、电子公文系统、短信系统通过技术改造与升级、数据库支持服务、定期系统巡检、网络与硬件调试、持续支持与维护，出现故障及时进行处理，故障解决率100%，实现安全稳定运行。 </w:t>
      </w:r>
    </w:p>
    <w:p w14:paraId="29A1F429">
      <w:pPr>
        <w:pStyle w:val="3"/>
        <w:keepNext w:val="0"/>
        <w:keepLines w:val="0"/>
        <w:pageBreakBefore w:val="0"/>
        <w:widowControl w:val="0"/>
        <w:numPr>
          <w:ilvl w:val="0"/>
          <w:numId w:val="0"/>
        </w:numPr>
        <w:kinsoku/>
        <w:wordWrap/>
        <w:overflowPunct/>
        <w:topLinePunct w:val="0"/>
        <w:autoSpaceDE/>
        <w:autoSpaceDN/>
        <w:bidi w:val="0"/>
        <w:adjustRightInd/>
        <w:snapToGrid/>
        <w:spacing w:after="0" w:line="540" w:lineRule="exact"/>
        <w:ind w:right="0" w:rightChars="0" w:firstLine="640" w:firstLineChars="200"/>
        <w:textAlignment w:val="auto"/>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四、评价结论和评价等级</w:t>
      </w:r>
    </w:p>
    <w:p w14:paraId="277294A6">
      <w:pPr>
        <w:pStyle w:val="3"/>
        <w:keepNext w:val="0"/>
        <w:keepLines w:val="0"/>
        <w:pageBreakBefore w:val="0"/>
        <w:widowControl w:val="0"/>
        <w:numPr>
          <w:ilvl w:val="0"/>
          <w:numId w:val="0"/>
        </w:numPr>
        <w:kinsoku/>
        <w:wordWrap/>
        <w:overflowPunct/>
        <w:topLinePunct w:val="0"/>
        <w:autoSpaceDE/>
        <w:autoSpaceDN/>
        <w:bidi w:val="0"/>
        <w:adjustRightInd/>
        <w:snapToGrid/>
        <w:spacing w:after="0" w:line="540" w:lineRule="exact"/>
        <w:ind w:right="0" w:rightChars="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我局通过查阅文件、收集资料，核实数据、对比指标等方式，根据部门职责定位和各项工作履职情况进行综合评价。经过评价，部门整体支出绩效综合评价最终得分为97.6分，评价结果为优秀，分项得分如下表。</w:t>
      </w:r>
    </w:p>
    <w:tbl>
      <w:tblPr>
        <w:tblStyle w:val="6"/>
        <w:tblW w:w="506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84"/>
        <w:gridCol w:w="4007"/>
        <w:gridCol w:w="1060"/>
        <w:gridCol w:w="1079"/>
        <w:gridCol w:w="1240"/>
      </w:tblGrid>
      <w:tr w14:paraId="0B421F9F">
        <w:trPr>
          <w:trHeight w:val="280" w:hRule="atLeast"/>
        </w:trPr>
        <w:tc>
          <w:tcPr>
            <w:tcW w:w="9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2870E">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一级指标</w:t>
            </w:r>
          </w:p>
        </w:tc>
        <w:tc>
          <w:tcPr>
            <w:tcW w:w="2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E86E6">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二级指标</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65C01">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分值</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95FF6">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得分</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1E55D">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得分率</w:t>
            </w:r>
          </w:p>
        </w:tc>
      </w:tr>
      <w:tr w14:paraId="45A52282">
        <w:trPr>
          <w:trHeight w:val="280" w:hRule="atLeast"/>
        </w:trPr>
        <w:tc>
          <w:tcPr>
            <w:tcW w:w="97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BE4CD">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部门决策</w:t>
            </w:r>
          </w:p>
          <w:p w14:paraId="2778195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i w:val="0"/>
                <w:iCs w:val="0"/>
                <w:color w:val="auto"/>
                <w:kern w:val="0"/>
                <w:sz w:val="24"/>
                <w:szCs w:val="24"/>
                <w:highlight w:val="none"/>
                <w:u w:val="none"/>
                <w:lang w:val="en-US" w:eastAsia="zh-CN" w:bidi="ar"/>
              </w:rPr>
              <w:t>（15分）</w:t>
            </w:r>
          </w:p>
        </w:tc>
        <w:tc>
          <w:tcPr>
            <w:tcW w:w="2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70C6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目标设定</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91AD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09B3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cs="宋体"/>
                <w:i w:val="0"/>
                <w:iCs w:val="0"/>
                <w:color w:val="auto"/>
                <w:sz w:val="24"/>
                <w:szCs w:val="24"/>
                <w:highlight w:val="none"/>
                <w:u w:val="none"/>
                <w:lang w:val="en-US" w:eastAsia="zh-CN"/>
              </w:rPr>
              <w:t>8</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C86A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i w:val="0"/>
                <w:iCs w:val="0"/>
                <w:color w:val="auto"/>
                <w:kern w:val="0"/>
                <w:sz w:val="24"/>
                <w:szCs w:val="24"/>
                <w:highlight w:val="none"/>
                <w:u w:val="none"/>
                <w:lang w:val="en-US" w:eastAsia="zh-CN" w:bidi="ar"/>
              </w:rPr>
              <w:t>100</w:t>
            </w:r>
            <w:r>
              <w:rPr>
                <w:rFonts w:hint="eastAsia" w:ascii="宋体" w:hAnsi="宋体" w:eastAsia="宋体" w:cs="宋体"/>
                <w:i w:val="0"/>
                <w:iCs w:val="0"/>
                <w:color w:val="auto"/>
                <w:kern w:val="0"/>
                <w:sz w:val="24"/>
                <w:szCs w:val="24"/>
                <w:highlight w:val="none"/>
                <w:u w:val="none"/>
                <w:lang w:val="en-US" w:eastAsia="zh-CN" w:bidi="ar"/>
              </w:rPr>
              <w:t>%</w:t>
            </w:r>
          </w:p>
        </w:tc>
      </w:tr>
      <w:tr w14:paraId="670C82A5">
        <w:trPr>
          <w:trHeight w:val="280" w:hRule="atLeast"/>
        </w:trPr>
        <w:tc>
          <w:tcPr>
            <w:tcW w:w="9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DA76F">
            <w:pPr>
              <w:jc w:val="center"/>
              <w:rPr>
                <w:rFonts w:hint="eastAsia" w:ascii="宋体" w:hAnsi="宋体" w:eastAsia="宋体" w:cs="宋体"/>
                <w:i w:val="0"/>
                <w:iCs w:val="0"/>
                <w:color w:val="auto"/>
                <w:sz w:val="24"/>
                <w:szCs w:val="24"/>
                <w:highlight w:val="none"/>
                <w:u w:val="none"/>
              </w:rPr>
            </w:pPr>
          </w:p>
        </w:tc>
        <w:tc>
          <w:tcPr>
            <w:tcW w:w="2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6BAC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预算配置</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FA34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2220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625B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85.71%</w:t>
            </w:r>
          </w:p>
        </w:tc>
      </w:tr>
      <w:tr w14:paraId="6DF61364">
        <w:trPr>
          <w:trHeight w:val="280" w:hRule="atLeast"/>
        </w:trPr>
        <w:tc>
          <w:tcPr>
            <w:tcW w:w="9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78DD2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部门管理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（20分）</w:t>
            </w:r>
          </w:p>
        </w:tc>
        <w:tc>
          <w:tcPr>
            <w:tcW w:w="2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8026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预算执行</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7998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7EF7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cs="宋体"/>
                <w:i w:val="0"/>
                <w:iCs w:val="0"/>
                <w:color w:val="auto"/>
                <w:sz w:val="24"/>
                <w:szCs w:val="24"/>
                <w:highlight w:val="none"/>
                <w:u w:val="none"/>
                <w:lang w:val="en-US" w:eastAsia="zh-CN"/>
              </w:rPr>
              <w:t>5</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8BB9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cs="宋体"/>
                <w:i w:val="0"/>
                <w:iCs w:val="0"/>
                <w:color w:val="auto"/>
                <w:kern w:val="0"/>
                <w:sz w:val="24"/>
                <w:szCs w:val="24"/>
                <w:highlight w:val="none"/>
                <w:u w:val="none"/>
                <w:lang w:val="en-US" w:eastAsia="zh-CN" w:bidi="ar"/>
              </w:rPr>
              <w:t>1</w:t>
            </w:r>
            <w:r>
              <w:rPr>
                <w:rFonts w:hint="eastAsia" w:ascii="宋体" w:hAnsi="宋体" w:eastAsia="宋体" w:cs="宋体"/>
                <w:i w:val="0"/>
                <w:iCs w:val="0"/>
                <w:color w:val="auto"/>
                <w:kern w:val="0"/>
                <w:sz w:val="24"/>
                <w:szCs w:val="24"/>
                <w:highlight w:val="none"/>
                <w:u w:val="none"/>
                <w:lang w:val="en-US" w:eastAsia="zh-CN" w:bidi="ar"/>
              </w:rPr>
              <w:t>00.00%</w:t>
            </w:r>
          </w:p>
        </w:tc>
      </w:tr>
      <w:tr w14:paraId="6A091BDE">
        <w:trPr>
          <w:trHeight w:val="280" w:hRule="atLeast"/>
        </w:trPr>
        <w:tc>
          <w:tcPr>
            <w:tcW w:w="9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DA5D03">
            <w:pPr>
              <w:jc w:val="center"/>
              <w:rPr>
                <w:rFonts w:hint="eastAsia" w:ascii="宋体" w:hAnsi="宋体" w:eastAsia="宋体" w:cs="宋体"/>
                <w:i w:val="0"/>
                <w:iCs w:val="0"/>
                <w:color w:val="auto"/>
                <w:sz w:val="24"/>
                <w:szCs w:val="24"/>
                <w:highlight w:val="none"/>
                <w:u w:val="none"/>
              </w:rPr>
            </w:pPr>
          </w:p>
        </w:tc>
        <w:tc>
          <w:tcPr>
            <w:tcW w:w="2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72E9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财务管理</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A4C5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93EB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E365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100.00%</w:t>
            </w:r>
          </w:p>
        </w:tc>
      </w:tr>
      <w:tr w14:paraId="62A9C42B">
        <w:trPr>
          <w:trHeight w:val="280" w:hRule="atLeast"/>
        </w:trPr>
        <w:tc>
          <w:tcPr>
            <w:tcW w:w="9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120258">
            <w:pPr>
              <w:jc w:val="center"/>
              <w:rPr>
                <w:rFonts w:hint="eastAsia" w:ascii="宋体" w:hAnsi="宋体" w:eastAsia="宋体" w:cs="宋体"/>
                <w:i w:val="0"/>
                <w:iCs w:val="0"/>
                <w:color w:val="auto"/>
                <w:sz w:val="24"/>
                <w:szCs w:val="24"/>
                <w:highlight w:val="none"/>
                <w:u w:val="none"/>
              </w:rPr>
            </w:pPr>
          </w:p>
        </w:tc>
        <w:tc>
          <w:tcPr>
            <w:tcW w:w="2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9599D">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eastAsia="zh-CN"/>
              </w:rPr>
            </w:pPr>
            <w:r>
              <w:rPr>
                <w:rFonts w:hint="eastAsia" w:ascii="宋体" w:hAnsi="宋体" w:cs="宋体"/>
                <w:i w:val="0"/>
                <w:iCs w:val="0"/>
                <w:color w:val="auto"/>
                <w:sz w:val="24"/>
                <w:szCs w:val="24"/>
                <w:highlight w:val="none"/>
                <w:u w:val="none"/>
                <w:lang w:val="en-US" w:eastAsia="zh-CN"/>
              </w:rPr>
              <w:t>内控制度建设</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6048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D0EA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i w:val="0"/>
                <w:iCs w:val="0"/>
                <w:color w:val="auto"/>
                <w:kern w:val="0"/>
                <w:sz w:val="24"/>
                <w:szCs w:val="24"/>
                <w:highlight w:val="none"/>
                <w:u w:val="none"/>
                <w:lang w:val="en-US" w:eastAsia="zh-CN" w:bidi="ar"/>
              </w:rPr>
              <w:t>5</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94A9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i w:val="0"/>
                <w:iCs w:val="0"/>
                <w:color w:val="auto"/>
                <w:kern w:val="0"/>
                <w:sz w:val="24"/>
                <w:szCs w:val="24"/>
                <w:highlight w:val="none"/>
                <w:u w:val="none"/>
                <w:lang w:val="en-US" w:eastAsia="zh-CN" w:bidi="ar"/>
              </w:rPr>
              <w:t>1</w:t>
            </w:r>
            <w:r>
              <w:rPr>
                <w:rFonts w:hint="eastAsia" w:ascii="宋体" w:hAnsi="宋体" w:eastAsia="宋体" w:cs="宋体"/>
                <w:i w:val="0"/>
                <w:iCs w:val="0"/>
                <w:color w:val="auto"/>
                <w:kern w:val="0"/>
                <w:sz w:val="24"/>
                <w:szCs w:val="24"/>
                <w:highlight w:val="none"/>
                <w:u w:val="none"/>
                <w:lang w:val="en-US" w:eastAsia="zh-CN" w:bidi="ar"/>
              </w:rPr>
              <w:t>00.00%</w:t>
            </w:r>
          </w:p>
        </w:tc>
      </w:tr>
      <w:tr w14:paraId="57A5AAFB">
        <w:trPr>
          <w:trHeight w:val="280" w:hRule="atLeast"/>
        </w:trPr>
        <w:tc>
          <w:tcPr>
            <w:tcW w:w="9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4DEA9">
            <w:pPr>
              <w:jc w:val="center"/>
              <w:rPr>
                <w:rFonts w:hint="eastAsia" w:ascii="宋体" w:hAnsi="宋体" w:eastAsia="宋体" w:cs="宋体"/>
                <w:i w:val="0"/>
                <w:iCs w:val="0"/>
                <w:color w:val="auto"/>
                <w:sz w:val="24"/>
                <w:szCs w:val="24"/>
                <w:highlight w:val="none"/>
                <w:u w:val="none"/>
              </w:rPr>
            </w:pPr>
          </w:p>
        </w:tc>
        <w:tc>
          <w:tcPr>
            <w:tcW w:w="2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C970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党建工作</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6BAC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3B51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227B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100.00%</w:t>
            </w:r>
          </w:p>
        </w:tc>
      </w:tr>
      <w:tr w14:paraId="5C402869">
        <w:trPr>
          <w:trHeight w:val="280" w:hRule="atLeast"/>
        </w:trPr>
        <w:tc>
          <w:tcPr>
            <w:tcW w:w="972" w:type="pct"/>
            <w:vMerge w:val="restart"/>
            <w:tcBorders>
              <w:top w:val="single" w:color="000000" w:sz="4" w:space="0"/>
              <w:left w:val="single" w:color="000000" w:sz="4" w:space="0"/>
              <w:bottom w:val="nil"/>
              <w:right w:val="single" w:color="000000" w:sz="4" w:space="0"/>
            </w:tcBorders>
            <w:shd w:val="clear" w:color="auto" w:fill="auto"/>
            <w:vAlign w:val="center"/>
          </w:tcPr>
          <w:p w14:paraId="73F6722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部门职责履行（40分）</w:t>
            </w:r>
          </w:p>
        </w:tc>
        <w:tc>
          <w:tcPr>
            <w:tcW w:w="2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3700C">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数字政府顶层设计与运行机制建设</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CF87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E9206">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7</w:t>
            </w:r>
            <w:r>
              <w:rPr>
                <w:rFonts w:hint="eastAsia" w:ascii="宋体" w:hAnsi="宋体" w:cs="宋体"/>
                <w:i w:val="0"/>
                <w:iCs w:val="0"/>
                <w:color w:val="auto"/>
                <w:kern w:val="0"/>
                <w:sz w:val="24"/>
                <w:szCs w:val="24"/>
                <w:highlight w:val="none"/>
                <w:u w:val="none"/>
                <w:lang w:val="en-US" w:eastAsia="zh-CN" w:bidi="ar"/>
              </w:rPr>
              <w:t>.8</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AD52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r>
              <w:rPr>
                <w:rFonts w:hint="eastAsia" w:ascii="宋体" w:hAnsi="宋体" w:cs="宋体"/>
                <w:i w:val="0"/>
                <w:iCs w:val="0"/>
                <w:color w:val="auto"/>
                <w:kern w:val="0"/>
                <w:sz w:val="24"/>
                <w:szCs w:val="24"/>
                <w:highlight w:val="none"/>
                <w:u w:val="none"/>
                <w:lang w:val="en-US" w:eastAsia="zh-CN" w:bidi="ar"/>
              </w:rPr>
              <w:t>7.50</w:t>
            </w:r>
            <w:r>
              <w:rPr>
                <w:rFonts w:hint="eastAsia" w:ascii="宋体" w:hAnsi="宋体" w:eastAsia="宋体" w:cs="宋体"/>
                <w:i w:val="0"/>
                <w:iCs w:val="0"/>
                <w:color w:val="auto"/>
                <w:kern w:val="0"/>
                <w:sz w:val="24"/>
                <w:szCs w:val="24"/>
                <w:highlight w:val="none"/>
                <w:u w:val="none"/>
                <w:lang w:val="en-US" w:eastAsia="zh-CN" w:bidi="ar"/>
              </w:rPr>
              <w:t>%</w:t>
            </w:r>
          </w:p>
        </w:tc>
      </w:tr>
      <w:tr w14:paraId="4999DAE6">
        <w:trPr>
          <w:trHeight w:val="280" w:hRule="atLeast"/>
        </w:trPr>
        <w:tc>
          <w:tcPr>
            <w:tcW w:w="972" w:type="pct"/>
            <w:vMerge w:val="continue"/>
            <w:tcBorders>
              <w:top w:val="single" w:color="000000" w:sz="4" w:space="0"/>
              <w:left w:val="single" w:color="000000" w:sz="4" w:space="0"/>
              <w:bottom w:val="nil"/>
              <w:right w:val="single" w:color="000000" w:sz="4" w:space="0"/>
            </w:tcBorders>
            <w:shd w:val="clear" w:color="auto" w:fill="auto"/>
            <w:vAlign w:val="center"/>
          </w:tcPr>
          <w:p w14:paraId="7520BD48">
            <w:pPr>
              <w:jc w:val="center"/>
              <w:rPr>
                <w:rFonts w:hint="eastAsia" w:ascii="宋体" w:hAnsi="宋体" w:eastAsia="宋体" w:cs="宋体"/>
                <w:i w:val="0"/>
                <w:iCs w:val="0"/>
                <w:color w:val="auto"/>
                <w:sz w:val="24"/>
                <w:szCs w:val="24"/>
                <w:highlight w:val="none"/>
                <w:u w:val="none"/>
              </w:rPr>
            </w:pPr>
          </w:p>
        </w:tc>
        <w:tc>
          <w:tcPr>
            <w:tcW w:w="2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E281F">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政务服务数字化支撑能力建设</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4025A">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eastAsia="zh-CN"/>
              </w:rPr>
            </w:pPr>
            <w:r>
              <w:rPr>
                <w:rFonts w:hint="eastAsia" w:ascii="宋体" w:hAnsi="宋体" w:cs="宋体"/>
                <w:i w:val="0"/>
                <w:iCs w:val="0"/>
                <w:color w:val="auto"/>
                <w:sz w:val="24"/>
                <w:szCs w:val="24"/>
                <w:highlight w:val="none"/>
                <w:u w:val="none"/>
                <w:lang w:val="en-US" w:eastAsia="zh-CN"/>
              </w:rPr>
              <w:t>10</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E1D74">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eastAsia="zh-CN"/>
              </w:rPr>
            </w:pPr>
            <w:r>
              <w:rPr>
                <w:rFonts w:hint="eastAsia" w:ascii="宋体" w:hAnsi="宋体" w:cs="宋体"/>
                <w:i w:val="0"/>
                <w:iCs w:val="0"/>
                <w:color w:val="auto"/>
                <w:sz w:val="24"/>
                <w:szCs w:val="24"/>
                <w:highlight w:val="none"/>
                <w:u w:val="none"/>
                <w:lang w:val="en-US" w:eastAsia="zh-CN"/>
              </w:rPr>
              <w:t>9.8</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8759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r>
              <w:rPr>
                <w:rFonts w:hint="eastAsia" w:ascii="宋体" w:hAnsi="宋体" w:cs="宋体"/>
                <w:i w:val="0"/>
                <w:iCs w:val="0"/>
                <w:color w:val="auto"/>
                <w:kern w:val="0"/>
                <w:sz w:val="24"/>
                <w:szCs w:val="24"/>
                <w:highlight w:val="none"/>
                <w:u w:val="none"/>
                <w:lang w:val="en-US" w:eastAsia="zh-CN" w:bidi="ar"/>
              </w:rPr>
              <w:t>8.00</w:t>
            </w:r>
            <w:r>
              <w:rPr>
                <w:rFonts w:hint="eastAsia" w:ascii="宋体" w:hAnsi="宋体" w:eastAsia="宋体" w:cs="宋体"/>
                <w:i w:val="0"/>
                <w:iCs w:val="0"/>
                <w:color w:val="auto"/>
                <w:kern w:val="0"/>
                <w:sz w:val="24"/>
                <w:szCs w:val="24"/>
                <w:highlight w:val="none"/>
                <w:u w:val="none"/>
                <w:lang w:val="en-US" w:eastAsia="zh-CN" w:bidi="ar"/>
              </w:rPr>
              <w:t>%</w:t>
            </w:r>
          </w:p>
        </w:tc>
      </w:tr>
      <w:tr w14:paraId="06C3DD3D">
        <w:trPr>
          <w:trHeight w:val="280" w:hRule="atLeast"/>
        </w:trPr>
        <w:tc>
          <w:tcPr>
            <w:tcW w:w="972" w:type="pct"/>
            <w:vMerge w:val="continue"/>
            <w:tcBorders>
              <w:top w:val="single" w:color="000000" w:sz="4" w:space="0"/>
              <w:left w:val="single" w:color="000000" w:sz="4" w:space="0"/>
              <w:bottom w:val="nil"/>
              <w:right w:val="single" w:color="000000" w:sz="4" w:space="0"/>
            </w:tcBorders>
            <w:shd w:val="clear" w:color="auto" w:fill="auto"/>
            <w:vAlign w:val="center"/>
          </w:tcPr>
          <w:p w14:paraId="02000BBB">
            <w:pPr>
              <w:jc w:val="center"/>
              <w:rPr>
                <w:rFonts w:hint="eastAsia" w:ascii="宋体" w:hAnsi="宋体" w:eastAsia="宋体" w:cs="宋体"/>
                <w:i w:val="0"/>
                <w:iCs w:val="0"/>
                <w:color w:val="auto"/>
                <w:sz w:val="24"/>
                <w:szCs w:val="24"/>
                <w:highlight w:val="none"/>
                <w:u w:val="none"/>
              </w:rPr>
            </w:pPr>
          </w:p>
        </w:tc>
        <w:tc>
          <w:tcPr>
            <w:tcW w:w="2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73C22">
            <w:pPr>
              <w:keepNext w:val="0"/>
              <w:keepLines w:val="0"/>
              <w:widowControl/>
              <w:suppressLineNumbers w:val="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公共数据资源管理与共享</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5AF2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cs="宋体"/>
                <w:i w:val="0"/>
                <w:iCs w:val="0"/>
                <w:color w:val="auto"/>
                <w:sz w:val="24"/>
                <w:szCs w:val="24"/>
                <w:highlight w:val="none"/>
                <w:u w:val="none"/>
                <w:lang w:val="en-US" w:eastAsia="zh-CN"/>
              </w:rPr>
              <w:t>6</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BE77E">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eastAsia="zh-CN"/>
              </w:rPr>
            </w:pPr>
            <w:r>
              <w:rPr>
                <w:rFonts w:hint="eastAsia" w:ascii="宋体" w:hAnsi="宋体" w:cs="宋体"/>
                <w:i w:val="0"/>
                <w:iCs w:val="0"/>
                <w:color w:val="auto"/>
                <w:sz w:val="24"/>
                <w:szCs w:val="24"/>
                <w:highlight w:val="none"/>
                <w:u w:val="none"/>
                <w:lang w:val="en-US" w:eastAsia="zh-CN"/>
              </w:rPr>
              <w:t>5.6</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F7C8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i w:val="0"/>
                <w:iCs w:val="0"/>
                <w:color w:val="auto"/>
                <w:kern w:val="0"/>
                <w:sz w:val="24"/>
                <w:szCs w:val="24"/>
                <w:highlight w:val="none"/>
                <w:u w:val="none"/>
                <w:lang w:val="en-US" w:eastAsia="zh-CN" w:bidi="ar"/>
              </w:rPr>
              <w:t>93.33</w:t>
            </w:r>
            <w:r>
              <w:rPr>
                <w:rFonts w:hint="eastAsia" w:ascii="宋体" w:hAnsi="宋体" w:eastAsia="宋体" w:cs="宋体"/>
                <w:i w:val="0"/>
                <w:iCs w:val="0"/>
                <w:color w:val="auto"/>
                <w:kern w:val="0"/>
                <w:sz w:val="24"/>
                <w:szCs w:val="24"/>
                <w:highlight w:val="none"/>
                <w:u w:val="none"/>
                <w:lang w:val="en-US" w:eastAsia="zh-CN" w:bidi="ar"/>
              </w:rPr>
              <w:t>%</w:t>
            </w:r>
          </w:p>
        </w:tc>
      </w:tr>
      <w:tr w14:paraId="1D753316">
        <w:trPr>
          <w:trHeight w:val="280" w:hRule="atLeast"/>
        </w:trPr>
        <w:tc>
          <w:tcPr>
            <w:tcW w:w="972" w:type="pct"/>
            <w:vMerge w:val="continue"/>
            <w:tcBorders>
              <w:top w:val="single" w:color="000000" w:sz="4" w:space="0"/>
              <w:left w:val="single" w:color="000000" w:sz="4" w:space="0"/>
              <w:bottom w:val="nil"/>
              <w:right w:val="single" w:color="000000" w:sz="4" w:space="0"/>
            </w:tcBorders>
            <w:shd w:val="clear" w:color="auto" w:fill="auto"/>
            <w:vAlign w:val="center"/>
          </w:tcPr>
          <w:p w14:paraId="26BE37BE">
            <w:pPr>
              <w:jc w:val="center"/>
              <w:rPr>
                <w:rFonts w:hint="eastAsia" w:ascii="宋体" w:hAnsi="宋体" w:eastAsia="宋体" w:cs="宋体"/>
                <w:i w:val="0"/>
                <w:iCs w:val="0"/>
                <w:color w:val="auto"/>
                <w:sz w:val="24"/>
                <w:szCs w:val="24"/>
                <w:highlight w:val="none"/>
                <w:u w:val="none"/>
              </w:rPr>
            </w:pPr>
          </w:p>
        </w:tc>
        <w:tc>
          <w:tcPr>
            <w:tcW w:w="2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86DD2">
            <w:pPr>
              <w:keepNext w:val="0"/>
              <w:keepLines w:val="0"/>
              <w:widowControl/>
              <w:suppressLineNumbers w:val="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电子政务应用建设与推广</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A73B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E240E">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eastAsia="zh-CN"/>
              </w:rPr>
            </w:pPr>
            <w:r>
              <w:rPr>
                <w:rFonts w:hint="eastAsia" w:ascii="宋体" w:hAnsi="宋体" w:cs="宋体"/>
                <w:i w:val="0"/>
                <w:iCs w:val="0"/>
                <w:color w:val="auto"/>
                <w:sz w:val="24"/>
                <w:szCs w:val="24"/>
                <w:highlight w:val="none"/>
                <w:u w:val="none"/>
                <w:lang w:val="en-US" w:eastAsia="zh-CN"/>
              </w:rPr>
              <w:t>7.6</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47ED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i w:val="0"/>
                <w:iCs w:val="0"/>
                <w:color w:val="auto"/>
                <w:kern w:val="0"/>
                <w:sz w:val="24"/>
                <w:szCs w:val="24"/>
                <w:highlight w:val="none"/>
                <w:u w:val="none"/>
                <w:lang w:val="en-US" w:eastAsia="zh-CN" w:bidi="ar"/>
              </w:rPr>
              <w:t>95.00</w:t>
            </w:r>
            <w:r>
              <w:rPr>
                <w:rFonts w:hint="eastAsia" w:ascii="宋体" w:hAnsi="宋体" w:eastAsia="宋体" w:cs="宋体"/>
                <w:i w:val="0"/>
                <w:iCs w:val="0"/>
                <w:color w:val="auto"/>
                <w:kern w:val="0"/>
                <w:sz w:val="24"/>
                <w:szCs w:val="24"/>
                <w:highlight w:val="none"/>
                <w:u w:val="none"/>
                <w:lang w:val="en-US" w:eastAsia="zh-CN" w:bidi="ar"/>
              </w:rPr>
              <w:t>%</w:t>
            </w:r>
          </w:p>
        </w:tc>
      </w:tr>
      <w:tr w14:paraId="7B62C767">
        <w:trPr>
          <w:trHeight w:val="280" w:hRule="atLeast"/>
        </w:trPr>
        <w:tc>
          <w:tcPr>
            <w:tcW w:w="972" w:type="pct"/>
            <w:vMerge w:val="continue"/>
            <w:tcBorders>
              <w:top w:val="single" w:color="000000" w:sz="4" w:space="0"/>
              <w:left w:val="single" w:color="000000" w:sz="4" w:space="0"/>
              <w:bottom w:val="nil"/>
              <w:right w:val="single" w:color="000000" w:sz="4" w:space="0"/>
            </w:tcBorders>
            <w:shd w:val="clear" w:color="auto" w:fill="auto"/>
            <w:vAlign w:val="center"/>
          </w:tcPr>
          <w:p w14:paraId="33B6B121">
            <w:pPr>
              <w:jc w:val="center"/>
              <w:rPr>
                <w:rFonts w:hint="eastAsia" w:ascii="宋体" w:hAnsi="宋体" w:eastAsia="宋体" w:cs="宋体"/>
                <w:i w:val="0"/>
                <w:iCs w:val="0"/>
                <w:color w:val="auto"/>
                <w:sz w:val="24"/>
                <w:szCs w:val="24"/>
                <w:highlight w:val="none"/>
                <w:u w:val="none"/>
              </w:rPr>
            </w:pPr>
          </w:p>
        </w:tc>
        <w:tc>
          <w:tcPr>
            <w:tcW w:w="2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B62DB">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全市数据资源安全保障体系建设与指导</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C13B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7195A">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eastAsia="zh-CN"/>
              </w:rPr>
            </w:pPr>
            <w:r>
              <w:rPr>
                <w:rFonts w:hint="eastAsia" w:ascii="宋体" w:hAnsi="宋体" w:cs="宋体"/>
                <w:i w:val="0"/>
                <w:iCs w:val="0"/>
                <w:color w:val="auto"/>
                <w:sz w:val="24"/>
                <w:szCs w:val="24"/>
                <w:highlight w:val="none"/>
                <w:u w:val="none"/>
                <w:lang w:val="en-US" w:eastAsia="zh-CN"/>
              </w:rPr>
              <w:t>8</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78E1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i w:val="0"/>
                <w:iCs w:val="0"/>
                <w:color w:val="auto"/>
                <w:kern w:val="0"/>
                <w:sz w:val="24"/>
                <w:szCs w:val="24"/>
                <w:highlight w:val="none"/>
                <w:u w:val="none"/>
                <w:lang w:val="en-US" w:eastAsia="zh-CN" w:bidi="ar"/>
              </w:rPr>
              <w:t>1</w:t>
            </w:r>
            <w:r>
              <w:rPr>
                <w:rFonts w:hint="eastAsia" w:ascii="宋体" w:hAnsi="宋体" w:eastAsia="宋体" w:cs="宋体"/>
                <w:i w:val="0"/>
                <w:iCs w:val="0"/>
                <w:color w:val="auto"/>
                <w:kern w:val="0"/>
                <w:sz w:val="24"/>
                <w:szCs w:val="24"/>
                <w:highlight w:val="none"/>
                <w:u w:val="none"/>
                <w:lang w:val="en-US" w:eastAsia="zh-CN" w:bidi="ar"/>
              </w:rPr>
              <w:t>00.00%</w:t>
            </w:r>
          </w:p>
        </w:tc>
      </w:tr>
      <w:tr w14:paraId="018E51B3">
        <w:trPr>
          <w:trHeight w:val="280" w:hRule="atLeast"/>
        </w:trPr>
        <w:tc>
          <w:tcPr>
            <w:tcW w:w="97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FC9E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部门履职效益</w:t>
            </w:r>
            <w:r>
              <w:rPr>
                <w:rFonts w:hint="eastAsia" w:ascii="宋体" w:hAnsi="宋体" w:cs="宋体"/>
                <w:i w:val="0"/>
                <w:iCs w:val="0"/>
                <w:color w:val="auto"/>
                <w:kern w:val="0"/>
                <w:sz w:val="24"/>
                <w:szCs w:val="24"/>
                <w:highlight w:val="none"/>
                <w:u w:val="none"/>
                <w:lang w:val="en-US" w:eastAsia="zh-CN" w:bidi="ar"/>
              </w:rPr>
              <w:t>（25分）</w:t>
            </w:r>
          </w:p>
        </w:tc>
        <w:tc>
          <w:tcPr>
            <w:tcW w:w="2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3476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社会效益</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D732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3473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CEE4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100.00%</w:t>
            </w:r>
          </w:p>
        </w:tc>
      </w:tr>
      <w:tr w14:paraId="0CD85ED7">
        <w:trPr>
          <w:trHeight w:val="280" w:hRule="atLeast"/>
        </w:trPr>
        <w:tc>
          <w:tcPr>
            <w:tcW w:w="9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BDCFF">
            <w:pPr>
              <w:jc w:val="center"/>
              <w:rPr>
                <w:rFonts w:hint="eastAsia" w:ascii="宋体" w:hAnsi="宋体" w:eastAsia="宋体" w:cs="宋体"/>
                <w:i w:val="0"/>
                <w:iCs w:val="0"/>
                <w:color w:val="auto"/>
                <w:sz w:val="24"/>
                <w:szCs w:val="24"/>
                <w:highlight w:val="none"/>
                <w:u w:val="none"/>
              </w:rPr>
            </w:pPr>
          </w:p>
        </w:tc>
        <w:tc>
          <w:tcPr>
            <w:tcW w:w="2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D17A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可持续影响</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4B4D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A6EE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0F69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100.00%</w:t>
            </w:r>
          </w:p>
        </w:tc>
      </w:tr>
      <w:tr w14:paraId="5EB4AD52">
        <w:trPr>
          <w:trHeight w:val="280" w:hRule="atLeast"/>
        </w:trPr>
        <w:tc>
          <w:tcPr>
            <w:tcW w:w="9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A86EA">
            <w:pPr>
              <w:jc w:val="center"/>
              <w:rPr>
                <w:rFonts w:hint="eastAsia" w:ascii="宋体" w:hAnsi="宋体" w:eastAsia="宋体" w:cs="宋体"/>
                <w:i w:val="0"/>
                <w:iCs w:val="0"/>
                <w:color w:val="auto"/>
                <w:sz w:val="24"/>
                <w:szCs w:val="24"/>
                <w:highlight w:val="none"/>
                <w:u w:val="none"/>
              </w:rPr>
            </w:pPr>
          </w:p>
        </w:tc>
        <w:tc>
          <w:tcPr>
            <w:tcW w:w="2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3218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生态效益</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97AE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1543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01F0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100.00%</w:t>
            </w:r>
          </w:p>
        </w:tc>
      </w:tr>
      <w:tr w14:paraId="3E8FA0F2">
        <w:trPr>
          <w:trHeight w:val="280" w:hRule="atLeast"/>
        </w:trPr>
        <w:tc>
          <w:tcPr>
            <w:tcW w:w="9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7C33">
            <w:pPr>
              <w:jc w:val="center"/>
              <w:rPr>
                <w:rFonts w:hint="eastAsia" w:ascii="宋体" w:hAnsi="宋体" w:eastAsia="宋体" w:cs="宋体"/>
                <w:i w:val="0"/>
                <w:iCs w:val="0"/>
                <w:color w:val="auto"/>
                <w:sz w:val="24"/>
                <w:szCs w:val="24"/>
                <w:highlight w:val="none"/>
                <w:u w:val="none"/>
              </w:rPr>
            </w:pPr>
          </w:p>
        </w:tc>
        <w:tc>
          <w:tcPr>
            <w:tcW w:w="2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67AE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可持续发展</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761F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5FD9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AE1A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100.00%</w:t>
            </w:r>
          </w:p>
        </w:tc>
      </w:tr>
      <w:tr w14:paraId="4F61825B">
        <w:trPr>
          <w:trHeight w:val="280" w:hRule="atLeast"/>
        </w:trPr>
        <w:tc>
          <w:tcPr>
            <w:tcW w:w="9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93D12">
            <w:pPr>
              <w:jc w:val="center"/>
              <w:rPr>
                <w:rFonts w:hint="eastAsia" w:ascii="宋体" w:hAnsi="宋体" w:eastAsia="宋体" w:cs="宋体"/>
                <w:i w:val="0"/>
                <w:iCs w:val="0"/>
                <w:color w:val="auto"/>
                <w:sz w:val="24"/>
                <w:szCs w:val="24"/>
                <w:highlight w:val="none"/>
                <w:u w:val="none"/>
              </w:rPr>
            </w:pPr>
          </w:p>
        </w:tc>
        <w:tc>
          <w:tcPr>
            <w:tcW w:w="2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BB36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服务对象满意度</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3DCB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AACBE">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4</w:t>
            </w:r>
            <w:r>
              <w:rPr>
                <w:rFonts w:hint="eastAsia" w:ascii="宋体" w:hAnsi="宋体" w:cs="宋体"/>
                <w:i w:val="0"/>
                <w:iCs w:val="0"/>
                <w:color w:val="auto"/>
                <w:kern w:val="0"/>
                <w:sz w:val="24"/>
                <w:szCs w:val="24"/>
                <w:highlight w:val="none"/>
                <w:u w:val="none"/>
                <w:lang w:val="en-US" w:eastAsia="zh-CN" w:bidi="ar"/>
              </w:rPr>
              <w:t>.8</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D9E6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r>
              <w:rPr>
                <w:rFonts w:hint="eastAsia" w:ascii="宋体" w:hAnsi="宋体" w:cs="宋体"/>
                <w:i w:val="0"/>
                <w:iCs w:val="0"/>
                <w:color w:val="auto"/>
                <w:kern w:val="0"/>
                <w:sz w:val="24"/>
                <w:szCs w:val="24"/>
                <w:highlight w:val="none"/>
                <w:u w:val="none"/>
                <w:lang w:val="en-US" w:eastAsia="zh-CN" w:bidi="ar"/>
              </w:rPr>
              <w:t>6</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0</w:t>
            </w:r>
            <w:r>
              <w:rPr>
                <w:rFonts w:hint="eastAsia" w:ascii="宋体" w:hAnsi="宋体" w:eastAsia="宋体" w:cs="宋体"/>
                <w:i w:val="0"/>
                <w:iCs w:val="0"/>
                <w:color w:val="auto"/>
                <w:kern w:val="0"/>
                <w:sz w:val="24"/>
                <w:szCs w:val="24"/>
                <w:highlight w:val="none"/>
                <w:u w:val="none"/>
                <w:lang w:val="en-US" w:eastAsia="zh-CN" w:bidi="ar"/>
              </w:rPr>
              <w:t>0%</w:t>
            </w:r>
          </w:p>
        </w:tc>
      </w:tr>
      <w:tr w14:paraId="151F572B">
        <w:trPr>
          <w:trHeight w:val="280" w:hRule="atLeast"/>
        </w:trPr>
        <w:tc>
          <w:tcPr>
            <w:tcW w:w="31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1548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合 计</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4565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BD30A">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9</w:t>
            </w:r>
            <w:r>
              <w:rPr>
                <w:rFonts w:hint="eastAsia" w:ascii="宋体" w:hAnsi="宋体" w:cs="宋体"/>
                <w:i w:val="0"/>
                <w:iCs w:val="0"/>
                <w:color w:val="auto"/>
                <w:kern w:val="0"/>
                <w:sz w:val="24"/>
                <w:szCs w:val="24"/>
                <w:highlight w:val="none"/>
                <w:u w:val="none"/>
                <w:lang w:val="en-US" w:eastAsia="zh-CN" w:bidi="ar"/>
              </w:rPr>
              <w:t>7.6</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5977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r>
              <w:rPr>
                <w:rFonts w:hint="eastAsia" w:ascii="宋体" w:hAnsi="宋体" w:cs="宋体"/>
                <w:i w:val="0"/>
                <w:iCs w:val="0"/>
                <w:color w:val="auto"/>
                <w:kern w:val="0"/>
                <w:sz w:val="24"/>
                <w:szCs w:val="24"/>
                <w:highlight w:val="none"/>
                <w:u w:val="none"/>
                <w:lang w:val="en-US" w:eastAsia="zh-CN" w:bidi="ar"/>
              </w:rPr>
              <w:t>7.6</w:t>
            </w:r>
            <w:r>
              <w:rPr>
                <w:rFonts w:hint="eastAsia" w:ascii="宋体" w:hAnsi="宋体" w:eastAsia="宋体" w:cs="宋体"/>
                <w:i w:val="0"/>
                <w:iCs w:val="0"/>
                <w:color w:val="auto"/>
                <w:kern w:val="0"/>
                <w:sz w:val="24"/>
                <w:szCs w:val="24"/>
                <w:highlight w:val="none"/>
                <w:u w:val="none"/>
                <w:lang w:val="en-US" w:eastAsia="zh-CN" w:bidi="ar"/>
              </w:rPr>
              <w:t>%</w:t>
            </w:r>
          </w:p>
        </w:tc>
      </w:tr>
    </w:tbl>
    <w:p w14:paraId="1B27A3CC">
      <w:pPr>
        <w:pStyle w:val="3"/>
        <w:keepNext w:val="0"/>
        <w:keepLines w:val="0"/>
        <w:pageBreakBefore w:val="0"/>
        <w:widowControl w:val="0"/>
        <w:numPr>
          <w:ilvl w:val="0"/>
          <w:numId w:val="0"/>
        </w:numPr>
        <w:kinsoku/>
        <w:wordWrap/>
        <w:overflowPunct/>
        <w:topLinePunct w:val="0"/>
        <w:autoSpaceDE/>
        <w:autoSpaceDN/>
        <w:bidi w:val="0"/>
        <w:adjustRightInd/>
        <w:snapToGrid/>
        <w:spacing w:after="0" w:line="54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根据部门职责定位和各项工作履职情况进行综合评价，给出总得分，满分100分，得出综合绩效评价等级。部门整体支出综合绩效评价分为4个等级：得分≥85分为优秀；75≤得分＜85分为良好；60≤得分＜75分为一般；得分＜60分为较差。</w:t>
      </w:r>
    </w:p>
    <w:p w14:paraId="6A0073BF">
      <w:pPr>
        <w:pStyle w:val="3"/>
        <w:keepNext w:val="0"/>
        <w:keepLines w:val="0"/>
        <w:pageBreakBefore w:val="0"/>
        <w:widowControl w:val="0"/>
        <w:numPr>
          <w:ilvl w:val="0"/>
          <w:numId w:val="0"/>
        </w:numPr>
        <w:kinsoku/>
        <w:wordWrap/>
        <w:overflowPunct/>
        <w:topLinePunct w:val="0"/>
        <w:autoSpaceDE/>
        <w:autoSpaceDN/>
        <w:bidi w:val="0"/>
        <w:adjustRightInd/>
        <w:snapToGrid/>
        <w:spacing w:after="0" w:line="540" w:lineRule="exact"/>
        <w:ind w:right="0" w:rightChars="0" w:firstLine="640" w:firstLineChars="200"/>
        <w:jc w:val="both"/>
        <w:textAlignment w:val="auto"/>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五、存在的问题及改进措施</w:t>
      </w:r>
    </w:p>
    <w:p w14:paraId="1E54C48F">
      <w:pPr>
        <w:pStyle w:val="2"/>
        <w:keepNext w:val="0"/>
        <w:keepLines w:val="0"/>
        <w:pageBreakBefore w:val="0"/>
        <w:widowControl w:val="0"/>
        <w:numPr>
          <w:ilvl w:val="0"/>
          <w:numId w:val="0"/>
        </w:numPr>
        <w:kinsoku/>
        <w:wordWrap/>
        <w:overflowPunct/>
        <w:topLinePunct w:val="0"/>
        <w:autoSpaceDE/>
        <w:autoSpaceDN/>
        <w:bidi w:val="0"/>
        <w:adjustRightInd w:val="0"/>
        <w:snapToGrid/>
        <w:spacing w:line="540" w:lineRule="exact"/>
        <w:ind w:leftChars="0" w:firstLine="640" w:firstLineChars="200"/>
        <w:jc w:val="both"/>
        <w:textAlignment w:val="baseline"/>
        <w:rPr>
          <w:rFonts w:hint="eastAsia" w:ascii="楷体_GB2312" w:hAnsi="楷体_GB2312" w:eastAsia="楷体_GB2312" w:cs="楷体_GB2312"/>
          <w:color w:val="auto"/>
          <w:kern w:val="2"/>
          <w:sz w:val="32"/>
          <w:szCs w:val="32"/>
          <w:highlight w:val="none"/>
          <w:lang w:val="en-US" w:eastAsia="zh-CN" w:bidi="ar-SA"/>
        </w:rPr>
      </w:pPr>
      <w:r>
        <w:rPr>
          <w:rFonts w:hint="eastAsia" w:ascii="楷体_GB2312" w:hAnsi="楷体_GB2312" w:eastAsia="楷体_GB2312" w:cs="楷体_GB2312"/>
          <w:color w:val="auto"/>
          <w:kern w:val="2"/>
          <w:sz w:val="32"/>
          <w:szCs w:val="32"/>
          <w:highlight w:val="none"/>
          <w:lang w:val="en-US" w:eastAsia="zh-CN" w:bidi="ar-SA"/>
        </w:rPr>
        <w:t>（一）存在的主要问题</w:t>
      </w:r>
    </w:p>
    <w:p w14:paraId="3E5700F1">
      <w:pPr>
        <w:pStyle w:val="3"/>
        <w:keepNext w:val="0"/>
        <w:keepLines w:val="0"/>
        <w:pageBreakBefore w:val="0"/>
        <w:widowControl w:val="0"/>
        <w:numPr>
          <w:ilvl w:val="1"/>
          <w:numId w:val="16"/>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数字政府市县统筹建设有待加强</w:t>
      </w:r>
    </w:p>
    <w:p w14:paraId="4DD49AE2">
      <w:pPr>
        <w:pStyle w:val="3"/>
        <w:keepNext w:val="0"/>
        <w:keepLines w:val="0"/>
        <w:pageBreakBefore w:val="0"/>
        <w:widowControl w:val="0"/>
        <w:numPr>
          <w:ilvl w:val="0"/>
          <w:numId w:val="0"/>
        </w:numPr>
        <w:kinsoku/>
        <w:wordWrap/>
        <w:overflowPunct/>
        <w:topLinePunct w:val="0"/>
        <w:autoSpaceDE/>
        <w:autoSpaceDN/>
        <w:bidi w:val="0"/>
        <w:adjustRightInd/>
        <w:snapToGrid/>
        <w:spacing w:after="0" w:line="54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由于机构设置不统一、建设经费分级负责等原因，我市目前市、县两级统一规划和统筹管理还有差距。同时受到经济、资源、人才等因素影响，整体看各县（市、区）数字政府建设水平参差不齐，步伐不一致。</w:t>
      </w:r>
    </w:p>
    <w:p w14:paraId="32A24F72">
      <w:pPr>
        <w:pStyle w:val="3"/>
        <w:keepNext w:val="0"/>
        <w:keepLines w:val="0"/>
        <w:pageBreakBefore w:val="0"/>
        <w:widowControl w:val="0"/>
        <w:numPr>
          <w:ilvl w:val="1"/>
          <w:numId w:val="16"/>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数据资源体系建设有待完善</w:t>
      </w:r>
    </w:p>
    <w:p w14:paraId="7518ECD5">
      <w:pPr>
        <w:pStyle w:val="3"/>
        <w:keepNext w:val="0"/>
        <w:keepLines w:val="0"/>
        <w:pageBreakBefore w:val="0"/>
        <w:widowControl w:val="0"/>
        <w:numPr>
          <w:ilvl w:val="0"/>
          <w:numId w:val="0"/>
        </w:numPr>
        <w:kinsoku/>
        <w:wordWrap/>
        <w:overflowPunct/>
        <w:topLinePunct w:val="0"/>
        <w:autoSpaceDE/>
        <w:autoSpaceDN/>
        <w:bidi w:val="0"/>
        <w:adjustRightInd/>
        <w:snapToGrid/>
        <w:spacing w:after="0" w:line="54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对标国家、省一体化政务大数据体系建设要求，我市政务大数据体系还存在数据资源底数不清、基础支撑能力有待提高、安全保障能力需要强化等问题，亟需加强数据资源统筹管理，持续提升大数据平台能力。</w:t>
      </w:r>
    </w:p>
    <w:p w14:paraId="13D6E523">
      <w:pPr>
        <w:pStyle w:val="3"/>
        <w:keepNext w:val="0"/>
        <w:keepLines w:val="0"/>
        <w:pageBreakBefore w:val="0"/>
        <w:widowControl w:val="0"/>
        <w:numPr>
          <w:ilvl w:val="1"/>
          <w:numId w:val="16"/>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服务于企业、服务群众的意识还有待加强</w:t>
      </w:r>
    </w:p>
    <w:p w14:paraId="3B3B62CA">
      <w:pPr>
        <w:pStyle w:val="3"/>
        <w:keepNext w:val="0"/>
        <w:keepLines w:val="0"/>
        <w:pageBreakBefore w:val="0"/>
        <w:widowControl w:val="0"/>
        <w:numPr>
          <w:ilvl w:val="0"/>
          <w:numId w:val="0"/>
        </w:numPr>
        <w:kinsoku/>
        <w:wordWrap/>
        <w:overflowPunct/>
        <w:topLinePunct w:val="0"/>
        <w:autoSpaceDE/>
        <w:autoSpaceDN/>
        <w:bidi w:val="0"/>
        <w:adjustRightInd/>
        <w:snapToGrid/>
        <w:spacing w:after="0" w:line="54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与企业和群众联系不够紧密，有些工作还单纯定位于技术支撑，没有做到从企业和群众的角度出发，企业和群众常用、刚需的服务应用还需增加。</w:t>
      </w:r>
    </w:p>
    <w:p w14:paraId="4C19ABD4">
      <w:pPr>
        <w:pStyle w:val="2"/>
        <w:keepNext w:val="0"/>
        <w:keepLines w:val="0"/>
        <w:pageBreakBefore w:val="0"/>
        <w:widowControl w:val="0"/>
        <w:numPr>
          <w:ilvl w:val="0"/>
          <w:numId w:val="0"/>
        </w:numPr>
        <w:kinsoku/>
        <w:wordWrap/>
        <w:overflowPunct/>
        <w:topLinePunct w:val="0"/>
        <w:autoSpaceDE/>
        <w:autoSpaceDN/>
        <w:bidi w:val="0"/>
        <w:adjustRightInd w:val="0"/>
        <w:snapToGrid/>
        <w:spacing w:line="540" w:lineRule="exact"/>
        <w:ind w:leftChars="0" w:firstLine="640" w:firstLineChars="200"/>
        <w:jc w:val="both"/>
        <w:textAlignment w:val="baseline"/>
        <w:rPr>
          <w:rFonts w:hint="eastAsia" w:ascii="楷体_GB2312" w:hAnsi="楷体_GB2312" w:eastAsia="楷体_GB2312" w:cs="楷体_GB2312"/>
          <w:color w:val="auto"/>
          <w:kern w:val="2"/>
          <w:sz w:val="32"/>
          <w:szCs w:val="32"/>
          <w:highlight w:val="none"/>
          <w:lang w:val="en-US" w:eastAsia="zh-CN" w:bidi="ar-SA"/>
        </w:rPr>
      </w:pPr>
      <w:r>
        <w:rPr>
          <w:rFonts w:hint="eastAsia" w:ascii="楷体_GB2312" w:hAnsi="楷体_GB2312" w:eastAsia="楷体_GB2312" w:cs="楷体_GB2312"/>
          <w:color w:val="auto"/>
          <w:kern w:val="2"/>
          <w:sz w:val="32"/>
          <w:szCs w:val="32"/>
          <w:highlight w:val="none"/>
          <w:lang w:val="en-US" w:eastAsia="zh-CN" w:bidi="ar-SA"/>
        </w:rPr>
        <w:t>（二）针对问题提出具体的改进措施或建议</w:t>
      </w:r>
    </w:p>
    <w:p w14:paraId="2C37F37D">
      <w:pPr>
        <w:pStyle w:val="3"/>
        <w:keepNext w:val="0"/>
        <w:keepLines w:val="0"/>
        <w:pageBreakBefore w:val="0"/>
        <w:widowControl w:val="0"/>
        <w:numPr>
          <w:ilvl w:val="0"/>
          <w:numId w:val="0"/>
        </w:numPr>
        <w:kinsoku/>
        <w:wordWrap/>
        <w:overflowPunct/>
        <w:topLinePunct w:val="0"/>
        <w:autoSpaceDE/>
        <w:autoSpaceDN/>
        <w:bidi w:val="0"/>
        <w:adjustRightInd/>
        <w:snapToGrid/>
        <w:spacing w:after="0" w:line="54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建议一：建立各项政策规划、年度任务分解落实机制。</w:t>
      </w:r>
    </w:p>
    <w:p w14:paraId="4261E238">
      <w:pPr>
        <w:pStyle w:val="3"/>
        <w:keepNext w:val="0"/>
        <w:keepLines w:val="0"/>
        <w:pageBreakBefore w:val="0"/>
        <w:widowControl w:val="0"/>
        <w:numPr>
          <w:ilvl w:val="0"/>
          <w:numId w:val="0"/>
        </w:numPr>
        <w:kinsoku/>
        <w:wordWrap/>
        <w:overflowPunct/>
        <w:topLinePunct w:val="0"/>
        <w:autoSpaceDE/>
        <w:autoSpaceDN/>
        <w:bidi w:val="0"/>
        <w:adjustRightInd/>
        <w:snapToGrid/>
        <w:spacing w:after="0" w:line="54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建立各项政策与规划、年度工作任务从数据局整体向机关各处室、下级管理机构（电子政务中心）的分解落实机制，明确各项工作任务具体目标、路线图与时间表。</w:t>
      </w:r>
    </w:p>
    <w:p w14:paraId="179AADFE">
      <w:pPr>
        <w:pStyle w:val="3"/>
        <w:keepNext w:val="0"/>
        <w:keepLines w:val="0"/>
        <w:pageBreakBefore w:val="0"/>
        <w:widowControl w:val="0"/>
        <w:numPr>
          <w:ilvl w:val="0"/>
          <w:numId w:val="0"/>
        </w:numPr>
        <w:kinsoku/>
        <w:wordWrap/>
        <w:overflowPunct/>
        <w:topLinePunct w:val="0"/>
        <w:autoSpaceDE/>
        <w:autoSpaceDN/>
        <w:bidi w:val="0"/>
        <w:adjustRightInd/>
        <w:snapToGrid/>
        <w:spacing w:after="0" w:line="54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建议二：持续提升行业发展能力，推动数字政府、数字社会、数字民生建设事业的高质量发展。</w:t>
      </w:r>
    </w:p>
    <w:p w14:paraId="45AE490C">
      <w:pPr>
        <w:pStyle w:val="3"/>
        <w:keepNext w:val="0"/>
        <w:keepLines w:val="0"/>
        <w:pageBreakBefore w:val="0"/>
        <w:widowControl w:val="0"/>
        <w:numPr>
          <w:ilvl w:val="0"/>
          <w:numId w:val="0"/>
        </w:numPr>
        <w:kinsoku/>
        <w:wordWrap/>
        <w:overflowPunct/>
        <w:topLinePunct w:val="0"/>
        <w:autoSpaceDE/>
        <w:autoSpaceDN/>
        <w:bidi w:val="0"/>
        <w:adjustRightInd/>
        <w:snapToGrid/>
        <w:spacing w:after="0" w:line="54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以推动高质量发展为主题，以建设数字石家庄为总目标，持续提升行业发展能力，对标更先进的区域，“跳出石家庄、跳出河北，站位全国看石家庄”，推动数字社会、数字政府、数字民生建设，发挥信息化对经济社会发展的驱动引领作用。</w:t>
      </w:r>
    </w:p>
    <w:p w14:paraId="139BB93E">
      <w:pPr>
        <w:pStyle w:val="3"/>
        <w:keepNext w:val="0"/>
        <w:keepLines w:val="0"/>
        <w:pageBreakBefore w:val="0"/>
        <w:widowControl w:val="0"/>
        <w:numPr>
          <w:ilvl w:val="0"/>
          <w:numId w:val="0"/>
        </w:numPr>
        <w:kinsoku/>
        <w:wordWrap/>
        <w:overflowPunct/>
        <w:topLinePunct w:val="0"/>
        <w:autoSpaceDE/>
        <w:autoSpaceDN/>
        <w:bidi w:val="0"/>
        <w:adjustRightInd/>
        <w:snapToGrid/>
        <w:spacing w:after="0" w:line="54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建议三：以“石i民”“石i企”两个APP应用为载体，从“方便群众、服务民生”的角度增加更多的便捷应用，让数字化便民应用成为石家庄的另一张城市名片。</w:t>
      </w:r>
    </w:p>
    <w:p w14:paraId="3D0B2536">
      <w:pPr>
        <w:pStyle w:val="3"/>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right="0" w:rightChars="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黑体" w:hAnsi="黑体" w:eastAsia="黑体" w:cs="黑体"/>
          <w:color w:val="auto"/>
          <w:sz w:val="32"/>
          <w:szCs w:val="32"/>
          <w:highlight w:val="none"/>
          <w:lang w:val="en-US" w:eastAsia="zh-CN"/>
        </w:rPr>
        <w:t>六、评价工作组人员名单及签字</w:t>
      </w:r>
    </w:p>
    <w:tbl>
      <w:tblPr>
        <w:tblStyle w:val="6"/>
        <w:tblW w:w="8626" w:type="dxa"/>
        <w:tblInd w:w="0" w:type="dxa"/>
        <w:shd w:val="clear" w:color="auto" w:fill="auto"/>
        <w:tblLayout w:type="fixed"/>
        <w:tblCellMar>
          <w:top w:w="0" w:type="dxa"/>
          <w:left w:w="108" w:type="dxa"/>
          <w:bottom w:w="0" w:type="dxa"/>
          <w:right w:w="108" w:type="dxa"/>
        </w:tblCellMar>
      </w:tblPr>
      <w:tblGrid>
        <w:gridCol w:w="1681"/>
        <w:gridCol w:w="2609"/>
        <w:gridCol w:w="2864"/>
        <w:gridCol w:w="1472"/>
      </w:tblGrid>
      <w:tr w14:paraId="1F6F0318">
        <w:trPr>
          <w:trHeight w:val="552" w:hRule="atLeast"/>
        </w:trPr>
        <w:tc>
          <w:tcPr>
            <w:tcW w:w="1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22571">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姓名</w:t>
            </w:r>
          </w:p>
        </w:tc>
        <w:tc>
          <w:tcPr>
            <w:tcW w:w="2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CDDFA">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工作单位</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DA975">
            <w:pPr>
              <w:keepNext w:val="0"/>
              <w:keepLines w:val="0"/>
              <w:widowControl/>
              <w:suppressLineNumbers w:val="0"/>
              <w:jc w:val="center"/>
              <w:textAlignment w:val="center"/>
              <w:rPr>
                <w:rFonts w:hint="default" w:ascii="宋体" w:hAnsi="宋体" w:eastAsia="宋体" w:cs="宋体"/>
                <w:b/>
                <w:bCs/>
                <w:i w:val="0"/>
                <w:iCs w:val="0"/>
                <w:color w:val="auto"/>
                <w:sz w:val="24"/>
                <w:szCs w:val="24"/>
                <w:highlight w:val="none"/>
                <w:u w:val="none"/>
                <w:lang w:val="en-US"/>
              </w:rPr>
            </w:pPr>
            <w:r>
              <w:rPr>
                <w:rFonts w:hint="eastAsia" w:ascii="宋体" w:hAnsi="宋体" w:eastAsia="宋体" w:cs="宋体"/>
                <w:b/>
                <w:bCs/>
                <w:i w:val="0"/>
                <w:iCs w:val="0"/>
                <w:color w:val="auto"/>
                <w:kern w:val="0"/>
                <w:sz w:val="24"/>
                <w:szCs w:val="24"/>
                <w:highlight w:val="none"/>
                <w:u w:val="none"/>
                <w:lang w:val="en-US" w:eastAsia="zh-CN" w:bidi="ar"/>
              </w:rPr>
              <w:t>职务</w:t>
            </w:r>
            <w:r>
              <w:rPr>
                <w:rFonts w:hint="eastAsia" w:ascii="宋体" w:hAnsi="宋体" w:cs="宋体"/>
                <w:b/>
                <w:bCs/>
                <w:i w:val="0"/>
                <w:iCs w:val="0"/>
                <w:color w:val="auto"/>
                <w:kern w:val="0"/>
                <w:sz w:val="24"/>
                <w:szCs w:val="24"/>
                <w:highlight w:val="none"/>
                <w:u w:val="none"/>
                <w:lang w:val="en-US" w:eastAsia="zh-CN" w:bidi="ar"/>
              </w:rPr>
              <w:t>/</w:t>
            </w:r>
            <w:r>
              <w:rPr>
                <w:rFonts w:hint="eastAsia" w:ascii="宋体" w:hAnsi="宋体" w:eastAsia="宋体" w:cs="宋体"/>
                <w:b/>
                <w:bCs/>
                <w:i w:val="0"/>
                <w:iCs w:val="0"/>
                <w:color w:val="auto"/>
                <w:kern w:val="0"/>
                <w:sz w:val="24"/>
                <w:szCs w:val="24"/>
                <w:highlight w:val="none"/>
                <w:u w:val="none"/>
                <w:lang w:val="en-US" w:eastAsia="zh-CN" w:bidi="ar"/>
              </w:rPr>
              <w:t>职称</w:t>
            </w: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D8243">
            <w:pPr>
              <w:keepNext w:val="0"/>
              <w:keepLines w:val="0"/>
              <w:widowControl/>
              <w:suppressLineNumbers w:val="0"/>
              <w:jc w:val="center"/>
              <w:textAlignment w:val="center"/>
              <w:rPr>
                <w:rFonts w:hint="default" w:ascii="宋体" w:hAnsi="宋体" w:eastAsia="宋体" w:cs="宋体"/>
                <w:b/>
                <w:bCs/>
                <w:i w:val="0"/>
                <w:iCs w:val="0"/>
                <w:color w:val="auto"/>
                <w:kern w:val="0"/>
                <w:sz w:val="24"/>
                <w:szCs w:val="24"/>
                <w:highlight w:val="none"/>
                <w:u w:val="none"/>
                <w:lang w:val="en-US" w:eastAsia="zh-CN" w:bidi="ar"/>
              </w:rPr>
            </w:pPr>
            <w:r>
              <w:rPr>
                <w:rFonts w:hint="eastAsia" w:ascii="宋体" w:hAnsi="宋体" w:cs="宋体"/>
                <w:b/>
                <w:bCs/>
                <w:i w:val="0"/>
                <w:iCs w:val="0"/>
                <w:color w:val="auto"/>
                <w:kern w:val="0"/>
                <w:sz w:val="24"/>
                <w:szCs w:val="24"/>
                <w:highlight w:val="none"/>
                <w:u w:val="none"/>
                <w:lang w:val="en-US" w:eastAsia="zh-CN" w:bidi="ar"/>
              </w:rPr>
              <w:t>签字</w:t>
            </w:r>
          </w:p>
        </w:tc>
      </w:tr>
      <w:tr w14:paraId="247F5AB4">
        <w:trPr>
          <w:trHeight w:val="552" w:hRule="atLeast"/>
        </w:trPr>
        <w:tc>
          <w:tcPr>
            <w:tcW w:w="1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D72C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lang w:eastAsia="zh-CN"/>
              </w:rPr>
            </w:pPr>
            <w:r>
              <w:rPr>
                <w:rFonts w:hint="eastAsia" w:ascii="宋体" w:hAnsi="宋体" w:eastAsia="宋体" w:cs="宋体"/>
                <w:i w:val="0"/>
                <w:iCs w:val="0"/>
                <w:color w:val="auto"/>
                <w:sz w:val="24"/>
                <w:szCs w:val="24"/>
                <w:highlight w:val="none"/>
                <w:u w:val="none"/>
                <w:lang w:eastAsia="zh-CN"/>
              </w:rPr>
              <w:t>赵</w:t>
            </w:r>
            <w:r>
              <w:rPr>
                <w:rFonts w:hint="eastAsia" w:ascii="宋体" w:hAnsi="宋体" w:eastAsia="宋体" w:cs="宋体"/>
                <w:i w:val="0"/>
                <w:iCs w:val="0"/>
                <w:color w:val="auto"/>
                <w:sz w:val="24"/>
                <w:szCs w:val="24"/>
                <w:highlight w:val="none"/>
                <w:u w:val="none"/>
                <w:lang w:val="en-US" w:eastAsia="zh-CN"/>
              </w:rPr>
              <w:t xml:space="preserve">  </w:t>
            </w:r>
            <w:r>
              <w:rPr>
                <w:rFonts w:hint="eastAsia" w:ascii="宋体" w:hAnsi="宋体" w:eastAsia="宋体" w:cs="宋体"/>
                <w:i w:val="0"/>
                <w:iCs w:val="0"/>
                <w:color w:val="auto"/>
                <w:sz w:val="24"/>
                <w:szCs w:val="24"/>
                <w:highlight w:val="none"/>
                <w:u w:val="none"/>
                <w:lang w:eastAsia="zh-CN"/>
              </w:rPr>
              <w:t>琳</w:t>
            </w:r>
          </w:p>
        </w:tc>
        <w:tc>
          <w:tcPr>
            <w:tcW w:w="2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9850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lang w:eastAsia="zh-CN"/>
              </w:rPr>
            </w:pPr>
            <w:r>
              <w:rPr>
                <w:rFonts w:hint="eastAsia" w:ascii="宋体" w:hAnsi="宋体" w:cs="宋体"/>
                <w:i w:val="0"/>
                <w:iCs w:val="0"/>
                <w:color w:val="auto"/>
                <w:sz w:val="24"/>
                <w:szCs w:val="24"/>
                <w:highlight w:val="none"/>
                <w:u w:val="none"/>
                <w:lang w:eastAsia="zh-CN"/>
              </w:rPr>
              <w:t>石家庄市数据局</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1D89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lang w:eastAsia="zh-CN"/>
              </w:rPr>
            </w:pPr>
            <w:r>
              <w:rPr>
                <w:rFonts w:hint="eastAsia" w:ascii="宋体" w:hAnsi="宋体" w:eastAsia="宋体" w:cs="宋体"/>
                <w:i w:val="0"/>
                <w:iCs w:val="0"/>
                <w:color w:val="auto"/>
                <w:sz w:val="24"/>
                <w:szCs w:val="24"/>
                <w:highlight w:val="none"/>
                <w:u w:val="none"/>
                <w:lang w:eastAsia="zh-CN"/>
              </w:rPr>
              <w:t>应用推广科科长</w:t>
            </w: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58E9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r>
      <w:tr w14:paraId="7D392C5B">
        <w:trPr>
          <w:trHeight w:val="552" w:hRule="atLeast"/>
        </w:trPr>
        <w:tc>
          <w:tcPr>
            <w:tcW w:w="1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EAF8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lang w:eastAsia="zh-CN"/>
              </w:rPr>
            </w:pPr>
            <w:r>
              <w:rPr>
                <w:rFonts w:hint="eastAsia" w:ascii="宋体" w:hAnsi="宋体" w:cs="宋体"/>
                <w:i w:val="0"/>
                <w:iCs w:val="0"/>
                <w:color w:val="auto"/>
                <w:sz w:val="24"/>
                <w:szCs w:val="24"/>
                <w:highlight w:val="none"/>
                <w:u w:val="none"/>
                <w:lang w:eastAsia="zh-CN"/>
              </w:rPr>
              <w:t>赵文贺</w:t>
            </w:r>
          </w:p>
        </w:tc>
        <w:tc>
          <w:tcPr>
            <w:tcW w:w="2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F92A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lang w:eastAsia="zh-CN"/>
              </w:rPr>
            </w:pPr>
            <w:r>
              <w:rPr>
                <w:rFonts w:hint="eastAsia" w:ascii="宋体" w:hAnsi="宋体" w:cs="宋体"/>
                <w:i w:val="0"/>
                <w:iCs w:val="0"/>
                <w:color w:val="auto"/>
                <w:sz w:val="24"/>
                <w:szCs w:val="24"/>
                <w:highlight w:val="none"/>
                <w:u w:val="none"/>
                <w:lang w:eastAsia="zh-CN"/>
              </w:rPr>
              <w:t>石家庄市数据局</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224A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lang w:eastAsia="zh-CN"/>
              </w:rPr>
            </w:pPr>
            <w:r>
              <w:rPr>
                <w:rFonts w:hint="eastAsia" w:ascii="宋体" w:hAnsi="宋体" w:eastAsia="宋体" w:cs="宋体"/>
                <w:i w:val="0"/>
                <w:iCs w:val="0"/>
                <w:color w:val="auto"/>
                <w:sz w:val="24"/>
                <w:szCs w:val="24"/>
                <w:highlight w:val="none"/>
                <w:u w:val="none"/>
                <w:lang w:eastAsia="zh-CN"/>
              </w:rPr>
              <w:t>应用推广科副</w:t>
            </w:r>
            <w:r>
              <w:rPr>
                <w:rFonts w:hint="eastAsia" w:ascii="宋体" w:hAnsi="宋体" w:cs="宋体"/>
                <w:i w:val="0"/>
                <w:iCs w:val="0"/>
                <w:color w:val="auto"/>
                <w:sz w:val="24"/>
                <w:szCs w:val="24"/>
                <w:highlight w:val="none"/>
                <w:u w:val="none"/>
                <w:lang w:eastAsia="zh-CN"/>
              </w:rPr>
              <w:t>科长</w:t>
            </w: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E615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r>
      <w:tr w14:paraId="0F11C099">
        <w:trPr>
          <w:trHeight w:val="569" w:hRule="atLeast"/>
        </w:trPr>
        <w:tc>
          <w:tcPr>
            <w:tcW w:w="1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83D2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lang w:eastAsia="zh-CN"/>
              </w:rPr>
            </w:pPr>
            <w:r>
              <w:rPr>
                <w:rFonts w:hint="eastAsia" w:ascii="宋体" w:hAnsi="宋体" w:cs="宋体"/>
                <w:i w:val="0"/>
                <w:iCs w:val="0"/>
                <w:color w:val="auto"/>
                <w:sz w:val="24"/>
                <w:szCs w:val="24"/>
                <w:highlight w:val="none"/>
                <w:u w:val="none"/>
                <w:lang w:eastAsia="zh-CN"/>
              </w:rPr>
              <w:t>任小贺</w:t>
            </w:r>
          </w:p>
        </w:tc>
        <w:tc>
          <w:tcPr>
            <w:tcW w:w="2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0D3A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i w:val="0"/>
                <w:iCs w:val="0"/>
                <w:color w:val="auto"/>
                <w:sz w:val="24"/>
                <w:szCs w:val="24"/>
                <w:highlight w:val="none"/>
                <w:u w:val="none"/>
                <w:lang w:eastAsia="zh-CN"/>
              </w:rPr>
              <w:t>石家庄市数据局</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D7AA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eastAsia="zh-CN"/>
              </w:rPr>
              <w:t>应用推广科</w:t>
            </w:r>
            <w:r>
              <w:rPr>
                <w:rFonts w:hint="eastAsia" w:ascii="宋体" w:hAnsi="宋体" w:cs="宋体"/>
                <w:i w:val="0"/>
                <w:iCs w:val="0"/>
                <w:color w:val="auto"/>
                <w:sz w:val="24"/>
                <w:szCs w:val="24"/>
                <w:highlight w:val="none"/>
                <w:u w:val="none"/>
                <w:lang w:eastAsia="zh-CN"/>
              </w:rPr>
              <w:t>三级</w:t>
            </w:r>
            <w:r>
              <w:rPr>
                <w:rFonts w:hint="eastAsia" w:ascii="宋体" w:hAnsi="宋体" w:eastAsia="宋体" w:cs="宋体"/>
                <w:i w:val="0"/>
                <w:iCs w:val="0"/>
                <w:color w:val="auto"/>
                <w:sz w:val="24"/>
                <w:szCs w:val="24"/>
                <w:highlight w:val="none"/>
                <w:u w:val="none"/>
                <w:lang w:eastAsia="zh-CN"/>
              </w:rPr>
              <w:t>主任科员</w:t>
            </w: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113B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r>
    </w:tbl>
    <w:p w14:paraId="237D2A95">
      <w:pPr>
        <w:keepNext w:val="0"/>
        <w:keepLines w:val="0"/>
        <w:pageBreakBefore w:val="0"/>
        <w:kinsoku/>
        <w:wordWrap w:val="0"/>
        <w:overflowPunct/>
        <w:topLinePunct w:val="0"/>
        <w:autoSpaceDE/>
        <w:autoSpaceDN/>
        <w:bidi w:val="0"/>
        <w:spacing w:line="600" w:lineRule="exact"/>
        <w:jc w:val="both"/>
        <w:rPr>
          <w:rFonts w:hint="eastAsia"/>
          <w:color w:val="auto"/>
          <w:highlight w:val="none"/>
          <w:lang w:val="en-US" w:eastAsia="zh-CN"/>
        </w:rPr>
      </w:pPr>
      <w:r>
        <w:rPr>
          <w:rFonts w:hint="eastAsia" w:ascii="仿宋_GB2312" w:hAnsi="仿宋_GB2312" w:eastAsia="仿宋_GB2312" w:cs="仿宋_GB2312"/>
          <w:color w:val="auto"/>
          <w:sz w:val="32"/>
          <w:szCs w:val="32"/>
          <w:highlight w:val="none"/>
          <w:lang w:val="en-US" w:eastAsia="zh-CN"/>
        </w:rPr>
        <w:t xml:space="preserve">          </w:t>
      </w:r>
    </w:p>
    <w:p w14:paraId="0344914C">
      <w:pPr>
        <w:keepNext w:val="0"/>
        <w:keepLines w:val="0"/>
        <w:pageBreakBefore w:val="0"/>
        <w:kinsoku/>
        <w:wordWrap w:val="0"/>
        <w:overflowPunct/>
        <w:topLinePunct w:val="0"/>
        <w:autoSpaceDE/>
        <w:autoSpaceDN/>
        <w:bidi w:val="0"/>
        <w:spacing w:line="600" w:lineRule="exact"/>
        <w:ind w:firstLine="640" w:firstLineChars="200"/>
        <w:jc w:val="center"/>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 xml:space="preserve">                    石家庄市数据局    </w:t>
      </w:r>
    </w:p>
    <w:p w14:paraId="01F8449D">
      <w:pPr>
        <w:pStyle w:val="3"/>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right="0" w:rightChars="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 xml:space="preserve">                          2024年4月19日</w:t>
      </w:r>
    </w:p>
    <w:sectPr>
      <w:footerReference r:id="rId3" w:type="default"/>
      <w:pgSz w:w="11906" w:h="16838"/>
      <w:pgMar w:top="2098" w:right="1474" w:bottom="1984" w:left="1587" w:header="851" w:footer="992" w:gutter="0"/>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7A"/>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仿宋_GB2312">
    <w:altName w:val="方正仿宋_GBK"/>
    <w:panose1 w:val="02010609030101010101"/>
    <w:charset w:val="86"/>
    <w:family w:val="auto"/>
    <w:pitch w:val="default"/>
    <w:sig w:usb0="00000000" w:usb1="00000000" w:usb2="00000000" w:usb3="00000000" w:csb0="00040000" w:csb1="00000000"/>
  </w:font>
  <w:font w:name="FZXiaoBiaoSong-B05S">
    <w:panose1 w:val="02000000000000000000"/>
    <w:charset w:val="86"/>
    <w:family w:val="auto"/>
    <w:pitch w:val="default"/>
    <w:sig w:usb0="00000001" w:usb1="08000000" w:usb2="00000000" w:usb3="00000000" w:csb0="00040000" w:csb1="00000000"/>
  </w:font>
  <w:font w:name="方正小标宋简体">
    <w:panose1 w:val="02000000000000000000"/>
    <w:charset w:val="86"/>
    <w:family w:val="auto"/>
    <w:pitch w:val="default"/>
    <w:sig w:usb0="00000001" w:usb1="08000000" w:usb2="00000000" w:usb3="00000000" w:csb0="00040000" w:csb1="00000000"/>
    <w:embedRegular r:id="rId1" w:fontKey="{7054557B-C688-E344-0FE4-CB68F36A291D}"/>
  </w:font>
  <w:font w:name="方正仿宋_GB2312">
    <w:panose1 w:val="02000000000000000000"/>
    <w:charset w:val="86"/>
    <w:family w:val="auto"/>
    <w:pitch w:val="default"/>
    <w:sig w:usb0="A00002BF" w:usb1="184F6CFA" w:usb2="00000012" w:usb3="00000000" w:csb0="00040001" w:csb1="00000000"/>
  </w:font>
  <w:font w:name="楷体_GB2312">
    <w:altName w:val="汉仪楷体简"/>
    <w:panose1 w:val="02010609030101010101"/>
    <w:charset w:val="86"/>
    <w:family w:val="auto"/>
    <w:pitch w:val="default"/>
    <w:sig w:usb0="00000000" w:usb1="0000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方正仿宋_GBK">
    <w:panose1 w:val="02000000000000000000"/>
    <w:charset w:val="86"/>
    <w:family w:val="auto"/>
    <w:pitch w:val="default"/>
    <w:sig w:usb0="A00002BF" w:usb1="38CF7CFA" w:usb2="00082016" w:usb3="00000000" w:csb0="00040001" w:csb1="00000000"/>
  </w:font>
  <w:font w:name="汉仪中黑KW">
    <w:panose1 w:val="00020600040101010101"/>
    <w:charset w:val="86"/>
    <w:family w:val="auto"/>
    <w:pitch w:val="default"/>
    <w:sig w:usb0="A00002BF" w:usb1="18EF7CFA" w:usb2="00000016" w:usb3="00000000" w:csb0="00040000" w:csb1="00000000"/>
  </w:font>
  <w:font w:name="汉仪楷体简">
    <w:panose1 w:val="02010600000101010101"/>
    <w:charset w:val="86"/>
    <w:family w:val="auto"/>
    <w:pitch w:val="default"/>
    <w:sig w:usb0="00000001" w:usb1="080E0800" w:usb2="00000002"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CC746">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C6CE89">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EC6CE89">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C4B791"/>
    <w:multiLevelType w:val="singleLevel"/>
    <w:tmpl w:val="A2C4B791"/>
    <w:lvl w:ilvl="0" w:tentative="0">
      <w:start w:val="1"/>
      <w:numFmt w:val="decimal"/>
      <w:suff w:val="nothing"/>
      <w:lvlText w:val="%1．"/>
      <w:lvlJc w:val="left"/>
      <w:pPr>
        <w:ind w:left="0" w:firstLine="400"/>
      </w:pPr>
      <w:rPr>
        <w:rFonts w:hint="default" w:ascii="Times New Roman" w:hAnsi="Times New Roman" w:cs="Times New Roman"/>
      </w:rPr>
    </w:lvl>
  </w:abstractNum>
  <w:abstractNum w:abstractNumId="1">
    <w:nsid w:val="AA15441F"/>
    <w:multiLevelType w:val="singleLevel"/>
    <w:tmpl w:val="AA15441F"/>
    <w:lvl w:ilvl="0" w:tentative="0">
      <w:start w:val="1"/>
      <w:numFmt w:val="decimal"/>
      <w:suff w:val="nothing"/>
      <w:lvlText w:val="%1．"/>
      <w:lvlJc w:val="left"/>
      <w:pPr>
        <w:ind w:left="0" w:firstLine="400"/>
      </w:pPr>
      <w:rPr>
        <w:rFonts w:hint="default" w:ascii="Times New Roman" w:hAnsi="Times New Roman" w:cs="Times New Roman"/>
      </w:rPr>
    </w:lvl>
  </w:abstractNum>
  <w:abstractNum w:abstractNumId="2">
    <w:nsid w:val="C9D7D3A4"/>
    <w:multiLevelType w:val="multilevel"/>
    <w:tmpl w:val="C9D7D3A4"/>
    <w:lvl w:ilvl="0" w:tentative="0">
      <w:start w:val="1"/>
      <w:numFmt w:val="chineseCounting"/>
      <w:suff w:val="nothing"/>
      <w:lvlText w:val="%1、"/>
      <w:lvlJc w:val="left"/>
      <w:pPr>
        <w:ind w:left="0" w:firstLine="400"/>
      </w:pPr>
      <w:rPr>
        <w:rFonts w:hint="eastAsia"/>
      </w:rPr>
    </w:lvl>
    <w:lvl w:ilvl="1" w:tentative="0">
      <w:start w:val="1"/>
      <w:numFmt w:val="decimal"/>
      <w:suff w:val="nothing"/>
      <w:lvlText w:val="%2．"/>
      <w:lvlJc w:val="left"/>
      <w:pPr>
        <w:ind w:left="0" w:firstLine="400"/>
      </w:pPr>
      <w:rPr>
        <w:rFonts w:hint="eastAsia"/>
      </w:rPr>
    </w:lvl>
    <w:lvl w:ilvl="2" w:tentative="0">
      <w:start w:val="1"/>
      <w:numFmt w:val="decimal"/>
      <w:suff w:val="nothing"/>
      <w:lvlText w:val="（%3）"/>
      <w:lvlJc w:val="left"/>
      <w:pPr>
        <w:ind w:left="0" w:firstLine="402"/>
      </w:pPr>
      <w:rPr>
        <w:rFonts w:hint="eastAsia"/>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low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Roman"/>
      <w:suff w:val="nothing"/>
      <w:lvlText w:val="%8. "/>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3">
    <w:nsid w:val="F471EE43"/>
    <w:multiLevelType w:val="singleLevel"/>
    <w:tmpl w:val="F471EE43"/>
    <w:lvl w:ilvl="0" w:tentative="0">
      <w:start w:val="1"/>
      <w:numFmt w:val="decimal"/>
      <w:suff w:val="nothing"/>
      <w:lvlText w:val="%1．"/>
      <w:lvlJc w:val="left"/>
      <w:pPr>
        <w:ind w:left="0" w:firstLine="400"/>
      </w:pPr>
      <w:rPr>
        <w:rFonts w:hint="default" w:ascii="Times New Roman" w:hAnsi="Times New Roman" w:cs="Times New Roman"/>
      </w:rPr>
    </w:lvl>
  </w:abstractNum>
  <w:abstractNum w:abstractNumId="4">
    <w:nsid w:val="06D7E02D"/>
    <w:multiLevelType w:val="multilevel"/>
    <w:tmpl w:val="06D7E02D"/>
    <w:lvl w:ilvl="0" w:tentative="0">
      <w:start w:val="1"/>
      <w:numFmt w:val="chineseCounting"/>
      <w:suff w:val="nothing"/>
      <w:lvlText w:val="%1、"/>
      <w:lvlJc w:val="left"/>
      <w:pPr>
        <w:ind w:left="0" w:firstLine="400"/>
      </w:pPr>
      <w:rPr>
        <w:rFonts w:hint="eastAsia"/>
      </w:rPr>
    </w:lvl>
    <w:lvl w:ilvl="1" w:tentative="0">
      <w:start w:val="1"/>
      <w:numFmt w:val="decimal"/>
      <w:suff w:val="nothing"/>
      <w:lvlText w:val="%2．"/>
      <w:lvlJc w:val="left"/>
      <w:pPr>
        <w:ind w:left="0" w:firstLine="400"/>
      </w:pPr>
      <w:rPr>
        <w:rFonts w:hint="eastAsia"/>
      </w:rPr>
    </w:lvl>
    <w:lvl w:ilvl="2" w:tentative="0">
      <w:start w:val="1"/>
      <w:numFmt w:val="decimal"/>
      <w:suff w:val="nothing"/>
      <w:lvlText w:val="（%3）"/>
      <w:lvlJc w:val="left"/>
      <w:pPr>
        <w:ind w:left="0" w:firstLine="402"/>
      </w:pPr>
      <w:rPr>
        <w:rFonts w:hint="eastAsia"/>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low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Roman"/>
      <w:suff w:val="nothing"/>
      <w:lvlText w:val="%8. "/>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5">
    <w:nsid w:val="08E52C34"/>
    <w:multiLevelType w:val="singleLevel"/>
    <w:tmpl w:val="08E52C34"/>
    <w:lvl w:ilvl="0" w:tentative="0">
      <w:start w:val="1"/>
      <w:numFmt w:val="decimal"/>
      <w:suff w:val="nothing"/>
      <w:lvlText w:val="（%1）"/>
      <w:lvlJc w:val="left"/>
    </w:lvl>
  </w:abstractNum>
  <w:abstractNum w:abstractNumId="6">
    <w:nsid w:val="16C8C0A9"/>
    <w:multiLevelType w:val="singleLevel"/>
    <w:tmpl w:val="16C8C0A9"/>
    <w:lvl w:ilvl="0" w:tentative="0">
      <w:start w:val="1"/>
      <w:numFmt w:val="decimal"/>
      <w:suff w:val="nothing"/>
      <w:lvlText w:val="%1．"/>
      <w:lvlJc w:val="left"/>
      <w:pPr>
        <w:ind w:left="0" w:firstLine="400"/>
      </w:pPr>
      <w:rPr>
        <w:rFonts w:hint="default" w:ascii="Times New Roman" w:hAnsi="Times New Roman" w:cs="Times New Roman"/>
        <w:b w:val="0"/>
        <w:bCs w:val="0"/>
      </w:rPr>
    </w:lvl>
  </w:abstractNum>
  <w:abstractNum w:abstractNumId="7">
    <w:nsid w:val="1960A499"/>
    <w:multiLevelType w:val="singleLevel"/>
    <w:tmpl w:val="1960A499"/>
    <w:lvl w:ilvl="0" w:tentative="0">
      <w:start w:val="1"/>
      <w:numFmt w:val="decimal"/>
      <w:suff w:val="nothing"/>
      <w:lvlText w:val="（%1）"/>
      <w:lvlJc w:val="left"/>
    </w:lvl>
  </w:abstractNum>
  <w:abstractNum w:abstractNumId="8">
    <w:nsid w:val="22D13BF5"/>
    <w:multiLevelType w:val="multilevel"/>
    <w:tmpl w:val="22D13BF5"/>
    <w:lvl w:ilvl="0" w:tentative="0">
      <w:start w:val="1"/>
      <w:numFmt w:val="chineseCounting"/>
      <w:suff w:val="nothing"/>
      <w:lvlText w:val="%1、"/>
      <w:lvlJc w:val="left"/>
      <w:pPr>
        <w:ind w:left="0" w:firstLine="400"/>
      </w:pPr>
      <w:rPr>
        <w:rFonts w:hint="eastAsia"/>
      </w:rPr>
    </w:lvl>
    <w:lvl w:ilvl="1" w:tentative="0">
      <w:start w:val="1"/>
      <w:numFmt w:val="decimal"/>
      <w:suff w:val="nothing"/>
      <w:lvlText w:val="%2．"/>
      <w:lvlJc w:val="left"/>
      <w:pPr>
        <w:ind w:left="0" w:firstLine="400"/>
      </w:pPr>
      <w:rPr>
        <w:rFonts w:hint="eastAsia"/>
      </w:rPr>
    </w:lvl>
    <w:lvl w:ilvl="2" w:tentative="0">
      <w:start w:val="1"/>
      <w:numFmt w:val="decimal"/>
      <w:suff w:val="nothing"/>
      <w:lvlText w:val="（%3）"/>
      <w:lvlJc w:val="left"/>
      <w:pPr>
        <w:ind w:left="0" w:firstLine="402"/>
      </w:pPr>
      <w:rPr>
        <w:rFonts w:hint="eastAsia"/>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low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Roman"/>
      <w:suff w:val="nothing"/>
      <w:lvlText w:val="%8. "/>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9">
    <w:nsid w:val="2A422291"/>
    <w:multiLevelType w:val="multilevel"/>
    <w:tmpl w:val="2A422291"/>
    <w:lvl w:ilvl="0" w:tentative="0">
      <w:start w:val="1"/>
      <w:numFmt w:val="chineseCounting"/>
      <w:suff w:val="nothing"/>
      <w:lvlText w:val="%1、"/>
      <w:lvlJc w:val="left"/>
      <w:pPr>
        <w:ind w:left="0" w:firstLine="400"/>
      </w:pPr>
      <w:rPr>
        <w:rFonts w:hint="eastAsia"/>
      </w:rPr>
    </w:lvl>
    <w:lvl w:ilvl="1" w:tentative="0">
      <w:start w:val="1"/>
      <w:numFmt w:val="decimal"/>
      <w:suff w:val="nothing"/>
      <w:lvlText w:val="%2．"/>
      <w:lvlJc w:val="left"/>
      <w:pPr>
        <w:ind w:left="-10" w:firstLine="400"/>
      </w:pPr>
      <w:rPr>
        <w:rFonts w:hint="default" w:ascii="Times New Roman" w:hAnsi="Times New Roman" w:cs="Times New Roman"/>
      </w:rPr>
    </w:lvl>
    <w:lvl w:ilvl="2" w:tentative="0">
      <w:start w:val="1"/>
      <w:numFmt w:val="decimal"/>
      <w:suff w:val="nothing"/>
      <w:lvlText w:val="（%3）"/>
      <w:lvlJc w:val="left"/>
      <w:pPr>
        <w:ind w:left="0" w:firstLine="402"/>
      </w:pPr>
      <w:rPr>
        <w:rFonts w:hint="eastAsia"/>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low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Roman"/>
      <w:suff w:val="nothing"/>
      <w:lvlText w:val="%8. "/>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10">
    <w:nsid w:val="33504D73"/>
    <w:multiLevelType w:val="singleLevel"/>
    <w:tmpl w:val="33504D73"/>
    <w:lvl w:ilvl="0" w:tentative="0">
      <w:start w:val="1"/>
      <w:numFmt w:val="decimal"/>
      <w:suff w:val="nothing"/>
      <w:lvlText w:val="%1．"/>
      <w:lvlJc w:val="left"/>
      <w:pPr>
        <w:ind w:left="0" w:firstLine="400"/>
      </w:pPr>
      <w:rPr>
        <w:rFonts w:hint="default" w:ascii="Times New Roman" w:hAnsi="Times New Roman" w:cs="Times New Roman"/>
      </w:rPr>
    </w:lvl>
  </w:abstractNum>
  <w:abstractNum w:abstractNumId="11">
    <w:nsid w:val="3475D4B3"/>
    <w:multiLevelType w:val="singleLevel"/>
    <w:tmpl w:val="3475D4B3"/>
    <w:lvl w:ilvl="0" w:tentative="0">
      <w:start w:val="1"/>
      <w:numFmt w:val="chineseCounting"/>
      <w:suff w:val="nothing"/>
      <w:lvlText w:val="%1、"/>
      <w:lvlJc w:val="left"/>
      <w:rPr>
        <w:rFonts w:hint="eastAsia"/>
      </w:rPr>
    </w:lvl>
  </w:abstractNum>
  <w:abstractNum w:abstractNumId="12">
    <w:nsid w:val="3FBB204E"/>
    <w:multiLevelType w:val="multilevel"/>
    <w:tmpl w:val="3FBB204E"/>
    <w:lvl w:ilvl="0" w:tentative="0">
      <w:start w:val="1"/>
      <w:numFmt w:val="chineseCounting"/>
      <w:suff w:val="nothing"/>
      <w:lvlText w:val="%1、"/>
      <w:lvlJc w:val="left"/>
      <w:pPr>
        <w:ind w:left="0" w:firstLine="400"/>
      </w:pPr>
      <w:rPr>
        <w:rFonts w:hint="eastAsia"/>
      </w:rPr>
    </w:lvl>
    <w:lvl w:ilvl="1" w:tentative="0">
      <w:start w:val="1"/>
      <w:numFmt w:val="decimal"/>
      <w:suff w:val="nothing"/>
      <w:lvlText w:val="%2．"/>
      <w:lvlJc w:val="left"/>
      <w:pPr>
        <w:ind w:left="0" w:firstLine="400"/>
      </w:pPr>
      <w:rPr>
        <w:rFonts w:hint="eastAsia"/>
      </w:rPr>
    </w:lvl>
    <w:lvl w:ilvl="2" w:tentative="0">
      <w:start w:val="1"/>
      <w:numFmt w:val="decimal"/>
      <w:suff w:val="nothing"/>
      <w:lvlText w:val="（%3）"/>
      <w:lvlJc w:val="left"/>
      <w:pPr>
        <w:ind w:left="0" w:firstLine="402"/>
      </w:pPr>
      <w:rPr>
        <w:rFonts w:hint="eastAsia"/>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low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Roman"/>
      <w:suff w:val="nothing"/>
      <w:lvlText w:val="%8. "/>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13">
    <w:nsid w:val="5F11B5F5"/>
    <w:multiLevelType w:val="singleLevel"/>
    <w:tmpl w:val="5F11B5F5"/>
    <w:lvl w:ilvl="0" w:tentative="0">
      <w:start w:val="1"/>
      <w:numFmt w:val="decimal"/>
      <w:suff w:val="nothing"/>
      <w:lvlText w:val="%1．"/>
      <w:lvlJc w:val="left"/>
      <w:pPr>
        <w:ind w:left="0" w:firstLine="400"/>
      </w:pPr>
      <w:rPr>
        <w:rFonts w:hint="default"/>
      </w:rPr>
    </w:lvl>
  </w:abstractNum>
  <w:abstractNum w:abstractNumId="14">
    <w:nsid w:val="63FB0651"/>
    <w:multiLevelType w:val="multilevel"/>
    <w:tmpl w:val="63FB0651"/>
    <w:lvl w:ilvl="0" w:tentative="0">
      <w:start w:val="1"/>
      <w:numFmt w:val="chineseCounting"/>
      <w:suff w:val="nothing"/>
      <w:lvlText w:val="%1、"/>
      <w:lvlJc w:val="left"/>
      <w:pPr>
        <w:ind w:left="0" w:firstLine="400"/>
      </w:pPr>
      <w:rPr>
        <w:rFonts w:hint="eastAsia"/>
      </w:rPr>
    </w:lvl>
    <w:lvl w:ilvl="1" w:tentative="0">
      <w:start w:val="1"/>
      <w:numFmt w:val="decimal"/>
      <w:suff w:val="nothing"/>
      <w:lvlText w:val="%2．"/>
      <w:lvlJc w:val="left"/>
      <w:pPr>
        <w:ind w:left="0" w:firstLine="400"/>
      </w:pPr>
      <w:rPr>
        <w:rFonts w:hint="default" w:ascii="Times New Roman" w:hAnsi="Times New Roman" w:cs="Times New Roman"/>
      </w:rPr>
    </w:lvl>
    <w:lvl w:ilvl="2" w:tentative="0">
      <w:start w:val="1"/>
      <w:numFmt w:val="decimal"/>
      <w:suff w:val="nothing"/>
      <w:lvlText w:val="（%3）"/>
      <w:lvlJc w:val="left"/>
      <w:pPr>
        <w:ind w:left="0" w:firstLine="402"/>
      </w:pPr>
      <w:rPr>
        <w:rFonts w:hint="eastAsia"/>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low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Roman"/>
      <w:suff w:val="nothing"/>
      <w:lvlText w:val="%8. "/>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15">
    <w:nsid w:val="71275706"/>
    <w:multiLevelType w:val="multilevel"/>
    <w:tmpl w:val="71275706"/>
    <w:lvl w:ilvl="0" w:tentative="0">
      <w:start w:val="1"/>
      <w:numFmt w:val="chineseCounting"/>
      <w:suff w:val="nothing"/>
      <w:lvlText w:val="%1、"/>
      <w:lvlJc w:val="left"/>
      <w:pPr>
        <w:ind w:left="0" w:firstLine="400"/>
      </w:pPr>
      <w:rPr>
        <w:rFonts w:hint="eastAsia"/>
      </w:rPr>
    </w:lvl>
    <w:lvl w:ilvl="1" w:tentative="0">
      <w:start w:val="1"/>
      <w:numFmt w:val="decimal"/>
      <w:suff w:val="nothing"/>
      <w:lvlText w:val="%2．"/>
      <w:lvlJc w:val="left"/>
      <w:pPr>
        <w:ind w:left="0" w:firstLine="400"/>
      </w:pPr>
      <w:rPr>
        <w:rFonts w:hint="eastAsia"/>
      </w:rPr>
    </w:lvl>
    <w:lvl w:ilvl="2" w:tentative="0">
      <w:start w:val="1"/>
      <w:numFmt w:val="decimal"/>
      <w:suff w:val="nothing"/>
      <w:lvlText w:val="（%3）"/>
      <w:lvlJc w:val="left"/>
      <w:pPr>
        <w:ind w:left="0" w:firstLine="402"/>
      </w:pPr>
      <w:rPr>
        <w:rFonts w:hint="eastAsia"/>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low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Roman"/>
      <w:suff w:val="nothing"/>
      <w:lvlText w:val="%8. "/>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num w:numId="1">
    <w:abstractNumId w:val="11"/>
  </w:num>
  <w:num w:numId="2">
    <w:abstractNumId w:val="0"/>
  </w:num>
  <w:num w:numId="3">
    <w:abstractNumId w:val="7"/>
  </w:num>
  <w:num w:numId="4">
    <w:abstractNumId w:val="3"/>
  </w:num>
  <w:num w:numId="5">
    <w:abstractNumId w:val="13"/>
  </w:num>
  <w:num w:numId="6">
    <w:abstractNumId w:val="6"/>
  </w:num>
  <w:num w:numId="7">
    <w:abstractNumId w:val="1"/>
  </w:num>
  <w:num w:numId="8">
    <w:abstractNumId w:val="15"/>
  </w:num>
  <w:num w:numId="9">
    <w:abstractNumId w:val="10"/>
  </w:num>
  <w:num w:numId="10">
    <w:abstractNumId w:val="5"/>
  </w:num>
  <w:num w:numId="11">
    <w:abstractNumId w:val="14"/>
  </w:num>
  <w:num w:numId="12">
    <w:abstractNumId w:val="9"/>
  </w:num>
  <w:num w:numId="13">
    <w:abstractNumId w:val="2"/>
  </w:num>
  <w:num w:numId="14">
    <w:abstractNumId w:val="12"/>
  </w:num>
  <w:num w:numId="15">
    <w:abstractNumId w:val="4"/>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00000000"/>
    <w:rsid w:val="01FD609D"/>
    <w:rsid w:val="01FE1E74"/>
    <w:rsid w:val="0EB45A16"/>
    <w:rsid w:val="110C179D"/>
    <w:rsid w:val="15842905"/>
    <w:rsid w:val="1C913B5A"/>
    <w:rsid w:val="257105EA"/>
    <w:rsid w:val="264E03C6"/>
    <w:rsid w:val="2BE63075"/>
    <w:rsid w:val="2C952EED"/>
    <w:rsid w:val="2D834AD8"/>
    <w:rsid w:val="2F143806"/>
    <w:rsid w:val="33810438"/>
    <w:rsid w:val="355AFACF"/>
    <w:rsid w:val="356B2C28"/>
    <w:rsid w:val="3CF33A0E"/>
    <w:rsid w:val="40342640"/>
    <w:rsid w:val="405D0F0E"/>
    <w:rsid w:val="42E764F4"/>
    <w:rsid w:val="43015AD4"/>
    <w:rsid w:val="44064881"/>
    <w:rsid w:val="4A632BF2"/>
    <w:rsid w:val="4F895E47"/>
    <w:rsid w:val="519805C3"/>
    <w:rsid w:val="55386FFC"/>
    <w:rsid w:val="58931AE5"/>
    <w:rsid w:val="5FAF6636"/>
    <w:rsid w:val="67281F92"/>
    <w:rsid w:val="7536B277"/>
    <w:rsid w:val="790355A3"/>
    <w:rsid w:val="7CA37C99"/>
    <w:rsid w:val="7DBCFF31"/>
    <w:rsid w:val="D48E7B61"/>
    <w:rsid w:val="DF7D0E61"/>
    <w:rsid w:val="DFFFADBA"/>
    <w:rsid w:val="E59F2458"/>
    <w:rsid w:val="EAFBBF9D"/>
    <w:rsid w:val="EEDED98A"/>
    <w:rsid w:val="EEF3ABDF"/>
    <w:rsid w:val="EEF60FF4"/>
    <w:rsid w:val="F01FBD31"/>
    <w:rsid w:val="F36FE1FD"/>
    <w:rsid w:val="FFDF7F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2"/>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adjustRightInd w:val="0"/>
      <w:spacing w:line="360" w:lineRule="atLeast"/>
      <w:ind w:firstLine="420"/>
      <w:jc w:val="left"/>
      <w:textAlignment w:val="baseline"/>
    </w:pPr>
    <w:rPr>
      <w:kern w:val="0"/>
      <w:sz w:val="25"/>
      <w:szCs w:val="20"/>
    </w:rPr>
  </w:style>
  <w:style w:type="paragraph" w:styleId="3">
    <w:name w:val="Block Text"/>
    <w:basedOn w:val="1"/>
    <w:qFormat/>
    <w:uiPriority w:val="0"/>
    <w:pPr>
      <w:spacing w:after="120"/>
      <w:ind w:left="1440" w:leftChars="700" w:right="1440" w:rightChars="70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正文-公1"/>
    <w:basedOn w:val="1"/>
    <w:qFormat/>
    <w:uiPriority w:val="0"/>
    <w:pPr>
      <w:ind w:firstLine="200" w:firstLineChars="200"/>
    </w:pPr>
    <w:rPr>
      <w:rFonts w:ascii="Times New Roman" w:hAnsi="Times New Roman" w:cs="Times New Roman"/>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14081</Words>
  <Characters>14941</Characters>
  <Lines>0</Lines>
  <Paragraphs>0</Paragraphs>
  <TotalTime>108</TotalTime>
  <ScaleCrop>false</ScaleCrop>
  <LinksUpToDate>false</LinksUpToDate>
  <CharactersWithSpaces>15107</CharactersWithSpaces>
  <Application>WPS Office_12.1.22218.22218_F1E327BC-269C-435d-A152-05C5408002CA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2023-03-29T08:48:00Z</dcterms:created>
  <dc:creator>zwf</dc:creator>
  <cp:lastModifiedBy>董韬</cp:lastModifiedBy>
  <dcterms:modified xsi:type="dcterms:W3CDTF">2025-09-18T18:50:55Z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2052-12.1.22218.22218</vt:lpwstr>
  </property>
  <property fmtid="{D5CDD505-2E9C-101B-9397-08002B2CF9AE}" pid="3" name="ICV">
    <vt:lpwstr>A278FDE2A7C64C99A59BB5956445493A</vt:lpwstr>
  </property>
</Properties>
</file>