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9BF241">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方正小标宋简体" w:hAnsi="方正小标宋简体" w:eastAsia="方正小标宋简体" w:cs="方正小标宋简体"/>
          <w:b w:val="0"/>
          <w:bCs w:val="0"/>
          <w:color w:val="auto"/>
          <w:sz w:val="44"/>
          <w:szCs w:val="44"/>
          <w:highlight w:val="none"/>
          <w:lang w:val="en-US"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石家庄市数据局</w:t>
      </w:r>
    </w:p>
    <w:p w14:paraId="3EBB529F">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方正仿宋_GB2312" w:hAnsi="方正仿宋_GB2312" w:eastAsia="方正仿宋_GB2312" w:cs="方正仿宋_GB2312"/>
          <w:b/>
          <w:bCs/>
          <w:color w:val="auto"/>
          <w:sz w:val="44"/>
          <w:szCs w:val="44"/>
          <w:highlight w:val="none"/>
          <w:lang w:eastAsia="zh-CN"/>
        </w:rPr>
      </w:pPr>
      <w:r>
        <w:rPr>
          <w:rFonts w:hint="eastAsia" w:ascii="方正小标宋简体" w:hAnsi="方正小标宋简体" w:eastAsia="方正小标宋简体" w:cs="方正小标宋简体"/>
          <w:b w:val="0"/>
          <w:bCs w:val="0"/>
          <w:color w:val="auto"/>
          <w:sz w:val="44"/>
          <w:szCs w:val="44"/>
          <w:highlight w:val="none"/>
          <w:lang w:val="en-US" w:eastAsia="zh-CN"/>
        </w:rPr>
        <w:t>2023年度整体支出绩效</w:t>
      </w:r>
      <w:r>
        <w:rPr>
          <w:rFonts w:hint="eastAsia" w:ascii="方正小标宋简体" w:hAnsi="方正小标宋简体" w:eastAsia="方正小标宋简体" w:cs="方正小标宋简体"/>
          <w:b w:val="0"/>
          <w:bCs w:val="0"/>
          <w:color w:val="auto"/>
          <w:sz w:val="44"/>
          <w:szCs w:val="44"/>
          <w:highlight w:val="none"/>
        </w:rPr>
        <w:t>自评报告</w:t>
      </w:r>
    </w:p>
    <w:p w14:paraId="7982C6D4">
      <w:pPr>
        <w:keepNext w:val="0"/>
        <w:keepLines w:val="0"/>
        <w:pageBreakBefore w:val="0"/>
        <w:widowControl w:val="0"/>
        <w:kinsoku/>
        <w:wordWrap/>
        <w:overflowPunct/>
        <w:topLinePunct w:val="0"/>
        <w:autoSpaceDE/>
        <w:autoSpaceDN/>
        <w:bidi w:val="0"/>
        <w:spacing w:line="600" w:lineRule="exact"/>
        <w:ind w:left="0" w:leftChars="0" w:right="0"/>
        <w:jc w:val="center"/>
        <w:textAlignment w:val="auto"/>
        <w:outlineLvl w:val="9"/>
        <w:rPr>
          <w:rFonts w:hint="eastAsia" w:ascii="方正仿宋_GB2312" w:hAnsi="方正仿宋_GB2312" w:eastAsia="方正仿宋_GB2312" w:cs="方正仿宋_GB2312"/>
          <w:color w:val="auto"/>
          <w:sz w:val="44"/>
          <w:szCs w:val="44"/>
          <w:highlight w:val="none"/>
        </w:rPr>
      </w:pPr>
    </w:p>
    <w:p w14:paraId="1CD1B00A">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贯彻落实</w:t>
      </w:r>
      <w:r>
        <w:rPr>
          <w:rFonts w:hint="eastAsia" w:ascii="仿宋_GB2312" w:hAnsi="仿宋_GB2312" w:eastAsia="仿宋_GB2312" w:cs="仿宋_GB2312"/>
          <w:color w:val="auto"/>
          <w:sz w:val="32"/>
          <w:szCs w:val="32"/>
          <w:highlight w:val="none"/>
          <w:lang w:eastAsia="zh-CN"/>
        </w:rPr>
        <w:t>市委市政府《关于全面落实预算绩效管理的实施意见》（石发﹝</w:t>
      </w:r>
      <w:r>
        <w:rPr>
          <w:rFonts w:hint="eastAsia" w:ascii="仿宋_GB2312" w:hAnsi="仿宋_GB2312" w:eastAsia="仿宋_GB2312" w:cs="仿宋_GB2312"/>
          <w:color w:val="auto"/>
          <w:sz w:val="32"/>
          <w:szCs w:val="32"/>
          <w:highlight w:val="none"/>
          <w:lang w:val="en-US" w:eastAsia="zh-CN"/>
        </w:rPr>
        <w:t>2019</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8号</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文件精神，遵循“科学性、规范性、客观性和公正性”的原则，对</w:t>
      </w:r>
      <w:r>
        <w:rPr>
          <w:rFonts w:hint="eastAsia" w:ascii="仿宋_GB2312" w:hAnsi="仿宋_GB2312" w:eastAsia="仿宋_GB2312" w:cs="仿宋_GB2312"/>
          <w:color w:val="auto"/>
          <w:sz w:val="32"/>
          <w:szCs w:val="32"/>
          <w:highlight w:val="none"/>
          <w:lang w:val="en-US" w:eastAsia="zh-CN"/>
        </w:rPr>
        <w:t>石家庄市数据局（原</w:t>
      </w:r>
      <w:r>
        <w:rPr>
          <w:rFonts w:hint="eastAsia" w:ascii="仿宋_GB2312" w:hAnsi="仿宋_GB2312" w:eastAsia="仿宋_GB2312" w:cs="仿宋_GB2312"/>
          <w:color w:val="auto"/>
          <w:sz w:val="32"/>
          <w:szCs w:val="32"/>
          <w:highlight w:val="none"/>
          <w:lang w:eastAsia="zh-CN"/>
        </w:rPr>
        <w:t>石家庄市</w:t>
      </w:r>
      <w:r>
        <w:rPr>
          <w:rFonts w:hint="eastAsia" w:ascii="仿宋_GB2312" w:hAnsi="仿宋_GB2312" w:eastAsia="仿宋_GB2312" w:cs="仿宋_GB2312"/>
          <w:color w:val="auto"/>
          <w:sz w:val="32"/>
          <w:szCs w:val="32"/>
          <w:highlight w:val="none"/>
          <w:lang w:val="en-US" w:eastAsia="zh-CN"/>
        </w:rPr>
        <w:t>数据资源管理局于2024年3月更名为石家庄市数据局</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2023年</w:t>
      </w:r>
      <w:r>
        <w:rPr>
          <w:rFonts w:hint="eastAsia" w:ascii="仿宋_GB2312" w:hAnsi="仿宋_GB2312" w:eastAsia="仿宋_GB2312" w:cs="仿宋_GB2312"/>
          <w:color w:val="auto"/>
          <w:sz w:val="32"/>
          <w:szCs w:val="32"/>
          <w:highlight w:val="none"/>
          <w:lang w:eastAsia="zh-CN"/>
        </w:rPr>
        <w:t>整体支出情况</w:t>
      </w:r>
      <w:r>
        <w:rPr>
          <w:rFonts w:hint="eastAsia" w:ascii="仿宋_GB2312" w:hAnsi="仿宋_GB2312" w:eastAsia="仿宋_GB2312" w:cs="仿宋_GB2312"/>
          <w:color w:val="auto"/>
          <w:sz w:val="32"/>
          <w:szCs w:val="32"/>
          <w:highlight w:val="none"/>
        </w:rPr>
        <w:t>实施了财政支出绩效自评价，形成本评价报告。</w:t>
      </w:r>
    </w:p>
    <w:p w14:paraId="36EC2200">
      <w:pPr>
        <w:keepNext w:val="0"/>
        <w:keepLines w:val="0"/>
        <w:pageBreakBefore w:val="0"/>
        <w:widowControl w:val="0"/>
        <w:numPr>
          <w:ilvl w:val="0"/>
          <w:numId w:val="1"/>
        </w:numPr>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lang w:eastAsia="zh-CN"/>
        </w:rPr>
        <w:t>部门</w:t>
      </w:r>
      <w:r>
        <w:rPr>
          <w:rFonts w:hint="eastAsia" w:ascii="黑体" w:hAnsi="黑体" w:eastAsia="黑体" w:cs="黑体"/>
          <w:color w:val="auto"/>
          <w:sz w:val="32"/>
          <w:szCs w:val="32"/>
          <w:highlight w:val="none"/>
        </w:rPr>
        <w:t>基本情况</w:t>
      </w:r>
    </w:p>
    <w:p w14:paraId="59F884E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firstLine="640" w:firstLineChars="200"/>
        <w:textAlignment w:val="auto"/>
        <w:outlineLvl w:val="9"/>
        <w:rPr>
          <w:rFonts w:hint="eastAsia" w:ascii="楷体_GB2312" w:hAnsi="楷体_GB2312" w:eastAsia="楷体_GB2312" w:cs="楷体_GB2312"/>
          <w:b w:val="0"/>
          <w:bCs w:val="0"/>
          <w:color w:val="auto"/>
          <w:sz w:val="32"/>
          <w:szCs w:val="32"/>
          <w:highlight w:val="none"/>
        </w:rPr>
      </w:pPr>
      <w:r>
        <w:rPr>
          <w:rFonts w:hint="eastAsia" w:ascii="楷体_GB2312" w:hAnsi="楷体_GB2312" w:eastAsia="楷体_GB2312" w:cs="楷体_GB2312"/>
          <w:b w:val="0"/>
          <w:bCs w:val="0"/>
          <w:color w:val="auto"/>
          <w:sz w:val="32"/>
          <w:szCs w:val="32"/>
          <w:highlight w:val="none"/>
        </w:rPr>
        <w:t>（一）</w:t>
      </w:r>
      <w:r>
        <w:rPr>
          <w:rFonts w:hint="eastAsia" w:ascii="楷体_GB2312" w:hAnsi="楷体_GB2312" w:eastAsia="楷体_GB2312" w:cs="楷体_GB2312"/>
          <w:b w:val="0"/>
          <w:bCs w:val="0"/>
          <w:color w:val="auto"/>
          <w:sz w:val="32"/>
          <w:szCs w:val="32"/>
          <w:highlight w:val="none"/>
          <w:lang w:eastAsia="zh-CN"/>
        </w:rPr>
        <w:t>部门</w:t>
      </w:r>
      <w:r>
        <w:rPr>
          <w:rFonts w:hint="eastAsia" w:ascii="楷体_GB2312" w:hAnsi="楷体_GB2312" w:eastAsia="楷体_GB2312" w:cs="楷体_GB2312"/>
          <w:b w:val="0"/>
          <w:bCs w:val="0"/>
          <w:color w:val="auto"/>
          <w:sz w:val="32"/>
          <w:szCs w:val="32"/>
          <w:highlight w:val="none"/>
        </w:rPr>
        <w:t>概况</w:t>
      </w:r>
    </w:p>
    <w:p w14:paraId="683E9066">
      <w:pPr>
        <w:keepNext w:val="0"/>
        <w:keepLines w:val="0"/>
        <w:pageBreakBefore w:val="0"/>
        <w:widowControl w:val="0"/>
        <w:numPr>
          <w:ilvl w:val="0"/>
          <w:numId w:val="2"/>
        </w:numPr>
        <w:kinsoku/>
        <w:wordWrap/>
        <w:overflowPunct/>
        <w:topLinePunct w:val="0"/>
        <w:autoSpaceDE/>
        <w:autoSpaceDN/>
        <w:bidi w:val="0"/>
        <w:spacing w:line="600" w:lineRule="exact"/>
        <w:ind w:left="0" w:leftChars="0"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部门主要职责</w:t>
      </w:r>
    </w:p>
    <w:p w14:paraId="1016F106">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根据《石家庄市数据资源管理局职能配置、内设机构和人员编制规定》（注：</w:t>
      </w:r>
      <w:r>
        <w:rPr>
          <w:rFonts w:hint="eastAsia" w:ascii="仿宋_GB2312" w:hAnsi="仿宋_GB2312" w:eastAsia="仿宋_GB2312" w:cs="仿宋_GB2312"/>
          <w:color w:val="auto"/>
          <w:sz w:val="32"/>
          <w:szCs w:val="32"/>
          <w:highlight w:val="none"/>
          <w:lang w:val="en-US" w:eastAsia="zh-CN"/>
        </w:rPr>
        <w:t>原</w:t>
      </w:r>
      <w:r>
        <w:rPr>
          <w:rFonts w:hint="eastAsia" w:ascii="仿宋_GB2312" w:hAnsi="仿宋_GB2312" w:eastAsia="仿宋_GB2312" w:cs="仿宋_GB2312"/>
          <w:color w:val="auto"/>
          <w:sz w:val="32"/>
          <w:szCs w:val="32"/>
          <w:highlight w:val="none"/>
          <w:lang w:eastAsia="zh-CN"/>
        </w:rPr>
        <w:t>石家庄市</w:t>
      </w:r>
      <w:r>
        <w:rPr>
          <w:rFonts w:hint="eastAsia" w:ascii="仿宋_GB2312" w:hAnsi="仿宋_GB2312" w:eastAsia="仿宋_GB2312" w:cs="仿宋_GB2312"/>
          <w:color w:val="auto"/>
          <w:sz w:val="32"/>
          <w:szCs w:val="32"/>
          <w:highlight w:val="none"/>
          <w:lang w:val="en-US" w:eastAsia="zh-CN"/>
        </w:rPr>
        <w:t>数据资源管理局于2024年3月更名为石家庄市数据局，文件名称中沿用原名</w:t>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b w:val="0"/>
          <w:bCs w:val="0"/>
          <w:color w:val="auto"/>
          <w:kern w:val="2"/>
          <w:sz w:val="32"/>
          <w:szCs w:val="32"/>
          <w:highlight w:val="none"/>
          <w:lang w:val="en-US" w:eastAsia="zh-CN" w:bidi="ar-SA"/>
        </w:rPr>
        <w:t>石家庄市数据局的主要职责是：</w:t>
      </w:r>
    </w:p>
    <w:p w14:paraId="025069A3">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贯彻执行国家、省有关电子政务、智慧城市、政务服务和数据资源管理的方针政策和法律法规，起草相关地方性法规、政府规章草案，拟订全市数据资源管理发展规划、年度计划、政策措施和评价体系并组织实施。</w:t>
      </w:r>
    </w:p>
    <w:p w14:paraId="7B99253B">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组织实施国家和地方数据技术标准；研究制定我市数据资源采集、存储、使用、开放、共享等标准规范并监督实施。</w:t>
      </w:r>
    </w:p>
    <w:p w14:paraId="718BEE88">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会同政务服务管理部门做好“互联网+政务服务”工作的规划及有关项目建设工作。负责在线政务服务平台建设。推进在线政务服务平台规范化、标准化、集约化建设。</w:t>
      </w:r>
    </w:p>
    <w:p w14:paraId="790A3F92">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拟订全市政务数据和公共数据资源的目录制定、归集管理、整理利用、共享开放管理办法并组织实施，推动数据资源在政府管理和社会治理领域的应用。</w:t>
      </w:r>
    </w:p>
    <w:p w14:paraId="5426BED8">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负责市电子政务组织推动工作，负责市政务网络建设管理和党政机关信息化应用建设指导，负责市级智慧城市项目建设和数据资源基础设施建设管理，提出各部门统筹安排市级信息化项目及资金的使用建议。</w:t>
      </w:r>
    </w:p>
    <w:p w14:paraId="30A6C49F">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负责全市数据资源、政务信息化领域的对外交流合作；会同有关部门做好全市数据资源、政务信息化人才培养等工作。</w:t>
      </w:r>
    </w:p>
    <w:p w14:paraId="46A37CA8">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负责指导全市经济社会各领域的数据资源开发利用工作，促进全市数据资源产业发展；负责数据资源相关技术研发、行业数据分析成果转化等工作。</w:t>
      </w:r>
    </w:p>
    <w:p w14:paraId="08968349">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负责政府门户网站的建设与管理等工作，指导各县（市、区）政府和市直党政群机关门户网站建设。</w:t>
      </w:r>
    </w:p>
    <w:p w14:paraId="3D9B879F">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kern w:val="2"/>
          <w:sz w:val="32"/>
          <w:szCs w:val="32"/>
          <w:highlight w:val="none"/>
          <w:lang w:val="en-US" w:eastAsia="zh-CN" w:bidi="ar-SA"/>
        </w:rPr>
        <w:t>负责全市数据资源安全保障体系建设，会同有关部门指导各级各部门政务数据资源和公共数据资源的安全保障工作。</w:t>
      </w:r>
    </w:p>
    <w:p w14:paraId="418C4B2B">
      <w:pPr>
        <w:keepNext w:val="0"/>
        <w:keepLines w:val="0"/>
        <w:pageBreakBefore w:val="0"/>
        <w:widowControl w:val="0"/>
        <w:numPr>
          <w:ilvl w:val="0"/>
          <w:numId w:val="3"/>
        </w:numPr>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kern w:val="2"/>
          <w:sz w:val="32"/>
          <w:szCs w:val="32"/>
          <w:highlight w:val="none"/>
          <w:lang w:val="en-US" w:eastAsia="zh-CN" w:bidi="ar-SA"/>
        </w:rPr>
        <w:t>完成市委、市政府交办的其他任务。</w:t>
      </w:r>
    </w:p>
    <w:p w14:paraId="196BB998">
      <w:pPr>
        <w:keepNext w:val="0"/>
        <w:keepLines w:val="0"/>
        <w:pageBreakBefore w:val="0"/>
        <w:widowControl w:val="0"/>
        <w:numPr>
          <w:ilvl w:val="0"/>
          <w:numId w:val="2"/>
        </w:numPr>
        <w:kinsoku/>
        <w:wordWrap/>
        <w:overflowPunct/>
        <w:topLinePunct w:val="0"/>
        <w:autoSpaceDE/>
        <w:autoSpaceDN/>
        <w:bidi w:val="0"/>
        <w:spacing w:line="600" w:lineRule="exact"/>
        <w:ind w:left="0" w:leftChars="0"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部门组织机构及人员编制情况</w:t>
      </w:r>
    </w:p>
    <w:p w14:paraId="03CBAA93">
      <w:pPr>
        <w:pStyle w:val="3"/>
        <w:keepNext w:val="0"/>
        <w:keepLines w:val="0"/>
        <w:pageBreakBefore w:val="0"/>
        <w:widowControl w:val="0"/>
        <w:kinsoku/>
        <w:wordWrap/>
        <w:overflowPunct/>
        <w:topLinePunct w:val="0"/>
        <w:autoSpaceDE/>
        <w:autoSpaceDN/>
        <w:bidi w:val="0"/>
        <w:adjustRightInd/>
        <w:snapToGrid/>
        <w:spacing w:after="0" w:line="600" w:lineRule="exact"/>
        <w:ind w:left="0" w:leftChars="0" w:right="0" w:rightChars="0"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根据《中共</w:t>
      </w:r>
      <w:r>
        <w:rPr>
          <w:rFonts w:hint="eastAsia" w:ascii="仿宋_GB2312" w:hAnsi="仿宋_GB2312" w:eastAsia="仿宋_GB2312" w:cs="仿宋_GB2312"/>
          <w:color w:val="auto"/>
          <w:kern w:val="2"/>
          <w:sz w:val="32"/>
          <w:szCs w:val="32"/>
          <w:highlight w:val="none"/>
          <w:lang w:val="en-US" w:eastAsia="zh-CN" w:bidi="ar-SA"/>
        </w:rPr>
        <w:fldChar w:fldCharType="begin"/>
      </w:r>
      <w:r>
        <w:rPr>
          <w:rFonts w:hint="eastAsia" w:ascii="仿宋_GB2312" w:hAnsi="仿宋_GB2312" w:eastAsia="仿宋_GB2312" w:cs="仿宋_GB2312"/>
          <w:color w:val="auto"/>
          <w:kern w:val="2"/>
          <w:sz w:val="32"/>
          <w:szCs w:val="32"/>
          <w:highlight w:val="none"/>
          <w:lang w:val="en-US" w:eastAsia="zh-CN" w:bidi="ar-SA"/>
        </w:rPr>
        <w:instrText xml:space="preserve"> HYPERLINK "https://baike.baidu.com/item/%E6%B2%B3%E5%8C%97%E7%9C%81/153775" \t "https://baike.baidu.com/item/%E7%9F%B3%E5%AE%B6%E5%BA%84%E5%B8%82%E6%95%B0%E6%8D%AE%E8%B5%84%E6%BA%90%E7%AE%A1%E7%90%86%E5%B1%80/_blank" </w:instrText>
      </w:r>
      <w:r>
        <w:rPr>
          <w:rFonts w:hint="eastAsia" w:ascii="仿宋_GB2312" w:hAnsi="仿宋_GB2312" w:eastAsia="仿宋_GB2312" w:cs="仿宋_GB2312"/>
          <w:color w:val="auto"/>
          <w:kern w:val="2"/>
          <w:sz w:val="32"/>
          <w:szCs w:val="32"/>
          <w:highlight w:val="none"/>
          <w:lang w:val="en-US" w:eastAsia="zh-CN" w:bidi="ar-SA"/>
        </w:rPr>
        <w:fldChar w:fldCharType="separate"/>
      </w:r>
      <w:r>
        <w:rPr>
          <w:rFonts w:hint="eastAsia" w:ascii="仿宋_GB2312" w:hAnsi="仿宋_GB2312" w:eastAsia="仿宋_GB2312" w:cs="仿宋_GB2312"/>
          <w:color w:val="auto"/>
          <w:kern w:val="2"/>
          <w:sz w:val="32"/>
          <w:szCs w:val="32"/>
          <w:highlight w:val="none"/>
          <w:lang w:val="en-US" w:eastAsia="zh-CN" w:bidi="ar-SA"/>
        </w:rPr>
        <w:t>河北省</w:t>
      </w:r>
      <w:r>
        <w:rPr>
          <w:rFonts w:hint="eastAsia" w:ascii="仿宋_GB2312" w:hAnsi="仿宋_GB2312" w:eastAsia="仿宋_GB2312" w:cs="仿宋_GB2312"/>
          <w:color w:val="auto"/>
          <w:kern w:val="2"/>
          <w:sz w:val="32"/>
          <w:szCs w:val="32"/>
          <w:highlight w:val="none"/>
          <w:lang w:val="en-US" w:eastAsia="zh-CN" w:bidi="ar-SA"/>
        </w:rPr>
        <w:fldChar w:fldCharType="end"/>
      </w:r>
      <w:r>
        <w:rPr>
          <w:rFonts w:hint="eastAsia" w:ascii="仿宋_GB2312" w:hAnsi="仿宋_GB2312" w:eastAsia="仿宋_GB2312" w:cs="仿宋_GB2312"/>
          <w:color w:val="auto"/>
          <w:kern w:val="2"/>
          <w:sz w:val="32"/>
          <w:szCs w:val="32"/>
          <w:highlight w:val="none"/>
          <w:lang w:val="en-US" w:eastAsia="zh-CN" w:bidi="ar-SA"/>
        </w:rPr>
        <w:t>委办公厅、</w:t>
      </w:r>
      <w:r>
        <w:rPr>
          <w:rFonts w:hint="eastAsia" w:ascii="仿宋_GB2312" w:hAnsi="仿宋_GB2312" w:eastAsia="仿宋_GB2312" w:cs="仿宋_GB2312"/>
          <w:color w:val="auto"/>
          <w:kern w:val="2"/>
          <w:sz w:val="32"/>
          <w:szCs w:val="32"/>
          <w:highlight w:val="none"/>
          <w:lang w:val="en-US" w:eastAsia="zh-CN" w:bidi="ar-SA"/>
        </w:rPr>
        <w:fldChar w:fldCharType="begin"/>
      </w:r>
      <w:r>
        <w:rPr>
          <w:rFonts w:hint="eastAsia" w:ascii="仿宋_GB2312" w:hAnsi="仿宋_GB2312" w:eastAsia="仿宋_GB2312" w:cs="仿宋_GB2312"/>
          <w:color w:val="auto"/>
          <w:kern w:val="2"/>
          <w:sz w:val="32"/>
          <w:szCs w:val="32"/>
          <w:highlight w:val="none"/>
          <w:lang w:val="en-US" w:eastAsia="zh-CN" w:bidi="ar-SA"/>
        </w:rPr>
        <w:instrText xml:space="preserve"> HYPERLINK "https://baike.baidu.com/item/%E6%B2%B3%E5%8C%97%E7%9C%81%E4%BA%BA%E6%B0%91%E6%94%BF%E5%BA%9C%E5%8A%9E%E5%85%AC%E5%8E%85/7054123" \t "https://baike.baidu.com/item/%E7%9F%B3%E5%AE%B6%E5%BA%84%E5%B8%82%E6%95%B0%E6%8D%AE%E8%B5%84%E6%BA%90%E7%AE%A1%E7%90%86%E5%B1%80/_blank" </w:instrText>
      </w:r>
      <w:r>
        <w:rPr>
          <w:rFonts w:hint="eastAsia" w:ascii="仿宋_GB2312" w:hAnsi="仿宋_GB2312" w:eastAsia="仿宋_GB2312" w:cs="仿宋_GB2312"/>
          <w:color w:val="auto"/>
          <w:kern w:val="2"/>
          <w:sz w:val="32"/>
          <w:szCs w:val="32"/>
          <w:highlight w:val="none"/>
          <w:lang w:val="en-US" w:eastAsia="zh-CN" w:bidi="ar-SA"/>
        </w:rPr>
        <w:fldChar w:fldCharType="separate"/>
      </w:r>
      <w:r>
        <w:rPr>
          <w:rFonts w:hint="eastAsia" w:ascii="仿宋_GB2312" w:hAnsi="仿宋_GB2312" w:eastAsia="仿宋_GB2312" w:cs="仿宋_GB2312"/>
          <w:color w:val="auto"/>
          <w:kern w:val="2"/>
          <w:sz w:val="32"/>
          <w:szCs w:val="32"/>
          <w:highlight w:val="none"/>
          <w:lang w:val="en-US" w:eastAsia="zh-CN" w:bidi="ar-SA"/>
        </w:rPr>
        <w:t>河北省人民政府办公厅</w:t>
      </w:r>
      <w:r>
        <w:rPr>
          <w:rFonts w:hint="eastAsia" w:ascii="仿宋_GB2312" w:hAnsi="仿宋_GB2312" w:eastAsia="仿宋_GB2312" w:cs="仿宋_GB2312"/>
          <w:color w:val="auto"/>
          <w:kern w:val="2"/>
          <w:sz w:val="32"/>
          <w:szCs w:val="32"/>
          <w:highlight w:val="none"/>
          <w:lang w:val="en-US" w:eastAsia="zh-CN" w:bidi="ar-SA"/>
        </w:rPr>
        <w:fldChar w:fldCharType="end"/>
      </w:r>
      <w:r>
        <w:rPr>
          <w:rFonts w:hint="eastAsia" w:ascii="仿宋_GB2312" w:hAnsi="仿宋_GB2312" w:eastAsia="仿宋_GB2312" w:cs="仿宋_GB2312"/>
          <w:color w:val="auto"/>
          <w:kern w:val="2"/>
          <w:sz w:val="32"/>
          <w:szCs w:val="32"/>
          <w:highlight w:val="none"/>
          <w:lang w:val="en-US" w:eastAsia="zh-CN" w:bidi="ar-SA"/>
        </w:rPr>
        <w:t>关于印发〈</w:t>
      </w:r>
      <w:r>
        <w:rPr>
          <w:rFonts w:hint="eastAsia" w:ascii="仿宋_GB2312" w:hAnsi="仿宋_GB2312" w:eastAsia="仿宋_GB2312" w:cs="仿宋_GB2312"/>
          <w:color w:val="auto"/>
          <w:kern w:val="2"/>
          <w:sz w:val="32"/>
          <w:szCs w:val="32"/>
          <w:highlight w:val="none"/>
          <w:lang w:val="en-US" w:eastAsia="zh-CN" w:bidi="ar-SA"/>
        </w:rPr>
        <w:fldChar w:fldCharType="begin"/>
      </w:r>
      <w:r>
        <w:rPr>
          <w:rFonts w:hint="eastAsia" w:ascii="仿宋_GB2312" w:hAnsi="仿宋_GB2312" w:eastAsia="仿宋_GB2312" w:cs="仿宋_GB2312"/>
          <w:color w:val="auto"/>
          <w:kern w:val="2"/>
          <w:sz w:val="32"/>
          <w:szCs w:val="32"/>
          <w:highlight w:val="none"/>
          <w:lang w:val="en-US" w:eastAsia="zh-CN" w:bidi="ar-SA"/>
        </w:rPr>
        <w:instrText xml:space="preserve"> HYPERLINK "https://baike.baidu.com/item/%E7%9F%B3%E5%AE%B6%E5%BA%84%E5%B8%82%E6%9C%BA%E6%9E%84%E6%94%B9%E9%9D%A9%E6%96%B9%E6%A1%88/23247354" \t "https://baike.baidu.com/item/%E7%9F%B3%E5%AE%B6%E5%BA%84%E5%B8%82%E6%95%B0%E6%8D%AE%E8%B5%84%E6%BA%90%E7%AE%A1%E7%90%86%E5%B1%80/_blank" </w:instrText>
      </w:r>
      <w:r>
        <w:rPr>
          <w:rFonts w:hint="eastAsia" w:ascii="仿宋_GB2312" w:hAnsi="仿宋_GB2312" w:eastAsia="仿宋_GB2312" w:cs="仿宋_GB2312"/>
          <w:color w:val="auto"/>
          <w:kern w:val="2"/>
          <w:sz w:val="32"/>
          <w:szCs w:val="32"/>
          <w:highlight w:val="none"/>
          <w:lang w:val="en-US" w:eastAsia="zh-CN" w:bidi="ar-SA"/>
        </w:rPr>
        <w:fldChar w:fldCharType="separate"/>
      </w:r>
      <w:r>
        <w:rPr>
          <w:rFonts w:hint="eastAsia" w:ascii="仿宋_GB2312" w:hAnsi="仿宋_GB2312" w:eastAsia="仿宋_GB2312" w:cs="仿宋_GB2312"/>
          <w:color w:val="auto"/>
          <w:kern w:val="2"/>
          <w:sz w:val="32"/>
          <w:szCs w:val="32"/>
          <w:highlight w:val="none"/>
          <w:lang w:val="en-US" w:eastAsia="zh-CN" w:bidi="ar-SA"/>
        </w:rPr>
        <w:t>石家庄市机构改革方案</w:t>
      </w:r>
      <w:r>
        <w:rPr>
          <w:rFonts w:hint="eastAsia" w:ascii="仿宋_GB2312" w:hAnsi="仿宋_GB2312" w:eastAsia="仿宋_GB2312" w:cs="仿宋_GB2312"/>
          <w:color w:val="auto"/>
          <w:kern w:val="2"/>
          <w:sz w:val="32"/>
          <w:szCs w:val="32"/>
          <w:highlight w:val="none"/>
          <w:lang w:val="en-US" w:eastAsia="zh-CN" w:bidi="ar-SA"/>
        </w:rPr>
        <w:fldChar w:fldCharType="end"/>
      </w:r>
      <w:r>
        <w:rPr>
          <w:rFonts w:hint="eastAsia" w:ascii="仿宋_GB2312" w:hAnsi="仿宋_GB2312" w:eastAsia="仿宋_GB2312" w:cs="仿宋_GB2312"/>
          <w:color w:val="auto"/>
          <w:kern w:val="2"/>
          <w:sz w:val="32"/>
          <w:szCs w:val="32"/>
          <w:highlight w:val="none"/>
          <w:lang w:val="en-US" w:eastAsia="zh-CN" w:bidi="ar-SA"/>
        </w:rPr>
        <w:t>〉的通知》（冀办字〔2018〕106号），石家庄市数据局为市政府</w:t>
      </w:r>
      <w:r>
        <w:rPr>
          <w:rFonts w:hint="eastAsia" w:ascii="仿宋_GB2312" w:hAnsi="仿宋_GB2312" w:eastAsia="仿宋_GB2312" w:cs="仿宋_GB2312"/>
          <w:color w:val="auto"/>
          <w:kern w:val="2"/>
          <w:sz w:val="32"/>
          <w:szCs w:val="32"/>
          <w:highlight w:val="none"/>
          <w:lang w:val="en-US" w:eastAsia="zh-CN" w:bidi="ar-SA"/>
        </w:rPr>
        <w:fldChar w:fldCharType="begin"/>
      </w:r>
      <w:r>
        <w:rPr>
          <w:rFonts w:hint="eastAsia" w:ascii="仿宋_GB2312" w:hAnsi="仿宋_GB2312" w:eastAsia="仿宋_GB2312" w:cs="仿宋_GB2312"/>
          <w:color w:val="auto"/>
          <w:kern w:val="2"/>
          <w:sz w:val="32"/>
          <w:szCs w:val="32"/>
          <w:highlight w:val="none"/>
          <w:lang w:val="en-US" w:eastAsia="zh-CN" w:bidi="ar-SA"/>
        </w:rPr>
        <w:instrText xml:space="preserve"> HYPERLINK "https://baike.baidu.com/item/%E5%B7%A5%E4%BD%9C%E9%83%A8%E9%97%A8/22986209" \t "https://baike.baidu.com/item/%E7%9F%B3%E5%AE%B6%E5%BA%84%E5%B8%82%E6%95%B0%E6%8D%AE%E8%B5%84%E6%BA%90%E7%AE%A1%E7%90%86%E5%B1%80/_blank" </w:instrText>
      </w:r>
      <w:r>
        <w:rPr>
          <w:rFonts w:hint="eastAsia" w:ascii="仿宋_GB2312" w:hAnsi="仿宋_GB2312" w:eastAsia="仿宋_GB2312" w:cs="仿宋_GB2312"/>
          <w:color w:val="auto"/>
          <w:kern w:val="2"/>
          <w:sz w:val="32"/>
          <w:szCs w:val="32"/>
          <w:highlight w:val="none"/>
          <w:lang w:val="en-US" w:eastAsia="zh-CN" w:bidi="ar-SA"/>
        </w:rPr>
        <w:fldChar w:fldCharType="separate"/>
      </w:r>
      <w:r>
        <w:rPr>
          <w:rFonts w:hint="eastAsia" w:ascii="仿宋_GB2312" w:hAnsi="仿宋_GB2312" w:eastAsia="仿宋_GB2312" w:cs="仿宋_GB2312"/>
          <w:color w:val="auto"/>
          <w:kern w:val="2"/>
          <w:sz w:val="32"/>
          <w:szCs w:val="32"/>
          <w:highlight w:val="none"/>
          <w:lang w:val="en-US" w:eastAsia="zh-CN" w:bidi="ar-SA"/>
        </w:rPr>
        <w:t>工作部门</w:t>
      </w:r>
      <w:r>
        <w:rPr>
          <w:rFonts w:hint="eastAsia" w:ascii="仿宋_GB2312" w:hAnsi="仿宋_GB2312" w:eastAsia="仿宋_GB2312" w:cs="仿宋_GB2312"/>
          <w:color w:val="auto"/>
          <w:kern w:val="2"/>
          <w:sz w:val="32"/>
          <w:szCs w:val="32"/>
          <w:highlight w:val="none"/>
          <w:lang w:val="en-US" w:eastAsia="zh-CN" w:bidi="ar-SA"/>
        </w:rPr>
        <w:fldChar w:fldCharType="end"/>
      </w:r>
      <w:r>
        <w:rPr>
          <w:rFonts w:hint="eastAsia" w:ascii="仿宋_GB2312" w:hAnsi="仿宋_GB2312" w:eastAsia="仿宋_GB2312" w:cs="仿宋_GB2312"/>
          <w:color w:val="auto"/>
          <w:kern w:val="2"/>
          <w:sz w:val="32"/>
          <w:szCs w:val="32"/>
          <w:highlight w:val="none"/>
          <w:lang w:val="en-US" w:eastAsia="zh-CN" w:bidi="ar-SA"/>
        </w:rPr>
        <w:t>，</w:t>
      </w:r>
      <w:r>
        <w:rPr>
          <w:rFonts w:hint="eastAsia" w:ascii="仿宋_GB2312" w:hAnsi="仿宋_GB2312" w:eastAsia="仿宋_GB2312" w:cs="仿宋_GB2312"/>
          <w:color w:val="auto"/>
          <w:kern w:val="0"/>
          <w:sz w:val="32"/>
          <w:szCs w:val="32"/>
          <w:highlight w:val="none"/>
          <w:lang w:val="en-US" w:eastAsia="zh-CN" w:bidi="ar"/>
        </w:rPr>
        <w:t>石家庄市数据局为正处级行政单位，为一级预算单位</w:t>
      </w:r>
      <w:r>
        <w:rPr>
          <w:rFonts w:hint="eastAsia" w:ascii="仿宋_GB2312" w:hAnsi="仿宋_GB2312" w:eastAsia="仿宋_GB2312" w:cs="仿宋_GB2312"/>
          <w:color w:val="auto"/>
          <w:kern w:val="2"/>
          <w:sz w:val="32"/>
          <w:szCs w:val="32"/>
          <w:highlight w:val="none"/>
          <w:lang w:val="en-US" w:eastAsia="zh-CN" w:bidi="ar-SA"/>
        </w:rPr>
        <w:t>，经费保障形式为财政拨款。石家庄市数据局下设下属单位 1 个（石家庄市电子政务中心），为副处级事业单位。</w:t>
      </w:r>
    </w:p>
    <w:p w14:paraId="58222FCF">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石家庄市数据局内设六个科室，均为正科级，单位在职人员共29人。六个正科级内设机构分别是：办公室、规划发展科、数据资源管理科、应用推广科、网络建设与安全科、机关党总支。</w:t>
      </w:r>
    </w:p>
    <w:p w14:paraId="0A305F8F">
      <w:pPr>
        <w:keepNext w:val="0"/>
        <w:keepLines w:val="0"/>
        <w:pageBreakBefore w:val="0"/>
        <w:widowControl w:val="0"/>
        <w:kinsoku/>
        <w:wordWrap/>
        <w:overflowPunct/>
        <w:topLinePunct w:val="0"/>
        <w:autoSpaceDE/>
        <w:autoSpaceDN/>
        <w:bidi w:val="0"/>
        <w:spacing w:line="600" w:lineRule="exact"/>
        <w:ind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石家庄市电子政务中心为副处级事业单位，单位在职人员共32人。</w:t>
      </w:r>
      <w:r>
        <w:rPr>
          <w:rFonts w:hint="eastAsia" w:ascii="仿宋_GB2312" w:hAnsi="仿宋_GB2312" w:eastAsia="仿宋_GB2312" w:cs="仿宋_GB2312"/>
          <w:color w:val="auto"/>
          <w:kern w:val="0"/>
          <w:sz w:val="32"/>
          <w:szCs w:val="32"/>
          <w:highlight w:val="none"/>
          <w:lang w:val="en-US" w:eastAsia="zh-CN" w:bidi="ar"/>
        </w:rPr>
        <w:t xml:space="preserve">    </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66"/>
        <w:gridCol w:w="1284"/>
        <w:gridCol w:w="1224"/>
        <w:gridCol w:w="2424"/>
        <w:gridCol w:w="1263"/>
      </w:tblGrid>
      <w:tr w14:paraId="557F78BD">
        <w:trPr>
          <w:trHeight w:val="578" w:hRule="atLeast"/>
        </w:trPr>
        <w:tc>
          <w:tcPr>
            <w:tcW w:w="2866" w:type="dxa"/>
            <w:vAlign w:val="center"/>
          </w:tcPr>
          <w:p w14:paraId="2684D15B">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单位名称</w:t>
            </w:r>
          </w:p>
        </w:tc>
        <w:tc>
          <w:tcPr>
            <w:tcW w:w="1284" w:type="dxa"/>
            <w:vAlign w:val="center"/>
          </w:tcPr>
          <w:p w14:paraId="396454FF">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单位性质</w:t>
            </w:r>
          </w:p>
        </w:tc>
        <w:tc>
          <w:tcPr>
            <w:tcW w:w="1224" w:type="dxa"/>
            <w:vAlign w:val="center"/>
          </w:tcPr>
          <w:p w14:paraId="64CAA7CA">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单位规格</w:t>
            </w:r>
          </w:p>
        </w:tc>
        <w:tc>
          <w:tcPr>
            <w:tcW w:w="2424" w:type="dxa"/>
            <w:vAlign w:val="center"/>
          </w:tcPr>
          <w:p w14:paraId="60A8ED34">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经费保障形式</w:t>
            </w:r>
          </w:p>
        </w:tc>
        <w:tc>
          <w:tcPr>
            <w:tcW w:w="1263" w:type="dxa"/>
            <w:vAlign w:val="center"/>
          </w:tcPr>
          <w:p w14:paraId="58DCFAB1">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b/>
                <w:bCs/>
                <w:color w:val="auto"/>
                <w:sz w:val="24"/>
                <w:szCs w:val="24"/>
                <w:highlight w:val="none"/>
                <w:vertAlign w:val="baseline"/>
                <w:lang w:val="en-US" w:eastAsia="zh-CN"/>
              </w:rPr>
            </w:pPr>
            <w:r>
              <w:rPr>
                <w:rFonts w:hint="eastAsia" w:ascii="宋体" w:hAnsi="宋体" w:eastAsia="宋体" w:cs="宋体"/>
                <w:b/>
                <w:bCs/>
                <w:color w:val="auto"/>
                <w:sz w:val="24"/>
                <w:szCs w:val="24"/>
                <w:highlight w:val="none"/>
                <w:vertAlign w:val="baseline"/>
                <w:lang w:val="en-US" w:eastAsia="zh-CN"/>
              </w:rPr>
              <w:t>内设机构</w:t>
            </w:r>
          </w:p>
        </w:tc>
      </w:tr>
      <w:tr w14:paraId="1D3D7FE7">
        <w:trPr>
          <w:trHeight w:val="592" w:hRule="atLeast"/>
        </w:trPr>
        <w:tc>
          <w:tcPr>
            <w:tcW w:w="2866" w:type="dxa"/>
            <w:vAlign w:val="center"/>
          </w:tcPr>
          <w:p w14:paraId="6D8BC7AD">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石家庄市数据局</w:t>
            </w:r>
          </w:p>
        </w:tc>
        <w:tc>
          <w:tcPr>
            <w:tcW w:w="1284" w:type="dxa"/>
            <w:vAlign w:val="center"/>
          </w:tcPr>
          <w:p w14:paraId="491CBCA0">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行政</w:t>
            </w:r>
          </w:p>
        </w:tc>
        <w:tc>
          <w:tcPr>
            <w:tcW w:w="1224" w:type="dxa"/>
            <w:vAlign w:val="center"/>
          </w:tcPr>
          <w:p w14:paraId="36F59C9C">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正处级</w:t>
            </w:r>
          </w:p>
        </w:tc>
        <w:tc>
          <w:tcPr>
            <w:tcW w:w="2424" w:type="dxa"/>
            <w:vAlign w:val="center"/>
          </w:tcPr>
          <w:p w14:paraId="51CB32F0">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财政拨款</w:t>
            </w:r>
          </w:p>
        </w:tc>
        <w:tc>
          <w:tcPr>
            <w:tcW w:w="1263" w:type="dxa"/>
            <w:vAlign w:val="center"/>
          </w:tcPr>
          <w:p w14:paraId="40C395E8">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6</w:t>
            </w:r>
            <w:r>
              <w:rPr>
                <w:rFonts w:hint="eastAsia" w:ascii="宋体" w:hAnsi="宋体" w:eastAsia="宋体" w:cs="宋体"/>
                <w:color w:val="auto"/>
                <w:sz w:val="24"/>
                <w:szCs w:val="24"/>
                <w:highlight w:val="none"/>
                <w:vertAlign w:val="baseline"/>
                <w:lang w:val="en-US" w:eastAsia="zh-CN"/>
              </w:rPr>
              <w:t>个</w:t>
            </w:r>
          </w:p>
        </w:tc>
      </w:tr>
      <w:tr w14:paraId="063E208D">
        <w:trPr>
          <w:trHeight w:val="588" w:hRule="atLeast"/>
        </w:trPr>
        <w:tc>
          <w:tcPr>
            <w:tcW w:w="2866" w:type="dxa"/>
            <w:vAlign w:val="center"/>
          </w:tcPr>
          <w:p w14:paraId="7D07DCAD">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石家庄市电子政务中心</w:t>
            </w:r>
          </w:p>
        </w:tc>
        <w:tc>
          <w:tcPr>
            <w:tcW w:w="1284" w:type="dxa"/>
            <w:vAlign w:val="center"/>
          </w:tcPr>
          <w:p w14:paraId="2CF6BAC1">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事业</w:t>
            </w:r>
          </w:p>
        </w:tc>
        <w:tc>
          <w:tcPr>
            <w:tcW w:w="1224" w:type="dxa"/>
            <w:vAlign w:val="center"/>
          </w:tcPr>
          <w:p w14:paraId="2F3B917D">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副处级</w:t>
            </w:r>
          </w:p>
        </w:tc>
        <w:tc>
          <w:tcPr>
            <w:tcW w:w="2424" w:type="dxa"/>
            <w:vAlign w:val="center"/>
          </w:tcPr>
          <w:p w14:paraId="4FBC7F9F">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eastAsia="宋体" w:cs="宋体"/>
                <w:color w:val="auto"/>
                <w:sz w:val="24"/>
                <w:szCs w:val="24"/>
                <w:highlight w:val="none"/>
                <w:vertAlign w:val="baseline"/>
                <w:lang w:val="en-US" w:eastAsia="zh-CN"/>
              </w:rPr>
              <w:t>财政性资金基本保证</w:t>
            </w:r>
          </w:p>
        </w:tc>
        <w:tc>
          <w:tcPr>
            <w:tcW w:w="1263" w:type="dxa"/>
            <w:vAlign w:val="center"/>
          </w:tcPr>
          <w:p w14:paraId="52CF147A">
            <w:pPr>
              <w:pStyle w:val="2"/>
              <w:keepNext w:val="0"/>
              <w:keepLines w:val="0"/>
              <w:pageBreakBefore w:val="0"/>
              <w:kinsoku/>
              <w:overflowPunct/>
              <w:topLinePunct w:val="0"/>
              <w:autoSpaceDE/>
              <w:autoSpaceDN/>
              <w:bidi w:val="0"/>
              <w:spacing w:line="600" w:lineRule="exact"/>
              <w:ind w:left="0" w:leftChars="0" w:firstLine="0" w:firstLineChars="0"/>
              <w:jc w:val="both"/>
              <w:rPr>
                <w:rFonts w:hint="eastAsia" w:ascii="宋体" w:hAnsi="宋体" w:eastAsia="宋体" w:cs="宋体"/>
                <w:color w:val="auto"/>
                <w:sz w:val="24"/>
                <w:szCs w:val="24"/>
                <w:highlight w:val="none"/>
                <w:vertAlign w:val="baseline"/>
                <w:lang w:val="en-US" w:eastAsia="zh-CN"/>
              </w:rPr>
            </w:pPr>
            <w:r>
              <w:rPr>
                <w:rFonts w:hint="eastAsia" w:ascii="宋体" w:hAnsi="宋体" w:cs="宋体"/>
                <w:color w:val="auto"/>
                <w:sz w:val="24"/>
                <w:szCs w:val="24"/>
                <w:highlight w:val="none"/>
                <w:vertAlign w:val="baseline"/>
                <w:lang w:val="en-US" w:eastAsia="zh-CN"/>
              </w:rPr>
              <w:t>4</w:t>
            </w:r>
            <w:r>
              <w:rPr>
                <w:rFonts w:hint="eastAsia" w:ascii="宋体" w:hAnsi="宋体" w:eastAsia="宋体" w:cs="宋体"/>
                <w:color w:val="auto"/>
                <w:sz w:val="24"/>
                <w:szCs w:val="24"/>
                <w:highlight w:val="none"/>
                <w:vertAlign w:val="baseline"/>
                <w:lang w:val="en-US" w:eastAsia="zh-CN"/>
              </w:rPr>
              <w:t>个</w:t>
            </w:r>
          </w:p>
        </w:tc>
      </w:tr>
    </w:tbl>
    <w:p w14:paraId="498AE599">
      <w:pPr>
        <w:keepNext w:val="0"/>
        <w:keepLines w:val="0"/>
        <w:pageBreakBefore w:val="0"/>
        <w:widowControl w:val="0"/>
        <w:numPr>
          <w:ilvl w:val="0"/>
          <w:numId w:val="2"/>
        </w:numPr>
        <w:kinsoku/>
        <w:wordWrap/>
        <w:overflowPunct/>
        <w:topLinePunct w:val="0"/>
        <w:autoSpaceDE/>
        <w:autoSpaceDN/>
        <w:bidi w:val="0"/>
        <w:spacing w:line="576" w:lineRule="exact"/>
        <w:ind w:left="0" w:leftChars="0" w:firstLine="640" w:firstLineChars="200"/>
        <w:jc w:val="both"/>
        <w:outlineLvl w:val="9"/>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部门资产情况</w:t>
      </w:r>
    </w:p>
    <w:p w14:paraId="09E8BD28">
      <w:pPr>
        <w:keepNext w:val="0"/>
        <w:keepLines w:val="0"/>
        <w:pageBreakBefore w:val="0"/>
        <w:widowControl w:val="0"/>
        <w:kinsoku/>
        <w:wordWrap/>
        <w:overflowPunct/>
        <w:topLinePunct w:val="0"/>
        <w:autoSpaceDE/>
        <w:autoSpaceDN/>
        <w:bidi w:val="0"/>
        <w:spacing w:line="576" w:lineRule="exact"/>
        <w:ind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截至2023年12月31日，本部门共有公务用车1辆，价值    6.2万元；单价20万（含）以上（不含车辆）的固定资产112项，价值14673.677739万元。</w:t>
      </w:r>
    </w:p>
    <w:p w14:paraId="65FA659A">
      <w:pPr>
        <w:keepNext w:val="0"/>
        <w:keepLines w:val="0"/>
        <w:pageBreakBefore w:val="0"/>
        <w:widowControl w:val="0"/>
        <w:kinsoku/>
        <w:wordWrap/>
        <w:overflowPunct/>
        <w:topLinePunct w:val="0"/>
        <w:autoSpaceDE/>
        <w:autoSpaceDN/>
        <w:bidi w:val="0"/>
        <w:adjustRightInd w:val="0"/>
        <w:snapToGrid w:val="0"/>
        <w:spacing w:line="576" w:lineRule="exact"/>
        <w:ind w:left="0" w:leftChars="0" w:right="0" w:firstLine="640" w:firstLineChars="200"/>
        <w:jc w:val="both"/>
        <w:textAlignment w:val="auto"/>
        <w:outlineLvl w:val="9"/>
        <w:rPr>
          <w:rFonts w:hint="eastAsia" w:ascii="楷体_GB2312" w:hAnsi="楷体_GB2312" w:eastAsia="楷体_GB2312" w:cs="楷体_GB2312"/>
          <w:b w:val="0"/>
          <w:bCs w:val="0"/>
          <w:color w:val="auto"/>
          <w:sz w:val="32"/>
          <w:szCs w:val="32"/>
          <w:highlight w:val="none"/>
          <w:lang w:eastAsia="zh-CN"/>
        </w:rPr>
      </w:pPr>
      <w:r>
        <w:rPr>
          <w:rFonts w:hint="eastAsia" w:ascii="楷体_GB2312" w:hAnsi="楷体_GB2312" w:eastAsia="楷体_GB2312" w:cs="楷体_GB2312"/>
          <w:b w:val="0"/>
          <w:bCs w:val="0"/>
          <w:color w:val="auto"/>
          <w:sz w:val="32"/>
          <w:szCs w:val="32"/>
          <w:highlight w:val="none"/>
        </w:rPr>
        <w:t>（二）</w:t>
      </w:r>
      <w:r>
        <w:rPr>
          <w:rFonts w:hint="eastAsia" w:ascii="楷体_GB2312" w:hAnsi="楷体_GB2312" w:eastAsia="楷体_GB2312" w:cs="楷体_GB2312"/>
          <w:b w:val="0"/>
          <w:bCs w:val="0"/>
          <w:color w:val="auto"/>
          <w:sz w:val="32"/>
          <w:szCs w:val="32"/>
          <w:highlight w:val="none"/>
          <w:lang w:eastAsia="zh-CN"/>
        </w:rPr>
        <w:t>部门收支预决算情况</w:t>
      </w:r>
    </w:p>
    <w:p w14:paraId="63A38F48">
      <w:pPr>
        <w:keepNext w:val="0"/>
        <w:keepLines w:val="0"/>
        <w:pageBreakBefore w:val="0"/>
        <w:widowControl w:val="0"/>
        <w:numPr>
          <w:ilvl w:val="0"/>
          <w:numId w:val="4"/>
        </w:numPr>
        <w:kinsoku/>
        <w:wordWrap/>
        <w:overflowPunct/>
        <w:topLinePunct w:val="0"/>
        <w:autoSpaceDE/>
        <w:autoSpaceDN/>
        <w:bidi w:val="0"/>
        <w:spacing w:line="576" w:lineRule="exact"/>
        <w:ind w:left="0" w:leftChars="0"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部门收入预决算情况</w:t>
      </w:r>
    </w:p>
    <w:p w14:paraId="16F33459">
      <w:pPr>
        <w:keepNext w:val="0"/>
        <w:keepLines w:val="0"/>
        <w:pageBreakBefore w:val="0"/>
        <w:widowControl w:val="0"/>
        <w:kinsoku/>
        <w:wordWrap/>
        <w:overflowPunct/>
        <w:topLinePunct w:val="0"/>
        <w:autoSpaceDE/>
        <w:autoSpaceDN/>
        <w:bidi w:val="0"/>
        <w:snapToGrid/>
        <w:spacing w:line="576" w:lineRule="exact"/>
        <w:ind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2023年部门预算收入年初预算数65559.38万元，全年预算数60108.13万元，决算数57350.99万元；年初结余结转66.37万元，年末结转和结余5.57万元；全部为一般公共预算财政拨款收入。</w:t>
      </w:r>
    </w:p>
    <w:p w14:paraId="2C2D8A10">
      <w:pPr>
        <w:keepNext w:val="0"/>
        <w:keepLines w:val="0"/>
        <w:pageBreakBefore w:val="0"/>
        <w:widowControl w:val="0"/>
        <w:numPr>
          <w:ilvl w:val="0"/>
          <w:numId w:val="4"/>
        </w:numPr>
        <w:kinsoku/>
        <w:wordWrap/>
        <w:overflowPunct/>
        <w:topLinePunct w:val="0"/>
        <w:autoSpaceDE/>
        <w:autoSpaceDN/>
        <w:bidi w:val="0"/>
        <w:snapToGrid/>
        <w:spacing w:line="576" w:lineRule="exact"/>
        <w:ind w:left="0" w:leftChars="0"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部门支出预决算情况</w:t>
      </w:r>
    </w:p>
    <w:p w14:paraId="23D81B3E">
      <w:pPr>
        <w:keepNext w:val="0"/>
        <w:keepLines w:val="0"/>
        <w:pageBreakBefore w:val="0"/>
        <w:widowControl w:val="0"/>
        <w:kinsoku/>
        <w:wordWrap/>
        <w:overflowPunct/>
        <w:topLinePunct w:val="0"/>
        <w:autoSpaceDE/>
        <w:autoSpaceDN/>
        <w:bidi w:val="0"/>
        <w:snapToGrid/>
        <w:spacing w:line="576" w:lineRule="exact"/>
        <w:ind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2023年部门支出年初预算数为 65559.38 万元，全年预算数为60108.13万元，决算数57350.99万元；年初结余结转66.37万元，年末结转和结余5.57万元。</w:t>
      </w:r>
    </w:p>
    <w:p w14:paraId="1A2F86C7">
      <w:pPr>
        <w:keepNext w:val="0"/>
        <w:keepLines w:val="0"/>
        <w:pageBreakBefore w:val="0"/>
        <w:widowControl w:val="0"/>
        <w:kinsoku/>
        <w:wordWrap/>
        <w:overflowPunct/>
        <w:topLinePunct w:val="0"/>
        <w:autoSpaceDE/>
        <w:autoSpaceDN/>
        <w:bidi w:val="0"/>
        <w:snapToGrid/>
        <w:spacing w:line="576" w:lineRule="exact"/>
        <w:ind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按功能分类，其中：一般公共服务支出年初预算1265.48万元，调整预算数1337.85万元，决算数1315.74万元；社会保障和就业支出年初预算123.70万元，调整预算数123.32万元，决算数120.66万元；卫生健康支出年初预算74.20万元，调整预算数71.97万元，决算数70.96万元；资源勘探工业信息等支出年初预算数63994.00万元，调整预算数57363.71万元，决算数55528.82万元；住房保障支出年初预算数102.00万元，调整预算数99.61万元，决算数99.60万元；其他支出年初预算数0元，调整预算数1111.67万元，决算数209.64万元。</w:t>
      </w:r>
    </w:p>
    <w:p w14:paraId="6B0207CB">
      <w:pPr>
        <w:pStyle w:val="2"/>
        <w:keepNext w:val="0"/>
        <w:keepLines w:val="0"/>
        <w:pageBreakBefore w:val="0"/>
        <w:widowControl w:val="0"/>
        <w:kinsoku/>
        <w:wordWrap/>
        <w:overflowPunct/>
        <w:topLinePunct w:val="0"/>
        <w:autoSpaceDE/>
        <w:autoSpaceDN/>
        <w:bidi w:val="0"/>
        <w:snapToGrid/>
        <w:spacing w:line="576" w:lineRule="exact"/>
        <w:ind w:left="0" w:leftChars="0"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kern w:val="2"/>
          <w:sz w:val="32"/>
          <w:szCs w:val="32"/>
          <w:highlight w:val="none"/>
          <w:lang w:val="en-US" w:eastAsia="zh-CN" w:bidi="ar-SA"/>
        </w:rPr>
        <w:t>按经济分类，其中：基本支出 1259.54 万元，包括人员经费 1130.81 万元和日常公用经费 128.73 万元。项目支出64299.84 万元，主要为：防入侵监测费 20 万元；信息化建设项目26747.00 万元；信息化项目运维费 37247.00 万元；支付日元贷款本金利息40.94万元；专用设备维修费3.00万元；办公设备购置 5.00 万元；党组织活动经费 3.90 万元；文件资料印刷费 5.00 万元；业务咨询委托费 228.00万元；其他支出 0 万元。</w:t>
      </w:r>
    </w:p>
    <w:p w14:paraId="00BC36CA">
      <w:pPr>
        <w:keepNext w:val="0"/>
        <w:keepLines w:val="0"/>
        <w:pageBreakBefore w:val="0"/>
        <w:widowControl w:val="0"/>
        <w:numPr>
          <w:ilvl w:val="0"/>
          <w:numId w:val="0"/>
        </w:numPr>
        <w:kinsoku/>
        <w:wordWrap/>
        <w:overflowPunct/>
        <w:topLinePunct w:val="0"/>
        <w:autoSpaceDE/>
        <w:autoSpaceDN/>
        <w:bidi w:val="0"/>
        <w:adjustRightInd/>
        <w:snapToGrid/>
        <w:spacing w:line="576" w:lineRule="exact"/>
        <w:ind w:firstLine="640" w:firstLineChars="200"/>
        <w:jc w:val="both"/>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3.“三公”经费预算情况 </w:t>
      </w:r>
    </w:p>
    <w:p w14:paraId="3DA83888">
      <w:pPr>
        <w:pStyle w:val="2"/>
        <w:keepNext w:val="0"/>
        <w:keepLines w:val="0"/>
        <w:pageBreakBefore w:val="0"/>
        <w:kinsoku/>
        <w:wordWrap/>
        <w:overflowPunct/>
        <w:topLinePunct w:val="0"/>
        <w:autoSpaceDE/>
        <w:autoSpaceDN/>
        <w:bidi w:val="0"/>
        <w:spacing w:line="576" w:lineRule="exact"/>
        <w:ind w:left="0" w:leftChars="0"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2023年部门“三公”经费预算6.53万元，其中：</w:t>
      </w:r>
    </w:p>
    <w:p w14:paraId="6C3308A5">
      <w:pPr>
        <w:keepNext w:val="0"/>
        <w:keepLines w:val="0"/>
        <w:pageBreakBefore w:val="0"/>
        <w:widowControl w:val="0"/>
        <w:numPr>
          <w:ilvl w:val="0"/>
          <w:numId w:val="0"/>
        </w:numPr>
        <w:kinsoku/>
        <w:wordWrap/>
        <w:overflowPunct/>
        <w:topLinePunct w:val="0"/>
        <w:autoSpaceDE/>
        <w:autoSpaceDN/>
        <w:bidi w:val="0"/>
        <w:spacing w:line="576" w:lineRule="exact"/>
        <w:ind w:left="0" w:leftChars="0" w:firstLine="640" w:firstLineChars="200"/>
        <w:jc w:val="both"/>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因公出国</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境</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费</w:t>
      </w:r>
      <w:r>
        <w:rPr>
          <w:rFonts w:hint="eastAsia" w:ascii="仿宋_GB2312" w:hAnsi="仿宋_GB2312" w:eastAsia="仿宋_GB2312" w:cs="仿宋_GB2312"/>
          <w:color w:val="auto"/>
          <w:sz w:val="32"/>
          <w:szCs w:val="32"/>
          <w:highlight w:val="none"/>
          <w:lang w:val="en-US" w:eastAsia="zh-CN"/>
        </w:rPr>
        <w:t>0元</w:t>
      </w:r>
      <w:r>
        <w:rPr>
          <w:rFonts w:hint="eastAsia" w:ascii="仿宋_GB2312" w:hAnsi="仿宋_GB2312" w:eastAsia="仿宋_GB2312" w:cs="仿宋_GB2312"/>
          <w:color w:val="auto"/>
          <w:sz w:val="32"/>
          <w:szCs w:val="32"/>
          <w:highlight w:val="none"/>
        </w:rPr>
        <w:t xml:space="preserve">。 </w:t>
      </w:r>
    </w:p>
    <w:p w14:paraId="5762C0F4">
      <w:pPr>
        <w:keepNext w:val="0"/>
        <w:keepLines w:val="0"/>
        <w:pageBreakBefore w:val="0"/>
        <w:widowControl w:val="0"/>
        <w:kinsoku/>
        <w:wordWrap/>
        <w:overflowPunct/>
        <w:topLinePunct w:val="0"/>
        <w:autoSpaceDE/>
        <w:autoSpaceDN/>
        <w:bidi w:val="0"/>
        <w:spacing w:line="576" w:lineRule="exact"/>
        <w:ind w:firstLine="640" w:firstLineChars="200"/>
        <w:jc w:val="both"/>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公务用车购置及运行费</w:t>
      </w:r>
      <w:r>
        <w:rPr>
          <w:rFonts w:hint="eastAsia" w:ascii="仿宋_GB2312" w:hAnsi="仿宋_GB2312" w:eastAsia="仿宋_GB2312" w:cs="仿宋_GB2312"/>
          <w:color w:val="auto"/>
          <w:sz w:val="32"/>
          <w:szCs w:val="32"/>
          <w:highlight w:val="none"/>
          <w:lang w:val="en-US" w:eastAsia="zh-CN"/>
        </w:rPr>
        <w:t>5.8万元。</w:t>
      </w:r>
    </w:p>
    <w:p w14:paraId="6176C194">
      <w:pPr>
        <w:keepNext w:val="0"/>
        <w:keepLines w:val="0"/>
        <w:pageBreakBefore w:val="0"/>
        <w:widowControl w:val="0"/>
        <w:kinsoku/>
        <w:wordWrap/>
        <w:overflowPunct/>
        <w:topLinePunct w:val="0"/>
        <w:autoSpaceDE/>
        <w:autoSpaceDN/>
        <w:bidi w:val="0"/>
        <w:adjustRightInd w:val="0"/>
        <w:snapToGrid w:val="0"/>
        <w:spacing w:line="576" w:lineRule="exact"/>
        <w:ind w:left="0" w:leftChars="0" w:right="0" w:firstLine="640" w:firstLineChars="200"/>
        <w:jc w:val="both"/>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公务接待费</w:t>
      </w:r>
      <w:r>
        <w:rPr>
          <w:rFonts w:hint="eastAsia" w:ascii="仿宋_GB2312" w:hAnsi="仿宋_GB2312" w:eastAsia="仿宋_GB2312" w:cs="仿宋_GB2312"/>
          <w:color w:val="auto"/>
          <w:sz w:val="32"/>
          <w:szCs w:val="32"/>
          <w:highlight w:val="none"/>
          <w:lang w:val="en-US" w:eastAsia="zh-CN"/>
        </w:rPr>
        <w:t>0.73万元</w:t>
      </w:r>
      <w:r>
        <w:rPr>
          <w:rFonts w:hint="eastAsia" w:ascii="仿宋_GB2312" w:hAnsi="仿宋_GB2312" w:eastAsia="仿宋_GB2312" w:cs="仿宋_GB2312"/>
          <w:color w:val="auto"/>
          <w:sz w:val="32"/>
          <w:szCs w:val="32"/>
          <w:highlight w:val="none"/>
        </w:rPr>
        <w:t>。</w:t>
      </w:r>
    </w:p>
    <w:p w14:paraId="56596751">
      <w:pPr>
        <w:keepNext w:val="0"/>
        <w:keepLines w:val="0"/>
        <w:pageBreakBefore w:val="0"/>
        <w:widowControl w:val="0"/>
        <w:kinsoku/>
        <w:wordWrap/>
        <w:overflowPunct/>
        <w:topLinePunct w:val="0"/>
        <w:autoSpaceDE/>
        <w:autoSpaceDN/>
        <w:bidi w:val="0"/>
        <w:adjustRightInd w:val="0"/>
        <w:snapToGrid w:val="0"/>
        <w:spacing w:line="576" w:lineRule="exact"/>
        <w:ind w:left="0" w:leftChars="0" w:right="0" w:firstLine="640" w:firstLineChars="200"/>
        <w:jc w:val="both"/>
        <w:textAlignment w:val="auto"/>
        <w:outlineLvl w:val="9"/>
        <w:rPr>
          <w:rFonts w:hint="eastAsia" w:ascii="楷体_GB2312" w:hAnsi="楷体_GB2312" w:eastAsia="楷体_GB2312" w:cs="楷体_GB2312"/>
          <w:b w:val="0"/>
          <w:bCs w:val="0"/>
          <w:color w:val="auto"/>
          <w:sz w:val="32"/>
          <w:szCs w:val="32"/>
          <w:highlight w:val="none"/>
          <w:lang w:eastAsia="zh-CN"/>
        </w:rPr>
      </w:pPr>
      <w:r>
        <w:rPr>
          <w:rFonts w:hint="eastAsia" w:ascii="楷体_GB2312" w:hAnsi="楷体_GB2312" w:eastAsia="楷体_GB2312" w:cs="楷体_GB2312"/>
          <w:b w:val="0"/>
          <w:bCs w:val="0"/>
          <w:color w:val="auto"/>
          <w:sz w:val="32"/>
          <w:szCs w:val="32"/>
          <w:highlight w:val="none"/>
          <w:lang w:eastAsia="zh-CN"/>
        </w:rPr>
        <w:t>（三）部门整体支出绩效目标、指标</w:t>
      </w:r>
    </w:p>
    <w:p w14:paraId="4869C575">
      <w:pPr>
        <w:keepNext w:val="0"/>
        <w:keepLines w:val="0"/>
        <w:pageBreakBefore w:val="0"/>
        <w:widowControl/>
        <w:numPr>
          <w:ilvl w:val="0"/>
          <w:numId w:val="5"/>
        </w:numPr>
        <w:suppressLineNumbers w:val="0"/>
        <w:kinsoku/>
        <w:wordWrap/>
        <w:overflowPunct/>
        <w:topLinePunct w:val="0"/>
        <w:autoSpaceDE/>
        <w:autoSpaceDN/>
        <w:bidi w:val="0"/>
        <w:spacing w:line="576" w:lineRule="exact"/>
        <w:ind w:left="0" w:leftChars="0" w:firstLine="640" w:firstLineChars="200"/>
        <w:jc w:val="both"/>
        <w:outlineLvl w:val="9"/>
        <w:rPr>
          <w:rFonts w:hint="eastAsia" w:ascii="仿宋_GB2312" w:hAnsi="仿宋_GB2312" w:eastAsia="仿宋_GB2312" w:cs="仿宋_GB2312"/>
          <w:b w:val="0"/>
          <w:bCs w:val="0"/>
          <w:color w:val="auto"/>
          <w:kern w:val="0"/>
          <w:sz w:val="32"/>
          <w:szCs w:val="32"/>
          <w:highlight w:val="none"/>
          <w:lang w:val="en-US" w:eastAsia="zh-CN" w:bidi="ar"/>
        </w:rPr>
      </w:pPr>
      <w:bookmarkStart w:id="0" w:name="_Toc63763256"/>
      <w:r>
        <w:rPr>
          <w:rFonts w:hint="eastAsia" w:ascii="仿宋_GB2312" w:hAnsi="仿宋_GB2312" w:eastAsia="仿宋_GB2312" w:cs="仿宋_GB2312"/>
          <w:b w:val="0"/>
          <w:bCs w:val="0"/>
          <w:color w:val="auto"/>
          <w:kern w:val="0"/>
          <w:sz w:val="32"/>
          <w:szCs w:val="32"/>
          <w:highlight w:val="none"/>
          <w:lang w:val="en-US" w:eastAsia="zh-CN" w:bidi="ar"/>
        </w:rPr>
        <w:t>部门整体绩效目标</w:t>
      </w:r>
    </w:p>
    <w:p w14:paraId="0A26621F">
      <w:pPr>
        <w:keepNext w:val="0"/>
        <w:keepLines w:val="0"/>
        <w:pageBreakBefore w:val="0"/>
        <w:widowControl/>
        <w:suppressLineNumbers w:val="0"/>
        <w:kinsoku/>
        <w:wordWrap/>
        <w:overflowPunct/>
        <w:topLinePunct w:val="0"/>
        <w:autoSpaceDE/>
        <w:autoSpaceDN/>
        <w:bidi w:val="0"/>
        <w:spacing w:line="576" w:lineRule="exact"/>
        <w:ind w:firstLine="640" w:firstLineChars="200"/>
        <w:jc w:val="both"/>
        <w:outlineLvl w:val="9"/>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2023 年，深入贯彻习近平新时代中国特色社会主义思想为指导，在市委、市政府领导下，坚持目标导向、问题导向、重点导向，进一步解放思想、强化担当，瞄准全年任务目标靶向，精准发力不跑偏，持续发力不减压。</w:t>
      </w:r>
    </w:p>
    <w:p w14:paraId="73F5797F">
      <w:pPr>
        <w:keepNext w:val="0"/>
        <w:keepLines w:val="0"/>
        <w:pageBreakBefore w:val="0"/>
        <w:widowControl/>
        <w:suppressLineNumbers w:val="0"/>
        <w:kinsoku/>
        <w:wordWrap/>
        <w:overflowPunct/>
        <w:topLinePunct w:val="0"/>
        <w:autoSpaceDE/>
        <w:autoSpaceDN/>
        <w:bidi w:val="0"/>
        <w:spacing w:line="576" w:lineRule="exact"/>
        <w:ind w:firstLine="640" w:firstLineChars="200"/>
        <w:jc w:val="both"/>
        <w:outlineLvl w:val="9"/>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 xml:space="preserve">坚持做优数据服务，全力助推“两个直达”，让“政策直达”更彻底，让“治理直达”更高效；坚持抓好信息化应用，全力支撑“数据赋能”，高效率推进智能化基础设施和应用系统建设，高标准打造信息化管理特色应用。 </w:t>
      </w:r>
    </w:p>
    <w:p w14:paraId="28FC6C32">
      <w:pPr>
        <w:keepNext w:val="0"/>
        <w:keepLines w:val="0"/>
        <w:pageBreakBefore w:val="0"/>
        <w:widowControl/>
        <w:numPr>
          <w:ilvl w:val="0"/>
          <w:numId w:val="5"/>
        </w:numPr>
        <w:suppressLineNumbers w:val="0"/>
        <w:kinsoku/>
        <w:wordWrap/>
        <w:overflowPunct/>
        <w:topLinePunct w:val="0"/>
        <w:autoSpaceDE/>
        <w:autoSpaceDN/>
        <w:bidi w:val="0"/>
        <w:adjustRightInd/>
        <w:snapToGrid/>
        <w:spacing w:line="576" w:lineRule="exact"/>
        <w:ind w:left="0" w:leftChars="0" w:firstLine="640" w:firstLineChars="200"/>
        <w:jc w:val="both"/>
        <w:textAlignment w:val="auto"/>
        <w:outlineLvl w:val="9"/>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kern w:val="0"/>
          <w:sz w:val="32"/>
          <w:szCs w:val="32"/>
          <w:highlight w:val="none"/>
          <w:lang w:val="en-US" w:eastAsia="zh-CN" w:bidi="ar"/>
        </w:rPr>
        <w:t>部门整体绩效指标</w:t>
      </w:r>
    </w:p>
    <w:p w14:paraId="4897325F">
      <w:pPr>
        <w:pStyle w:val="2"/>
        <w:numPr>
          <w:ilvl w:val="0"/>
          <w:numId w:val="0"/>
        </w:numPr>
        <w:ind w:leftChars="200"/>
        <w:rPr>
          <w:rFonts w:hint="eastAsia"/>
          <w:color w:val="auto"/>
          <w:highlight w:val="none"/>
          <w:lang w:val="en-US" w:eastAsia="zh-CN"/>
        </w:rPr>
      </w:pPr>
    </w:p>
    <w:tbl>
      <w:tblPr>
        <w:tblStyle w:val="6"/>
        <w:tblW w:w="4725" w:type="pct"/>
        <w:tblInd w:w="10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305"/>
        <w:gridCol w:w="4444"/>
        <w:gridCol w:w="1814"/>
      </w:tblGrid>
      <w:tr w14:paraId="755FE1A5">
        <w:trPr>
          <w:trHeight w:val="280"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D6C30">
            <w:pPr>
              <w:keepNext w:val="0"/>
              <w:keepLines w:val="0"/>
              <w:widowControl/>
              <w:suppressLineNumbers w:val="0"/>
              <w:jc w:val="center"/>
              <w:textAlignment w:val="center"/>
              <w:rPr>
                <w:rFonts w:hint="default" w:ascii="宋体" w:hAnsi="宋体" w:eastAsia="宋体" w:cs="宋体"/>
                <w:b/>
                <w:bCs/>
                <w:i w:val="0"/>
                <w:iCs w:val="0"/>
                <w:color w:val="auto"/>
                <w:sz w:val="24"/>
                <w:szCs w:val="24"/>
                <w:highlight w:val="none"/>
                <w:u w:val="none"/>
                <w:lang w:val="en-US" w:eastAsia="zh-CN"/>
              </w:rPr>
            </w:pPr>
            <w:r>
              <w:rPr>
                <w:rFonts w:hint="eastAsia" w:ascii="宋体" w:hAnsi="宋体" w:eastAsia="宋体" w:cs="宋体"/>
                <w:b/>
                <w:bCs/>
                <w:i w:val="0"/>
                <w:iCs w:val="0"/>
                <w:color w:val="auto"/>
                <w:sz w:val="24"/>
                <w:szCs w:val="24"/>
                <w:highlight w:val="none"/>
                <w:u w:val="none"/>
                <w:lang w:val="en-US" w:eastAsia="zh-CN"/>
              </w:rPr>
              <w:t>整体绩效指标</w:t>
            </w:r>
          </w:p>
        </w:tc>
      </w:tr>
      <w:tr w14:paraId="4458046D">
        <w:trPr>
          <w:trHeight w:val="280" w:hRule="atLeast"/>
        </w:trPr>
        <w:tc>
          <w:tcPr>
            <w:tcW w:w="1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9C60F">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一级指标</w:t>
            </w: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A9D58">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二级指标</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4AC3A">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分值</w:t>
            </w:r>
          </w:p>
        </w:tc>
      </w:tr>
      <w:tr w14:paraId="35C74A8D">
        <w:trPr>
          <w:trHeight w:val="280" w:hRule="atLeast"/>
        </w:trPr>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D79B5">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部门决策</w:t>
            </w:r>
          </w:p>
          <w:p w14:paraId="5588431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（15分）</w:t>
            </w: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55B96">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目标设定</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E5FF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r>
      <w:tr w14:paraId="2C701231">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5EAE8">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72B5F0">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预算配置</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97FF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r>
      <w:tr w14:paraId="2D913A83">
        <w:trPr>
          <w:trHeight w:val="280" w:hRule="atLeast"/>
        </w:trPr>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C8F74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部门管理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（20分）</w:t>
            </w: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6BCE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预算执行</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3C18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6AE3B745">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4FA26">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3F756">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财务管理</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3265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5BED6A1C">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7E2B35">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3F368">
            <w:pPr>
              <w:keepNext w:val="0"/>
              <w:keepLines w:val="0"/>
              <w:widowControl/>
              <w:suppressLineNumbers w:val="0"/>
              <w:jc w:val="left"/>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内控制度建设</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3552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4DEE3357">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9C95F2">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AE9A6">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党建工作</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45B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5D9012C3">
        <w:trPr>
          <w:trHeight w:val="280" w:hRule="atLeast"/>
        </w:trPr>
        <w:tc>
          <w:tcPr>
            <w:tcW w:w="1346" w:type="pct"/>
            <w:vMerge w:val="restart"/>
            <w:tcBorders>
              <w:top w:val="single" w:color="000000" w:sz="4" w:space="0"/>
              <w:left w:val="single" w:color="000000" w:sz="4" w:space="0"/>
              <w:bottom w:val="nil"/>
              <w:right w:val="single" w:color="000000" w:sz="4" w:space="0"/>
            </w:tcBorders>
            <w:shd w:val="clear" w:color="auto" w:fill="auto"/>
            <w:vAlign w:val="center"/>
          </w:tcPr>
          <w:p w14:paraId="6E37ED16">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部门职责履行</w:t>
            </w:r>
          </w:p>
          <w:p w14:paraId="6FB564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（40分）</w:t>
            </w: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233E1">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数字政府顶层设计与运行机制建设</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8FC8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r>
      <w:tr w14:paraId="4AC1185A">
        <w:trPr>
          <w:trHeight w:val="280" w:hRule="atLeast"/>
        </w:trPr>
        <w:tc>
          <w:tcPr>
            <w:tcW w:w="1346" w:type="pct"/>
            <w:vMerge w:val="continue"/>
            <w:tcBorders>
              <w:top w:val="single" w:color="000000" w:sz="4" w:space="0"/>
              <w:left w:val="single" w:color="000000" w:sz="4" w:space="0"/>
              <w:bottom w:val="nil"/>
              <w:right w:val="single" w:color="000000" w:sz="4" w:space="0"/>
            </w:tcBorders>
            <w:shd w:val="clear" w:color="auto" w:fill="auto"/>
            <w:vAlign w:val="center"/>
          </w:tcPr>
          <w:p w14:paraId="6FBD036D">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2272B">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政务服务数字化支撑能力建设</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A6C03">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10</w:t>
            </w:r>
          </w:p>
        </w:tc>
      </w:tr>
      <w:tr w14:paraId="2A1CEE25">
        <w:trPr>
          <w:trHeight w:val="280" w:hRule="atLeast"/>
        </w:trPr>
        <w:tc>
          <w:tcPr>
            <w:tcW w:w="1346" w:type="pct"/>
            <w:vMerge w:val="continue"/>
            <w:tcBorders>
              <w:top w:val="single" w:color="000000" w:sz="4" w:space="0"/>
              <w:left w:val="single" w:color="000000" w:sz="4" w:space="0"/>
              <w:bottom w:val="nil"/>
              <w:right w:val="single" w:color="000000" w:sz="4" w:space="0"/>
            </w:tcBorders>
            <w:shd w:val="clear" w:color="auto" w:fill="auto"/>
            <w:vAlign w:val="center"/>
          </w:tcPr>
          <w:p w14:paraId="631E3BF0">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73FA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数据资源管理与共享</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BDF5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6</w:t>
            </w:r>
          </w:p>
        </w:tc>
      </w:tr>
      <w:tr w14:paraId="5A643D21">
        <w:trPr>
          <w:trHeight w:val="280" w:hRule="atLeast"/>
        </w:trPr>
        <w:tc>
          <w:tcPr>
            <w:tcW w:w="1346" w:type="pct"/>
            <w:vMerge w:val="continue"/>
            <w:tcBorders>
              <w:top w:val="single" w:color="000000" w:sz="4" w:space="0"/>
              <w:left w:val="single" w:color="000000" w:sz="4" w:space="0"/>
              <w:bottom w:val="nil"/>
              <w:right w:val="single" w:color="000000" w:sz="4" w:space="0"/>
            </w:tcBorders>
            <w:shd w:val="clear" w:color="auto" w:fill="auto"/>
            <w:vAlign w:val="center"/>
          </w:tcPr>
          <w:p w14:paraId="7F3A7B70">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7CAA0">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电子政务应用建设与推广</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1F12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r>
      <w:tr w14:paraId="0EC61B73">
        <w:trPr>
          <w:trHeight w:val="280" w:hRule="atLeast"/>
        </w:trPr>
        <w:tc>
          <w:tcPr>
            <w:tcW w:w="1346" w:type="pct"/>
            <w:vMerge w:val="continue"/>
            <w:tcBorders>
              <w:top w:val="single" w:color="000000" w:sz="4" w:space="0"/>
              <w:left w:val="single" w:color="000000" w:sz="4" w:space="0"/>
              <w:bottom w:val="nil"/>
              <w:right w:val="single" w:color="000000" w:sz="4" w:space="0"/>
            </w:tcBorders>
            <w:shd w:val="clear" w:color="auto" w:fill="auto"/>
            <w:vAlign w:val="center"/>
          </w:tcPr>
          <w:p w14:paraId="7BDE176B">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6D19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全市数据资源安全保障体系建设与指导</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EB4C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r>
      <w:tr w14:paraId="7638B324">
        <w:trPr>
          <w:trHeight w:val="280" w:hRule="atLeast"/>
        </w:trPr>
        <w:tc>
          <w:tcPr>
            <w:tcW w:w="1346"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F9E06">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部门履职效益</w:t>
            </w:r>
          </w:p>
          <w:p w14:paraId="3B0A38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（25分）</w:t>
            </w: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0DBE0">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社会效益</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193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2259D3B7">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57E85">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9147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可持续影响</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99ED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3AF9D246">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3EFA2">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30D8C">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生态效益</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049A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5A1468D6">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98014">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EAF72">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可持续发展</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AD97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3E29C3DB">
        <w:trPr>
          <w:trHeight w:val="280" w:hRule="atLeast"/>
        </w:trPr>
        <w:tc>
          <w:tcPr>
            <w:tcW w:w="1346"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4A6A4">
            <w:pPr>
              <w:jc w:val="center"/>
              <w:rPr>
                <w:rFonts w:hint="eastAsia" w:ascii="宋体" w:hAnsi="宋体" w:eastAsia="宋体" w:cs="宋体"/>
                <w:i w:val="0"/>
                <w:iCs w:val="0"/>
                <w:color w:val="auto"/>
                <w:sz w:val="24"/>
                <w:szCs w:val="24"/>
                <w:highlight w:val="none"/>
                <w:u w:val="none"/>
              </w:rPr>
            </w:pPr>
          </w:p>
        </w:tc>
        <w:tc>
          <w:tcPr>
            <w:tcW w:w="25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E4179">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服务对象满意度</w:t>
            </w:r>
          </w:p>
        </w:tc>
        <w:tc>
          <w:tcPr>
            <w:tcW w:w="105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17A1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bl>
    <w:p w14:paraId="256705DB">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bidi="ar"/>
        </w:rPr>
        <w:t>3.部门职责履行指标</w:t>
      </w:r>
    </w:p>
    <w:tbl>
      <w:tblPr>
        <w:tblStyle w:val="6"/>
        <w:tblW w:w="4750" w:type="pct"/>
        <w:tblInd w:w="102"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549"/>
        <w:gridCol w:w="1846"/>
        <w:gridCol w:w="4442"/>
        <w:gridCol w:w="771"/>
      </w:tblGrid>
      <w:tr w14:paraId="72B428AD">
        <w:trPr>
          <w:trHeight w:val="460"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E769E">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b/>
                <w:bCs/>
                <w:i w:val="0"/>
                <w:iCs w:val="0"/>
                <w:color w:val="auto"/>
                <w:kern w:val="0"/>
                <w:sz w:val="24"/>
                <w:szCs w:val="24"/>
                <w:highlight w:val="none"/>
                <w:u w:val="none"/>
                <w:lang w:val="en-US" w:eastAsia="zh-CN" w:bidi="ar"/>
              </w:rPr>
              <w:t>部门职责履行指标</w:t>
            </w:r>
          </w:p>
        </w:tc>
      </w:tr>
      <w:tr w14:paraId="232729AC">
        <w:trPr>
          <w:trHeight w:val="280" w:hRule="atLeast"/>
        </w:trPr>
        <w:tc>
          <w:tcPr>
            <w:tcW w:w="8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D467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一级指标</w:t>
            </w:r>
          </w:p>
        </w:tc>
        <w:tc>
          <w:tcPr>
            <w:tcW w:w="10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0C1F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二级指标</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268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三级指标</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A233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分值</w:t>
            </w:r>
          </w:p>
        </w:tc>
      </w:tr>
      <w:tr w14:paraId="607B29B2">
        <w:trPr>
          <w:trHeight w:val="280" w:hRule="atLeast"/>
        </w:trPr>
        <w:tc>
          <w:tcPr>
            <w:tcW w:w="89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B088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部门职责履行（40分）</w:t>
            </w:r>
          </w:p>
        </w:tc>
        <w:tc>
          <w:tcPr>
            <w:tcW w:w="10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A488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数字政府顶层设计与运行机制建设</w:t>
            </w:r>
            <w:r>
              <w:rPr>
                <w:rFonts w:hint="eastAsia" w:ascii="宋体" w:hAnsi="宋体" w:cs="宋体"/>
                <w:i w:val="0"/>
                <w:iCs w:val="0"/>
                <w:color w:val="auto"/>
                <w:kern w:val="0"/>
                <w:sz w:val="24"/>
                <w:szCs w:val="24"/>
                <w:highlight w:val="none"/>
                <w:u w:val="none"/>
                <w:lang w:val="en-US" w:eastAsia="zh-CN" w:bidi="ar"/>
              </w:rPr>
              <w:t>（8分）</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E9CB93">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数字政府建设施意见、规划、方案</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392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AAB0DCB">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6C8E4A">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505B6">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4456A">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首席数据官体系建设与培训</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36B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7119969">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43B85">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36348">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AD17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政务信息化项目管理办法修订与实施</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87FE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BEFB3ED">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0F7ABB">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FDC97">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84922">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市级信息化项目</w:t>
            </w:r>
            <w:r>
              <w:rPr>
                <w:rFonts w:hint="eastAsia" w:ascii="宋体" w:hAnsi="宋体" w:cs="宋体"/>
                <w:i w:val="0"/>
                <w:iCs w:val="0"/>
                <w:color w:val="auto"/>
                <w:kern w:val="0"/>
                <w:sz w:val="24"/>
                <w:szCs w:val="24"/>
                <w:highlight w:val="none"/>
                <w:u w:val="none"/>
                <w:lang w:val="en-US" w:eastAsia="zh-CN" w:bidi="ar"/>
              </w:rPr>
              <w:t>统一</w:t>
            </w:r>
            <w:r>
              <w:rPr>
                <w:rFonts w:hint="eastAsia" w:ascii="宋体" w:hAnsi="宋体" w:eastAsia="宋体" w:cs="宋体"/>
                <w:i w:val="0"/>
                <w:iCs w:val="0"/>
                <w:color w:val="auto"/>
                <w:kern w:val="0"/>
                <w:sz w:val="24"/>
                <w:szCs w:val="24"/>
                <w:highlight w:val="none"/>
                <w:u w:val="none"/>
                <w:lang w:val="en-US" w:eastAsia="zh-CN" w:bidi="ar"/>
              </w:rPr>
              <w:t>运维</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B8DA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155321ED">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B8ED4C">
            <w:pPr>
              <w:jc w:val="center"/>
              <w:rPr>
                <w:rFonts w:hint="eastAsia" w:ascii="宋体" w:hAnsi="宋体" w:eastAsia="宋体" w:cs="宋体"/>
                <w:i w:val="0"/>
                <w:iCs w:val="0"/>
                <w:color w:val="auto"/>
                <w:sz w:val="24"/>
                <w:szCs w:val="24"/>
                <w:highlight w:val="none"/>
                <w:u w:val="none"/>
              </w:rPr>
            </w:pPr>
          </w:p>
        </w:tc>
        <w:tc>
          <w:tcPr>
            <w:tcW w:w="10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B4BE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政务服务数字化支撑能力建设</w:t>
            </w:r>
            <w:r>
              <w:rPr>
                <w:rFonts w:hint="eastAsia" w:ascii="宋体" w:hAnsi="宋体" w:cs="宋体"/>
                <w:i w:val="0"/>
                <w:iCs w:val="0"/>
                <w:color w:val="auto"/>
                <w:kern w:val="0"/>
                <w:sz w:val="24"/>
                <w:szCs w:val="24"/>
                <w:highlight w:val="none"/>
                <w:u w:val="none"/>
                <w:lang w:val="en-US" w:eastAsia="zh-CN" w:bidi="ar"/>
              </w:rPr>
              <w:t>（10分）</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D87C2">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政府网站全部实现IPv6访问</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9D02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79B3D820">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5DF1C6">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3BA13">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6F7B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城市运行管理视频云中台</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F1B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750A3144">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92D14">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A0E5F">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05021">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市级信息化项目</w:t>
            </w:r>
            <w:r>
              <w:rPr>
                <w:rFonts w:hint="eastAsia" w:ascii="宋体" w:hAnsi="宋体" w:cs="宋体"/>
                <w:i w:val="0"/>
                <w:iCs w:val="0"/>
                <w:color w:val="auto"/>
                <w:kern w:val="0"/>
                <w:sz w:val="24"/>
                <w:szCs w:val="24"/>
                <w:highlight w:val="none"/>
                <w:u w:val="none"/>
                <w:lang w:val="en-US" w:eastAsia="zh-CN" w:bidi="ar"/>
              </w:rPr>
              <w:t>统一建设</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9748B7">
            <w:pPr>
              <w:keepNext w:val="0"/>
              <w:keepLines w:val="0"/>
              <w:widowControl/>
              <w:suppressLineNumbers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2</w:t>
            </w:r>
          </w:p>
        </w:tc>
      </w:tr>
      <w:tr w14:paraId="2372250A">
        <w:trPr>
          <w:trHeight w:val="56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6B10C">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A2BCF">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D8334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电子档案系统、CA数字证书及电子签章、电子签名的推广使用</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6FDB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9D69E3C">
        <w:trPr>
          <w:trHeight w:val="84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C326F1">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DB7877">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24A909">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政务服务“全流程网办”和全市范围市、县、乡、村四级政务服务事项“一窗”受理</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730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5D7448B5">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C75B98">
            <w:pPr>
              <w:jc w:val="center"/>
              <w:rPr>
                <w:rFonts w:hint="eastAsia" w:ascii="宋体" w:hAnsi="宋体" w:eastAsia="宋体" w:cs="宋体"/>
                <w:i w:val="0"/>
                <w:iCs w:val="0"/>
                <w:color w:val="auto"/>
                <w:sz w:val="24"/>
                <w:szCs w:val="24"/>
                <w:highlight w:val="none"/>
                <w:u w:val="none"/>
              </w:rPr>
            </w:pPr>
          </w:p>
        </w:tc>
        <w:tc>
          <w:tcPr>
            <w:tcW w:w="10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5180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数据资源管理与共享</w:t>
            </w:r>
            <w:r>
              <w:rPr>
                <w:rFonts w:hint="eastAsia" w:ascii="宋体" w:hAnsi="宋体" w:cs="宋体"/>
                <w:i w:val="0"/>
                <w:iCs w:val="0"/>
                <w:color w:val="auto"/>
                <w:kern w:val="0"/>
                <w:sz w:val="24"/>
                <w:szCs w:val="24"/>
                <w:highlight w:val="none"/>
                <w:u w:val="none"/>
                <w:lang w:val="en-US" w:eastAsia="zh-CN" w:bidi="ar"/>
              </w:rPr>
              <w:t>（6分）</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21FB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政务数据归集和共享</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910E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2</w:t>
            </w:r>
          </w:p>
        </w:tc>
      </w:tr>
      <w:tr w14:paraId="7D439E83">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562C94">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78788">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EA458">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试点数据资源目录编制</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6190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67E8618E">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767B1">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5CF07">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6F9F2">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探索公共数据资源开放</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870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2</w:t>
            </w:r>
          </w:p>
        </w:tc>
      </w:tr>
      <w:tr w14:paraId="6414EFE3">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59E806">
            <w:pPr>
              <w:jc w:val="center"/>
              <w:rPr>
                <w:rFonts w:hint="eastAsia" w:ascii="宋体" w:hAnsi="宋体" w:eastAsia="宋体" w:cs="宋体"/>
                <w:i w:val="0"/>
                <w:iCs w:val="0"/>
                <w:color w:val="auto"/>
                <w:sz w:val="24"/>
                <w:szCs w:val="24"/>
                <w:highlight w:val="none"/>
                <w:u w:val="none"/>
              </w:rPr>
            </w:pPr>
          </w:p>
        </w:tc>
        <w:tc>
          <w:tcPr>
            <w:tcW w:w="10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85D38">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电子政务应用建设与推广</w:t>
            </w:r>
          </w:p>
          <w:p w14:paraId="18FC1A4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（8分）</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156EC">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完善一体化党政协同办公平台功能</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F9B7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037311A4">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385A99">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FDA5E">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D8BE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建设“一网统管”综合体系</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7E7E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2050D9DD">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A78A00">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3F44E">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0F8B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一站式城市服务“掌上办”、“指尖办”</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F8D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55614B09">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B312BC">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B5EEE">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432A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政府网站改版和日常监管</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197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54A2A668">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BD3F7A">
            <w:pPr>
              <w:jc w:val="center"/>
              <w:rPr>
                <w:rFonts w:hint="eastAsia" w:ascii="宋体" w:hAnsi="宋体" w:eastAsia="宋体" w:cs="宋体"/>
                <w:i w:val="0"/>
                <w:iCs w:val="0"/>
                <w:color w:val="auto"/>
                <w:sz w:val="24"/>
                <w:szCs w:val="24"/>
                <w:highlight w:val="none"/>
                <w:u w:val="none"/>
              </w:rPr>
            </w:pPr>
          </w:p>
        </w:tc>
        <w:tc>
          <w:tcPr>
            <w:tcW w:w="10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F7B43">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全市数据资源安全保障体系建设与指导</w:t>
            </w:r>
          </w:p>
          <w:p w14:paraId="2E22379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（8分</w:t>
            </w: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80F7F">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落实网络安全责任制</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2AB5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r>
      <w:tr w14:paraId="518994C7">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69774E">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AA43C">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0896C">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建立健全网络数据安全管理制度</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335D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r>
      <w:tr w14:paraId="66CD1989">
        <w:trPr>
          <w:trHeight w:val="280" w:hRule="atLeast"/>
        </w:trPr>
        <w:tc>
          <w:tcPr>
            <w:tcW w:w="89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F9D46">
            <w:pPr>
              <w:jc w:val="center"/>
              <w:rPr>
                <w:rFonts w:hint="eastAsia" w:ascii="宋体" w:hAnsi="宋体" w:eastAsia="宋体" w:cs="宋体"/>
                <w:i w:val="0"/>
                <w:iCs w:val="0"/>
                <w:color w:val="auto"/>
                <w:sz w:val="24"/>
                <w:szCs w:val="24"/>
                <w:highlight w:val="none"/>
                <w:u w:val="none"/>
              </w:rPr>
            </w:pPr>
          </w:p>
        </w:tc>
        <w:tc>
          <w:tcPr>
            <w:tcW w:w="10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8562A">
            <w:pPr>
              <w:jc w:val="center"/>
              <w:rPr>
                <w:rFonts w:hint="eastAsia" w:ascii="宋体" w:hAnsi="宋体" w:eastAsia="宋体" w:cs="宋体"/>
                <w:i w:val="0"/>
                <w:iCs w:val="0"/>
                <w:color w:val="auto"/>
                <w:sz w:val="24"/>
                <w:szCs w:val="24"/>
                <w:highlight w:val="none"/>
                <w:u w:val="none"/>
              </w:rPr>
            </w:pPr>
          </w:p>
        </w:tc>
        <w:tc>
          <w:tcPr>
            <w:tcW w:w="25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EB003">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网络安全保障</w:t>
            </w:r>
          </w:p>
        </w:tc>
        <w:tc>
          <w:tcPr>
            <w:tcW w:w="44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9DD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bookmarkEnd w:id="0"/>
    </w:tbl>
    <w:p w14:paraId="60694552">
      <w:pPr>
        <w:keepNext w:val="0"/>
        <w:keepLines w:val="0"/>
        <w:pageBreakBefore w:val="0"/>
        <w:widowControl w:val="0"/>
        <w:kinsoku/>
        <w:wordWrap/>
        <w:overflowPunct/>
        <w:topLinePunct w:val="0"/>
        <w:autoSpaceDE/>
        <w:autoSpaceDN/>
        <w:bidi w:val="0"/>
        <w:adjustRightInd w:val="0"/>
        <w:snapToGrid w:val="0"/>
        <w:spacing w:line="600" w:lineRule="exact"/>
        <w:ind w:right="0" w:firstLine="640" w:firstLineChars="200"/>
        <w:textAlignment w:val="auto"/>
        <w:outlineLvl w:val="9"/>
        <w:rPr>
          <w:rFonts w:hint="eastAsia" w:ascii="黑体" w:hAnsi="黑体" w:eastAsia="黑体" w:cs="黑体"/>
          <w:color w:val="auto"/>
          <w:sz w:val="32"/>
          <w:szCs w:val="32"/>
          <w:highlight w:val="none"/>
        </w:rPr>
      </w:pPr>
      <w:r>
        <w:rPr>
          <w:rFonts w:hint="eastAsia" w:ascii="黑体" w:hAnsi="黑体" w:eastAsia="黑体" w:cs="黑体"/>
          <w:color w:val="auto"/>
          <w:sz w:val="32"/>
          <w:szCs w:val="32"/>
          <w:highlight w:val="none"/>
        </w:rPr>
        <w:t>二、自评工作</w:t>
      </w:r>
      <w:r>
        <w:rPr>
          <w:rFonts w:hint="eastAsia" w:ascii="黑体" w:hAnsi="黑体" w:eastAsia="黑体" w:cs="黑体"/>
          <w:color w:val="auto"/>
          <w:sz w:val="32"/>
          <w:szCs w:val="32"/>
          <w:highlight w:val="none"/>
          <w:lang w:eastAsia="zh-CN"/>
        </w:rPr>
        <w:t>开展</w:t>
      </w:r>
      <w:r>
        <w:rPr>
          <w:rFonts w:hint="eastAsia" w:ascii="黑体" w:hAnsi="黑体" w:eastAsia="黑体" w:cs="黑体"/>
          <w:color w:val="auto"/>
          <w:sz w:val="32"/>
          <w:szCs w:val="32"/>
          <w:highlight w:val="none"/>
        </w:rPr>
        <w:t>情况</w:t>
      </w:r>
    </w:p>
    <w:p w14:paraId="5A9D2E19">
      <w:pPr>
        <w:keepNext w:val="0"/>
        <w:keepLines w:val="0"/>
        <w:pageBreakBefore w:val="0"/>
        <w:widowControl w:val="0"/>
        <w:kinsoku/>
        <w:wordWrap/>
        <w:overflowPunct/>
        <w:topLinePunct w:val="0"/>
        <w:autoSpaceDE/>
        <w:autoSpaceDN/>
        <w:bidi w:val="0"/>
        <w:spacing w:line="600" w:lineRule="exact"/>
        <w:ind w:right="0" w:firstLine="640" w:firstLineChars="200"/>
        <w:textAlignment w:val="auto"/>
        <w:outlineLvl w:val="9"/>
        <w:rPr>
          <w:rFonts w:hint="eastAsia" w:ascii="仿宋" w:hAnsi="仿宋" w:eastAsia="仿宋" w:cs="仿宋"/>
          <w:color w:val="auto"/>
          <w:sz w:val="32"/>
          <w:szCs w:val="32"/>
          <w:highlight w:val="none"/>
        </w:rPr>
      </w:pPr>
      <w:r>
        <w:rPr>
          <w:rFonts w:hint="eastAsia" w:ascii="楷体_GB2312" w:hAnsi="楷体_GB2312" w:eastAsia="楷体_GB2312" w:cs="楷体_GB2312"/>
          <w:b w:val="0"/>
          <w:bCs w:val="0"/>
          <w:color w:val="auto"/>
          <w:sz w:val="32"/>
          <w:szCs w:val="32"/>
          <w:highlight w:val="none"/>
        </w:rPr>
        <w:t>（一）自评的组织工作</w:t>
      </w:r>
    </w:p>
    <w:p w14:paraId="5FF40D67">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为保证绩效评价工作顺利开展，我局成立</w:t>
      </w:r>
      <w:r>
        <w:rPr>
          <w:rFonts w:hint="eastAsia" w:ascii="仿宋_GB2312" w:hAnsi="仿宋_GB2312" w:eastAsia="仿宋_GB2312" w:cs="仿宋_GB2312"/>
          <w:color w:val="auto"/>
          <w:sz w:val="32"/>
          <w:szCs w:val="32"/>
          <w:highlight w:val="none"/>
          <w:lang w:eastAsia="zh-CN"/>
        </w:rPr>
        <w:t>了</w:t>
      </w:r>
      <w:r>
        <w:rPr>
          <w:rFonts w:hint="eastAsia" w:ascii="仿宋_GB2312" w:hAnsi="仿宋_GB2312" w:eastAsia="仿宋_GB2312" w:cs="仿宋_GB2312"/>
          <w:color w:val="auto"/>
          <w:sz w:val="32"/>
          <w:szCs w:val="32"/>
          <w:highlight w:val="none"/>
        </w:rPr>
        <w:t>预算绩效</w:t>
      </w:r>
      <w:r>
        <w:rPr>
          <w:rFonts w:hint="eastAsia" w:ascii="仿宋_GB2312" w:hAnsi="仿宋_GB2312" w:eastAsia="仿宋_GB2312" w:cs="仿宋_GB2312"/>
          <w:color w:val="auto"/>
          <w:sz w:val="32"/>
          <w:szCs w:val="32"/>
          <w:highlight w:val="none"/>
          <w:lang w:val="en-US" w:eastAsia="zh-CN"/>
        </w:rPr>
        <w:t>评价</w:t>
      </w:r>
      <w:r>
        <w:rPr>
          <w:rFonts w:hint="eastAsia" w:ascii="仿宋_GB2312" w:hAnsi="仿宋_GB2312" w:eastAsia="仿宋_GB2312" w:cs="仿宋_GB2312"/>
          <w:color w:val="auto"/>
          <w:sz w:val="32"/>
          <w:szCs w:val="32"/>
          <w:highlight w:val="none"/>
        </w:rPr>
        <w:t>工作小组</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负责绩效评价的组织管理工作。</w:t>
      </w:r>
    </w:p>
    <w:p w14:paraId="0E5103D8">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小组成员：</w:t>
      </w:r>
      <w:r>
        <w:rPr>
          <w:rFonts w:hint="eastAsia" w:ascii="仿宋_GB2312" w:hAnsi="仿宋_GB2312" w:eastAsia="仿宋_GB2312" w:cs="仿宋_GB2312"/>
          <w:color w:val="auto"/>
          <w:sz w:val="32"/>
          <w:szCs w:val="32"/>
          <w:highlight w:val="none"/>
          <w:lang w:eastAsia="zh-CN"/>
        </w:rPr>
        <w:t>赵琳、赵文贺、任小贺</w:t>
      </w:r>
    </w:p>
    <w:p w14:paraId="2F4A8604">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楷体_GB2312" w:hAnsi="楷体_GB2312" w:eastAsia="楷体_GB2312" w:cs="楷体_GB2312"/>
          <w:b w:val="0"/>
          <w:bCs w:val="0"/>
          <w:color w:val="auto"/>
          <w:sz w:val="32"/>
          <w:szCs w:val="32"/>
          <w:highlight w:val="none"/>
        </w:rPr>
      </w:pPr>
      <w:r>
        <w:rPr>
          <w:rFonts w:hint="eastAsia" w:ascii="楷体_GB2312" w:hAnsi="楷体_GB2312" w:eastAsia="楷体_GB2312" w:cs="楷体_GB2312"/>
          <w:b w:val="0"/>
          <w:bCs w:val="0"/>
          <w:color w:val="auto"/>
          <w:sz w:val="32"/>
          <w:szCs w:val="32"/>
          <w:highlight w:val="none"/>
        </w:rPr>
        <w:t>（二）自评的方法和过程</w:t>
      </w:r>
    </w:p>
    <w:p w14:paraId="5B8EE8A5">
      <w:pPr>
        <w:keepNext w:val="0"/>
        <w:keepLines w:val="0"/>
        <w:pageBreakBefore w:val="0"/>
        <w:widowControl w:val="0"/>
        <w:numPr>
          <w:ilvl w:val="0"/>
          <w:numId w:val="6"/>
        </w:numPr>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自评方法</w:t>
      </w:r>
    </w:p>
    <w:p w14:paraId="2963F8EE">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b/>
          <w:bCs/>
          <w:color w:val="auto"/>
          <w:sz w:val="32"/>
          <w:szCs w:val="32"/>
          <w:highlight w:val="none"/>
        </w:rPr>
      </w:pPr>
      <w:r>
        <w:rPr>
          <w:rFonts w:hint="eastAsia" w:ascii="仿宋_GB2312" w:hAnsi="仿宋_GB2312" w:eastAsia="仿宋_GB2312" w:cs="仿宋_GB2312"/>
          <w:color w:val="auto"/>
          <w:sz w:val="32"/>
          <w:szCs w:val="32"/>
          <w:highlight w:val="none"/>
        </w:rPr>
        <w:t>本次评价根据问题导向、系统评价、科学客观、讲求绩效的原则，采用</w:t>
      </w:r>
      <w:r>
        <w:rPr>
          <w:rFonts w:hint="eastAsia" w:ascii="仿宋_GB2312" w:hAnsi="仿宋_GB2312" w:eastAsia="仿宋_GB2312" w:cs="仿宋_GB2312"/>
          <w:color w:val="auto"/>
          <w:sz w:val="32"/>
          <w:szCs w:val="32"/>
          <w:highlight w:val="none"/>
          <w:lang w:val="en-US" w:eastAsia="zh-CN"/>
        </w:rPr>
        <w:t>专项项目评价和重点项目</w:t>
      </w:r>
      <w:r>
        <w:rPr>
          <w:rFonts w:hint="eastAsia" w:ascii="仿宋_GB2312" w:hAnsi="仿宋_GB2312" w:eastAsia="仿宋_GB2312" w:cs="仿宋_GB2312"/>
          <w:color w:val="auto"/>
          <w:sz w:val="32"/>
          <w:szCs w:val="32"/>
          <w:highlight w:val="none"/>
        </w:rPr>
        <w:t>评价相结合、现场评价和非现场评价相结合、定性分析与定量分析相结合的方式，</w:t>
      </w:r>
      <w:r>
        <w:rPr>
          <w:rFonts w:hint="eastAsia" w:ascii="仿宋_GB2312" w:hAnsi="仿宋_GB2312" w:eastAsia="仿宋_GB2312" w:cs="仿宋_GB2312"/>
          <w:color w:val="auto"/>
          <w:sz w:val="32"/>
          <w:szCs w:val="32"/>
          <w:highlight w:val="none"/>
          <w:lang w:val="en-US" w:eastAsia="zh-CN"/>
        </w:rPr>
        <w:t>通过资料收集</w:t>
      </w:r>
      <w:r>
        <w:rPr>
          <w:rFonts w:hint="eastAsia" w:ascii="仿宋_GB2312" w:hAnsi="仿宋_GB2312" w:eastAsia="仿宋_GB2312" w:cs="仿宋_GB2312"/>
          <w:color w:val="auto"/>
          <w:sz w:val="32"/>
          <w:szCs w:val="32"/>
          <w:highlight w:val="none"/>
        </w:rPr>
        <w:t>、座谈访谈</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数据分析和指标对比</w:t>
      </w:r>
      <w:r>
        <w:rPr>
          <w:rFonts w:hint="eastAsia" w:ascii="仿宋_GB2312" w:hAnsi="仿宋_GB2312" w:eastAsia="仿宋_GB2312" w:cs="仿宋_GB2312"/>
          <w:color w:val="auto"/>
          <w:sz w:val="32"/>
          <w:szCs w:val="32"/>
          <w:highlight w:val="none"/>
        </w:rPr>
        <w:t>等</w:t>
      </w:r>
      <w:r>
        <w:rPr>
          <w:rFonts w:hint="eastAsia" w:ascii="仿宋_GB2312" w:hAnsi="仿宋_GB2312" w:eastAsia="仿宋_GB2312" w:cs="仿宋_GB2312"/>
          <w:color w:val="auto"/>
          <w:sz w:val="32"/>
          <w:szCs w:val="32"/>
          <w:highlight w:val="none"/>
          <w:lang w:val="en-US" w:eastAsia="zh-CN"/>
        </w:rPr>
        <w:t>方式综合运用目标评价法、比较法、因素分析法和综合评判等</w:t>
      </w:r>
      <w:r>
        <w:rPr>
          <w:rFonts w:hint="eastAsia" w:ascii="仿宋_GB2312" w:hAnsi="仿宋_GB2312" w:eastAsia="仿宋_GB2312" w:cs="仿宋_GB2312"/>
          <w:color w:val="auto"/>
          <w:sz w:val="32"/>
          <w:szCs w:val="32"/>
          <w:highlight w:val="none"/>
        </w:rPr>
        <w:t>方法，对</w:t>
      </w:r>
      <w:r>
        <w:rPr>
          <w:rFonts w:hint="eastAsia" w:ascii="仿宋_GB2312" w:hAnsi="仿宋_GB2312" w:eastAsia="仿宋_GB2312" w:cs="仿宋_GB2312"/>
          <w:color w:val="auto"/>
          <w:sz w:val="32"/>
          <w:szCs w:val="32"/>
          <w:highlight w:val="none"/>
          <w:lang w:val="en-US" w:eastAsia="zh-CN"/>
        </w:rPr>
        <w:t>部门整体支出绩效</w:t>
      </w:r>
      <w:r>
        <w:rPr>
          <w:rFonts w:hint="eastAsia" w:ascii="仿宋_GB2312" w:hAnsi="仿宋_GB2312" w:eastAsia="仿宋_GB2312" w:cs="仿宋_GB2312"/>
          <w:color w:val="auto"/>
          <w:sz w:val="32"/>
          <w:szCs w:val="32"/>
          <w:highlight w:val="none"/>
        </w:rPr>
        <w:t>进行综合评价。</w:t>
      </w:r>
    </w:p>
    <w:p w14:paraId="10D15308">
      <w:pPr>
        <w:keepNext w:val="0"/>
        <w:keepLines w:val="0"/>
        <w:pageBreakBefore w:val="0"/>
        <w:widowControl w:val="0"/>
        <w:numPr>
          <w:ilvl w:val="0"/>
          <w:numId w:val="6"/>
        </w:numPr>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实施过程</w:t>
      </w:r>
    </w:p>
    <w:p w14:paraId="31525849">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本次</w:t>
      </w:r>
      <w:r>
        <w:rPr>
          <w:rFonts w:hint="eastAsia" w:ascii="仿宋_GB2312" w:hAnsi="仿宋_GB2312" w:eastAsia="仿宋_GB2312" w:cs="仿宋_GB2312"/>
          <w:color w:val="auto"/>
          <w:sz w:val="32"/>
          <w:szCs w:val="32"/>
          <w:highlight w:val="none"/>
          <w:lang w:val="en-US" w:eastAsia="zh-CN"/>
        </w:rPr>
        <w:t>自评</w:t>
      </w:r>
      <w:r>
        <w:rPr>
          <w:rFonts w:hint="eastAsia" w:ascii="仿宋_GB2312" w:hAnsi="仿宋_GB2312" w:eastAsia="仿宋_GB2312" w:cs="仿宋_GB2312"/>
          <w:color w:val="auto"/>
          <w:sz w:val="32"/>
          <w:szCs w:val="32"/>
          <w:highlight w:val="none"/>
        </w:rPr>
        <w:t>工作过程包括前期准备、组织实施、撰写评价报告三个阶段。</w:t>
      </w:r>
    </w:p>
    <w:p w14:paraId="4071FB52">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前期准备</w:t>
      </w:r>
    </w:p>
    <w:p w14:paraId="271AAB6F">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首先按照</w:t>
      </w:r>
      <w:r>
        <w:rPr>
          <w:rFonts w:hint="eastAsia" w:ascii="仿宋_GB2312" w:hAnsi="仿宋_GB2312" w:eastAsia="仿宋_GB2312" w:cs="仿宋_GB2312"/>
          <w:color w:val="auto"/>
          <w:sz w:val="32"/>
          <w:szCs w:val="32"/>
          <w:highlight w:val="none"/>
          <w:lang w:val="en-US" w:eastAsia="zh-CN"/>
        </w:rPr>
        <w:t>财政局自评工作通知的</w:t>
      </w:r>
      <w:r>
        <w:rPr>
          <w:rFonts w:hint="eastAsia" w:ascii="仿宋_GB2312" w:hAnsi="仿宋_GB2312" w:eastAsia="仿宋_GB2312" w:cs="仿宋_GB2312"/>
          <w:color w:val="auto"/>
          <w:sz w:val="32"/>
          <w:szCs w:val="32"/>
          <w:highlight w:val="none"/>
        </w:rPr>
        <w:t>要求，明确绩效评价的内容和范围，初步制定绩效评价工作</w:t>
      </w:r>
      <w:r>
        <w:rPr>
          <w:rFonts w:hint="eastAsia" w:ascii="仿宋_GB2312" w:hAnsi="仿宋_GB2312" w:eastAsia="仿宋_GB2312" w:cs="仿宋_GB2312"/>
          <w:color w:val="auto"/>
          <w:sz w:val="32"/>
          <w:szCs w:val="32"/>
          <w:highlight w:val="none"/>
          <w:lang w:eastAsia="zh-CN"/>
        </w:rPr>
        <w:t>指标。其次</w:t>
      </w:r>
      <w:r>
        <w:rPr>
          <w:rFonts w:hint="eastAsia" w:ascii="仿宋_GB2312" w:hAnsi="仿宋_GB2312" w:eastAsia="仿宋_GB2312" w:cs="仿宋_GB2312"/>
          <w:color w:val="auto"/>
          <w:sz w:val="32"/>
          <w:szCs w:val="32"/>
          <w:highlight w:val="none"/>
        </w:rPr>
        <w:t>是对我</w:t>
      </w:r>
      <w:r>
        <w:rPr>
          <w:rFonts w:hint="eastAsia" w:ascii="仿宋_GB2312" w:hAnsi="仿宋_GB2312" w:eastAsia="仿宋_GB2312" w:cs="仿宋_GB2312"/>
          <w:color w:val="auto"/>
          <w:sz w:val="32"/>
          <w:szCs w:val="32"/>
          <w:highlight w:val="none"/>
          <w:lang w:eastAsia="zh-CN"/>
        </w:rPr>
        <w:t>局</w:t>
      </w:r>
      <w:r>
        <w:rPr>
          <w:rFonts w:hint="eastAsia" w:ascii="仿宋_GB2312" w:hAnsi="仿宋_GB2312" w:eastAsia="仿宋_GB2312" w:cs="仿宋_GB2312"/>
          <w:color w:val="auto"/>
          <w:sz w:val="32"/>
          <w:szCs w:val="32"/>
          <w:highlight w:val="none"/>
        </w:rPr>
        <w:t>各预算</w:t>
      </w:r>
      <w:r>
        <w:rPr>
          <w:rFonts w:hint="eastAsia" w:ascii="仿宋_GB2312" w:hAnsi="仿宋_GB2312" w:eastAsia="仿宋_GB2312" w:cs="仿宋_GB2312"/>
          <w:color w:val="auto"/>
          <w:sz w:val="32"/>
          <w:szCs w:val="32"/>
          <w:highlight w:val="none"/>
          <w:lang w:eastAsia="zh-CN"/>
        </w:rPr>
        <w:t>专项</w:t>
      </w:r>
      <w:r>
        <w:rPr>
          <w:rFonts w:hint="eastAsia" w:ascii="仿宋_GB2312" w:hAnsi="仿宋_GB2312" w:eastAsia="仿宋_GB2312" w:cs="仿宋_GB2312"/>
          <w:color w:val="auto"/>
          <w:sz w:val="32"/>
          <w:szCs w:val="32"/>
          <w:highlight w:val="none"/>
        </w:rPr>
        <w:t>项目单独进行打分自评，在资料搜集、信息核实、现场调研、访谈沟通等工作的基础上，挖掘绩效数据，拟定项目产出、项目执行、项目效益等指标体系，评判各项目实施后产生的经济效益、生态效益、社会效益和可持续</w:t>
      </w:r>
      <w:r>
        <w:rPr>
          <w:rFonts w:hint="eastAsia" w:ascii="仿宋_GB2312" w:hAnsi="仿宋_GB2312" w:eastAsia="仿宋_GB2312" w:cs="仿宋_GB2312"/>
          <w:color w:val="auto"/>
          <w:sz w:val="32"/>
          <w:szCs w:val="32"/>
          <w:highlight w:val="none"/>
          <w:lang w:eastAsia="zh-CN"/>
        </w:rPr>
        <w:t>影</w:t>
      </w:r>
      <w:r>
        <w:rPr>
          <w:rFonts w:hint="eastAsia" w:ascii="仿宋_GB2312" w:hAnsi="仿宋_GB2312" w:eastAsia="仿宋_GB2312" w:cs="仿宋_GB2312"/>
          <w:color w:val="auto"/>
          <w:sz w:val="32"/>
          <w:szCs w:val="32"/>
          <w:highlight w:val="none"/>
        </w:rPr>
        <w:t>响。</w:t>
      </w:r>
    </w:p>
    <w:p w14:paraId="77F6EE0B">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组织实施</w:t>
      </w:r>
    </w:p>
    <w:p w14:paraId="7DBE4DD8">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评价工作小组对</w:t>
      </w:r>
      <w:r>
        <w:rPr>
          <w:rFonts w:hint="eastAsia" w:ascii="仿宋_GB2312" w:hAnsi="仿宋_GB2312" w:eastAsia="仿宋_GB2312" w:cs="仿宋_GB2312"/>
          <w:color w:val="auto"/>
          <w:sz w:val="32"/>
          <w:szCs w:val="32"/>
          <w:highlight w:val="none"/>
          <w:lang w:val="en-US" w:eastAsia="zh-CN"/>
        </w:rPr>
        <w:t>本部门</w:t>
      </w:r>
      <w:r>
        <w:rPr>
          <w:rFonts w:hint="eastAsia" w:ascii="仿宋_GB2312" w:hAnsi="仿宋_GB2312" w:eastAsia="仿宋_GB2312" w:cs="仿宋_GB2312"/>
          <w:color w:val="auto"/>
          <w:sz w:val="32"/>
          <w:szCs w:val="32"/>
          <w:highlight w:val="none"/>
        </w:rPr>
        <w:t>年度</w:t>
      </w:r>
      <w:r>
        <w:rPr>
          <w:rFonts w:hint="eastAsia" w:ascii="仿宋_GB2312" w:hAnsi="仿宋_GB2312" w:eastAsia="仿宋_GB2312" w:cs="仿宋_GB2312"/>
          <w:color w:val="auto"/>
          <w:sz w:val="32"/>
          <w:szCs w:val="32"/>
          <w:highlight w:val="none"/>
          <w:lang w:val="en-US" w:eastAsia="zh-CN"/>
        </w:rPr>
        <w:t>整体支出</w:t>
      </w:r>
      <w:r>
        <w:rPr>
          <w:rFonts w:hint="eastAsia" w:ascii="仿宋_GB2312" w:hAnsi="仿宋_GB2312" w:eastAsia="仿宋_GB2312" w:cs="仿宋_GB2312"/>
          <w:color w:val="auto"/>
          <w:sz w:val="32"/>
          <w:szCs w:val="32"/>
          <w:highlight w:val="none"/>
        </w:rPr>
        <w:t>的相关资料进行收集、梳理。首先，通过分析、核实，确保所收集的数据和资料真实、可靠。其次，逐一梳理各</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文件内容，</w:t>
      </w:r>
      <w:r>
        <w:rPr>
          <w:rFonts w:hint="eastAsia" w:ascii="仿宋_GB2312" w:hAnsi="仿宋_GB2312" w:eastAsia="仿宋_GB2312" w:cs="仿宋_GB2312"/>
          <w:color w:val="auto"/>
          <w:sz w:val="32"/>
          <w:szCs w:val="32"/>
          <w:highlight w:val="none"/>
          <w:lang w:val="en-US" w:eastAsia="zh-CN"/>
        </w:rPr>
        <w:t>审核数据，对比绩效指标，</w:t>
      </w:r>
      <w:r>
        <w:rPr>
          <w:rFonts w:hint="eastAsia" w:ascii="仿宋_GB2312" w:hAnsi="仿宋_GB2312" w:eastAsia="仿宋_GB2312" w:cs="仿宋_GB2312"/>
          <w:color w:val="auto"/>
          <w:sz w:val="32"/>
          <w:szCs w:val="32"/>
          <w:highlight w:val="none"/>
        </w:rPr>
        <w:t>形成</w:t>
      </w:r>
      <w:r>
        <w:rPr>
          <w:rFonts w:hint="eastAsia" w:ascii="仿宋_GB2312" w:hAnsi="仿宋_GB2312" w:eastAsia="仿宋_GB2312" w:cs="仿宋_GB2312"/>
          <w:color w:val="auto"/>
          <w:sz w:val="32"/>
          <w:szCs w:val="32"/>
          <w:highlight w:val="none"/>
          <w:lang w:val="en-US" w:eastAsia="zh-CN"/>
        </w:rPr>
        <w:t>评价资料</w:t>
      </w:r>
      <w:r>
        <w:rPr>
          <w:rFonts w:hint="eastAsia" w:ascii="仿宋_GB2312" w:hAnsi="仿宋_GB2312" w:eastAsia="仿宋_GB2312" w:cs="仿宋_GB2312"/>
          <w:color w:val="auto"/>
          <w:sz w:val="32"/>
          <w:szCs w:val="32"/>
          <w:highlight w:val="none"/>
        </w:rPr>
        <w:t>清单</w:t>
      </w:r>
      <w:r>
        <w:rPr>
          <w:rFonts w:hint="eastAsia" w:ascii="仿宋_GB2312" w:hAnsi="仿宋_GB2312" w:eastAsia="仿宋_GB2312" w:cs="仿宋_GB2312"/>
          <w:color w:val="auto"/>
          <w:sz w:val="32"/>
          <w:szCs w:val="32"/>
          <w:highlight w:val="none"/>
          <w:lang w:eastAsia="zh-CN"/>
        </w:rPr>
        <w:t>，并对存在的问题及时标注出来</w:t>
      </w:r>
      <w:r>
        <w:rPr>
          <w:rFonts w:hint="eastAsia" w:ascii="仿宋_GB2312" w:hAnsi="仿宋_GB2312" w:eastAsia="仿宋_GB2312" w:cs="仿宋_GB2312"/>
          <w:color w:val="auto"/>
          <w:sz w:val="32"/>
          <w:szCs w:val="32"/>
          <w:highlight w:val="none"/>
        </w:rPr>
        <w:t>。最后，与</w:t>
      </w:r>
      <w:r>
        <w:rPr>
          <w:rFonts w:hint="eastAsia" w:ascii="仿宋_GB2312" w:hAnsi="仿宋_GB2312" w:eastAsia="仿宋_GB2312" w:cs="仿宋_GB2312"/>
          <w:color w:val="auto"/>
          <w:sz w:val="32"/>
          <w:szCs w:val="32"/>
          <w:highlight w:val="none"/>
          <w:lang w:val="en-US" w:eastAsia="zh-CN"/>
        </w:rPr>
        <w:t>各个</w:t>
      </w:r>
      <w:r>
        <w:rPr>
          <w:rFonts w:hint="eastAsia" w:ascii="仿宋_GB2312" w:hAnsi="仿宋_GB2312" w:eastAsia="仿宋_GB2312" w:cs="仿宋_GB2312"/>
          <w:color w:val="auto"/>
          <w:sz w:val="32"/>
          <w:szCs w:val="32"/>
          <w:highlight w:val="none"/>
          <w:lang w:eastAsia="zh-CN"/>
        </w:rPr>
        <w:t>项目负责</w:t>
      </w:r>
      <w:r>
        <w:rPr>
          <w:rFonts w:hint="eastAsia" w:ascii="仿宋_GB2312" w:hAnsi="仿宋_GB2312" w:eastAsia="仿宋_GB2312" w:cs="仿宋_GB2312"/>
          <w:color w:val="auto"/>
          <w:sz w:val="32"/>
          <w:szCs w:val="32"/>
          <w:highlight w:val="none"/>
          <w:lang w:val="en-US" w:eastAsia="zh-CN"/>
        </w:rPr>
        <w:t>科室</w:t>
      </w:r>
      <w:r>
        <w:rPr>
          <w:rFonts w:hint="eastAsia" w:ascii="仿宋_GB2312" w:hAnsi="仿宋_GB2312" w:eastAsia="仿宋_GB2312" w:cs="仿宋_GB2312"/>
          <w:color w:val="auto"/>
          <w:sz w:val="32"/>
          <w:szCs w:val="32"/>
          <w:highlight w:val="none"/>
        </w:rPr>
        <w:t>沟通，直接对照资料清单进行核实，随时</w:t>
      </w:r>
      <w:r>
        <w:rPr>
          <w:rFonts w:hint="eastAsia" w:ascii="仿宋_GB2312" w:hAnsi="仿宋_GB2312" w:eastAsia="仿宋_GB2312" w:cs="仿宋_GB2312"/>
          <w:color w:val="auto"/>
          <w:sz w:val="32"/>
          <w:szCs w:val="32"/>
          <w:highlight w:val="none"/>
          <w:lang w:eastAsia="zh-CN"/>
        </w:rPr>
        <w:t>处理标</w:t>
      </w:r>
      <w:r>
        <w:rPr>
          <w:rFonts w:hint="eastAsia" w:ascii="仿宋_GB2312" w:hAnsi="仿宋_GB2312" w:eastAsia="仿宋_GB2312" w:cs="仿宋_GB2312"/>
          <w:color w:val="auto"/>
          <w:sz w:val="32"/>
          <w:szCs w:val="32"/>
          <w:highlight w:val="none"/>
        </w:rPr>
        <w:t>注</w:t>
      </w:r>
      <w:r>
        <w:rPr>
          <w:rFonts w:hint="eastAsia" w:ascii="仿宋_GB2312" w:hAnsi="仿宋_GB2312" w:eastAsia="仿宋_GB2312" w:cs="仿宋_GB2312"/>
          <w:color w:val="auto"/>
          <w:sz w:val="32"/>
          <w:szCs w:val="32"/>
          <w:highlight w:val="none"/>
          <w:lang w:eastAsia="zh-CN"/>
        </w:rPr>
        <w:t>的</w:t>
      </w:r>
      <w:r>
        <w:rPr>
          <w:rFonts w:hint="eastAsia" w:ascii="仿宋_GB2312" w:hAnsi="仿宋_GB2312" w:eastAsia="仿宋_GB2312" w:cs="仿宋_GB2312"/>
          <w:color w:val="auto"/>
          <w:sz w:val="32"/>
          <w:szCs w:val="32"/>
          <w:highlight w:val="none"/>
        </w:rPr>
        <w:t>问题，确保已提交</w:t>
      </w:r>
      <w:r>
        <w:rPr>
          <w:rFonts w:hint="eastAsia" w:ascii="仿宋_GB2312" w:hAnsi="仿宋_GB2312" w:eastAsia="仿宋_GB2312" w:cs="仿宋_GB2312"/>
          <w:color w:val="auto"/>
          <w:sz w:val="32"/>
          <w:szCs w:val="32"/>
          <w:highlight w:val="none"/>
          <w:lang w:eastAsia="zh-CN"/>
        </w:rPr>
        <w:t>及需补充的</w:t>
      </w:r>
      <w:r>
        <w:rPr>
          <w:rFonts w:hint="eastAsia" w:ascii="仿宋_GB2312" w:hAnsi="仿宋_GB2312" w:eastAsia="仿宋_GB2312" w:cs="仿宋_GB2312"/>
          <w:color w:val="auto"/>
          <w:sz w:val="32"/>
          <w:szCs w:val="32"/>
          <w:highlight w:val="none"/>
        </w:rPr>
        <w:t>资料</w:t>
      </w:r>
      <w:r>
        <w:rPr>
          <w:rFonts w:hint="eastAsia" w:ascii="仿宋_GB2312" w:hAnsi="仿宋_GB2312" w:eastAsia="仿宋_GB2312" w:cs="仿宋_GB2312"/>
          <w:color w:val="auto"/>
          <w:sz w:val="32"/>
          <w:szCs w:val="32"/>
          <w:highlight w:val="none"/>
          <w:lang w:eastAsia="zh-CN"/>
        </w:rPr>
        <w:t>能准确反映项目绩效目标实现情况</w:t>
      </w:r>
      <w:r>
        <w:rPr>
          <w:rFonts w:hint="eastAsia" w:ascii="仿宋_GB2312" w:hAnsi="仿宋_GB2312" w:eastAsia="仿宋_GB2312" w:cs="仿宋_GB2312"/>
          <w:color w:val="auto"/>
          <w:sz w:val="32"/>
          <w:szCs w:val="32"/>
          <w:highlight w:val="none"/>
        </w:rPr>
        <w:t>。</w:t>
      </w:r>
    </w:p>
    <w:p w14:paraId="68A9D39F">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outlineLvl w:val="9"/>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撰写绩效评价报告</w:t>
      </w:r>
    </w:p>
    <w:p w14:paraId="04B6ACBE">
      <w:pPr>
        <w:keepNext w:val="0"/>
        <w:keepLines w:val="0"/>
        <w:pageBreakBefore w:val="0"/>
        <w:widowControl w:val="0"/>
        <w:kinsoku/>
        <w:wordWrap/>
        <w:overflowPunct/>
        <w:topLinePunct w:val="0"/>
        <w:autoSpaceDE/>
        <w:autoSpaceDN/>
        <w:bidi w:val="0"/>
        <w:snapToGrid/>
        <w:spacing w:line="600" w:lineRule="exact"/>
        <w:ind w:left="0" w:leftChars="0" w:right="0" w:rightChars="0" w:firstLine="640" w:firstLineChars="200"/>
        <w:textAlignment w:val="auto"/>
        <w:outlineLvl w:val="9"/>
        <w:rPr>
          <w:rFonts w:hint="eastAsia" w:ascii="黑体" w:hAnsi="黑体" w:eastAsia="黑体" w:cs="黑体"/>
          <w:b/>
          <w:bCs/>
          <w:color w:val="auto"/>
          <w:sz w:val="32"/>
          <w:szCs w:val="32"/>
          <w:highlight w:val="none"/>
          <w:lang w:val="en-US" w:eastAsia="zh-CN"/>
        </w:rPr>
      </w:pPr>
      <w:r>
        <w:rPr>
          <w:rFonts w:hint="eastAsia" w:ascii="仿宋_GB2312" w:hAnsi="仿宋_GB2312" w:eastAsia="仿宋_GB2312" w:cs="仿宋_GB2312"/>
          <w:color w:val="auto"/>
          <w:sz w:val="32"/>
          <w:szCs w:val="32"/>
          <w:highlight w:val="none"/>
        </w:rPr>
        <w:t>小组成员在对收集</w:t>
      </w:r>
      <w:r>
        <w:rPr>
          <w:rFonts w:hint="eastAsia" w:ascii="仿宋_GB2312" w:hAnsi="仿宋_GB2312" w:eastAsia="仿宋_GB2312" w:cs="仿宋_GB2312"/>
          <w:color w:val="auto"/>
          <w:sz w:val="32"/>
          <w:szCs w:val="32"/>
          <w:highlight w:val="none"/>
          <w:lang w:eastAsia="zh-CN"/>
        </w:rPr>
        <w:t>到</w:t>
      </w:r>
      <w:r>
        <w:rPr>
          <w:rFonts w:hint="eastAsia" w:ascii="仿宋_GB2312" w:hAnsi="仿宋_GB2312" w:eastAsia="仿宋_GB2312" w:cs="仿宋_GB2312"/>
          <w:color w:val="auto"/>
          <w:sz w:val="32"/>
          <w:szCs w:val="32"/>
          <w:highlight w:val="none"/>
        </w:rPr>
        <w:t>的</w:t>
      </w:r>
      <w:r>
        <w:rPr>
          <w:rFonts w:hint="eastAsia" w:ascii="仿宋_GB2312" w:hAnsi="仿宋_GB2312" w:eastAsia="仿宋_GB2312" w:cs="仿宋_GB2312"/>
          <w:color w:val="auto"/>
          <w:sz w:val="32"/>
          <w:szCs w:val="32"/>
          <w:highlight w:val="none"/>
          <w:lang w:eastAsia="zh-CN"/>
        </w:rPr>
        <w:t>项目</w:t>
      </w:r>
      <w:r>
        <w:rPr>
          <w:rFonts w:hint="eastAsia" w:ascii="仿宋_GB2312" w:hAnsi="仿宋_GB2312" w:eastAsia="仿宋_GB2312" w:cs="仿宋_GB2312"/>
          <w:color w:val="auto"/>
          <w:sz w:val="32"/>
          <w:szCs w:val="32"/>
          <w:highlight w:val="none"/>
        </w:rPr>
        <w:t>数据、资料进行核对、比较、计算的基础上，</w:t>
      </w:r>
      <w:r>
        <w:rPr>
          <w:rFonts w:hint="eastAsia" w:ascii="仿宋_GB2312" w:hAnsi="仿宋_GB2312" w:eastAsia="仿宋_GB2312" w:cs="仿宋_GB2312"/>
          <w:color w:val="auto"/>
          <w:sz w:val="32"/>
          <w:szCs w:val="32"/>
          <w:highlight w:val="none"/>
          <w:lang w:val="en-US" w:eastAsia="zh-CN"/>
        </w:rPr>
        <w:t>同时审核部门整体支出与预算支出计划相符性，结合各个项目指标完成数据和评价结论并进行归集汇总，审核评价部门整体绩效目标和分项目标的完成情况。</w:t>
      </w:r>
      <w:r>
        <w:rPr>
          <w:rFonts w:hint="eastAsia" w:ascii="仿宋_GB2312" w:hAnsi="仿宋_GB2312" w:eastAsia="仿宋_GB2312" w:cs="仿宋_GB2312"/>
          <w:color w:val="auto"/>
          <w:sz w:val="32"/>
          <w:szCs w:val="32"/>
          <w:highlight w:val="none"/>
        </w:rPr>
        <w:t>对比年</w:t>
      </w:r>
      <w:r>
        <w:rPr>
          <w:rFonts w:hint="eastAsia" w:ascii="仿宋_GB2312" w:hAnsi="仿宋_GB2312" w:eastAsia="仿宋_GB2312" w:cs="仿宋_GB2312"/>
          <w:color w:val="auto"/>
          <w:sz w:val="32"/>
          <w:szCs w:val="32"/>
          <w:highlight w:val="none"/>
          <w:lang w:eastAsia="zh-CN"/>
        </w:rPr>
        <w:t>初</w:t>
      </w:r>
      <w:r>
        <w:rPr>
          <w:rFonts w:hint="eastAsia" w:ascii="仿宋_GB2312" w:hAnsi="仿宋_GB2312" w:eastAsia="仿宋_GB2312" w:cs="仿宋_GB2312"/>
          <w:color w:val="auto"/>
          <w:sz w:val="32"/>
          <w:szCs w:val="32"/>
          <w:highlight w:val="none"/>
          <w:lang w:val="en-US" w:eastAsia="zh-CN"/>
        </w:rPr>
        <w:t>部门</w:t>
      </w:r>
      <w:r>
        <w:rPr>
          <w:rFonts w:hint="eastAsia" w:ascii="仿宋_GB2312" w:hAnsi="仿宋_GB2312" w:eastAsia="仿宋_GB2312" w:cs="仿宋_GB2312"/>
          <w:color w:val="auto"/>
          <w:sz w:val="32"/>
          <w:szCs w:val="32"/>
          <w:highlight w:val="none"/>
        </w:rPr>
        <w:t>绩效目标，形成评价结论；根据</w:t>
      </w:r>
      <w:r>
        <w:rPr>
          <w:rFonts w:hint="eastAsia" w:ascii="仿宋_GB2312" w:hAnsi="仿宋_GB2312" w:eastAsia="仿宋_GB2312" w:cs="仿宋_GB2312"/>
          <w:color w:val="auto"/>
          <w:sz w:val="32"/>
          <w:szCs w:val="32"/>
          <w:highlight w:val="none"/>
          <w:lang w:eastAsia="zh-CN"/>
        </w:rPr>
        <w:t>结</w:t>
      </w:r>
      <w:r>
        <w:rPr>
          <w:rFonts w:hint="eastAsia" w:ascii="仿宋_GB2312" w:hAnsi="仿宋_GB2312" w:eastAsia="仿宋_GB2312" w:cs="仿宋_GB2312"/>
          <w:color w:val="auto"/>
          <w:sz w:val="32"/>
          <w:szCs w:val="32"/>
          <w:highlight w:val="none"/>
        </w:rPr>
        <w:t>论，撰写</w:t>
      </w:r>
      <w:r>
        <w:rPr>
          <w:rFonts w:hint="eastAsia" w:ascii="仿宋_GB2312" w:hAnsi="仿宋_GB2312" w:eastAsia="仿宋_GB2312" w:cs="仿宋_GB2312"/>
          <w:color w:val="auto"/>
          <w:sz w:val="32"/>
          <w:szCs w:val="32"/>
          <w:highlight w:val="none"/>
          <w:lang w:val="en-US" w:eastAsia="zh-CN"/>
        </w:rPr>
        <w:t>部门整体支出</w:t>
      </w:r>
      <w:r>
        <w:rPr>
          <w:rFonts w:hint="eastAsia" w:ascii="仿宋_GB2312" w:hAnsi="仿宋_GB2312" w:eastAsia="仿宋_GB2312" w:cs="仿宋_GB2312"/>
          <w:color w:val="auto"/>
          <w:sz w:val="32"/>
          <w:szCs w:val="32"/>
          <w:highlight w:val="none"/>
        </w:rPr>
        <w:t>绩效评价报告。</w:t>
      </w:r>
      <w:r>
        <w:rPr>
          <w:rFonts w:hint="eastAsia" w:ascii="黑体" w:hAnsi="黑体" w:eastAsia="黑体" w:cs="黑体"/>
          <w:b/>
          <w:bCs/>
          <w:color w:val="auto"/>
          <w:sz w:val="32"/>
          <w:szCs w:val="32"/>
          <w:highlight w:val="none"/>
        </w:rPr>
        <w:t xml:space="preserve"> </w:t>
      </w:r>
      <w:r>
        <w:rPr>
          <w:rFonts w:hint="eastAsia" w:ascii="黑体" w:hAnsi="黑体" w:eastAsia="黑体" w:cs="黑体"/>
          <w:b/>
          <w:bCs/>
          <w:color w:val="auto"/>
          <w:sz w:val="32"/>
          <w:szCs w:val="32"/>
          <w:highlight w:val="none"/>
          <w:lang w:val="en-US" w:eastAsia="zh-CN"/>
        </w:rPr>
        <w:t xml:space="preserve">   </w:t>
      </w:r>
    </w:p>
    <w:p w14:paraId="1CD43794">
      <w:pPr>
        <w:keepNext w:val="0"/>
        <w:keepLines w:val="0"/>
        <w:pageBreakBefore w:val="0"/>
        <w:widowControl w:val="0"/>
        <w:kinsoku/>
        <w:wordWrap/>
        <w:overflowPunct/>
        <w:topLinePunct w:val="0"/>
        <w:autoSpaceDE/>
        <w:autoSpaceDN/>
        <w:bidi w:val="0"/>
        <w:snapToGrid/>
        <w:spacing w:line="600" w:lineRule="exact"/>
        <w:ind w:left="0" w:leftChars="0" w:right="0" w:rightChars="0" w:firstLine="640" w:firstLineChars="200"/>
        <w:textAlignment w:val="auto"/>
        <w:outlineLvl w:val="9"/>
        <w:rPr>
          <w:rFonts w:hint="eastAsia" w:ascii="仿宋" w:hAnsi="仿宋" w:eastAsia="仿宋" w:cs="仿宋"/>
          <w:b/>
          <w:bCs/>
          <w:color w:val="auto"/>
          <w:sz w:val="32"/>
          <w:szCs w:val="32"/>
          <w:highlight w:val="none"/>
          <w:lang w:eastAsia="zh-CN"/>
        </w:rPr>
      </w:pPr>
      <w:r>
        <w:rPr>
          <w:rFonts w:hint="eastAsia" w:ascii="黑体" w:hAnsi="黑体" w:eastAsia="黑体" w:cs="黑体"/>
          <w:color w:val="auto"/>
          <w:sz w:val="32"/>
          <w:szCs w:val="32"/>
          <w:highlight w:val="none"/>
        </w:rPr>
        <w:t>三、</w:t>
      </w:r>
      <w:r>
        <w:rPr>
          <w:rFonts w:hint="eastAsia" w:ascii="黑体" w:hAnsi="黑体" w:eastAsia="黑体" w:cs="黑体"/>
          <w:color w:val="auto"/>
          <w:sz w:val="32"/>
          <w:szCs w:val="32"/>
          <w:highlight w:val="none"/>
          <w:lang w:eastAsia="zh-CN"/>
        </w:rPr>
        <w:t>部门整体支出</w:t>
      </w:r>
      <w:r>
        <w:rPr>
          <w:rFonts w:hint="eastAsia" w:ascii="黑体" w:hAnsi="黑体" w:eastAsia="黑体" w:cs="黑体"/>
          <w:color w:val="auto"/>
          <w:sz w:val="32"/>
          <w:szCs w:val="32"/>
          <w:highlight w:val="none"/>
        </w:rPr>
        <w:t>绩效</w:t>
      </w:r>
      <w:r>
        <w:rPr>
          <w:rFonts w:hint="eastAsia" w:ascii="黑体" w:hAnsi="黑体" w:eastAsia="黑体" w:cs="黑体"/>
          <w:color w:val="auto"/>
          <w:sz w:val="32"/>
          <w:szCs w:val="32"/>
          <w:highlight w:val="none"/>
          <w:lang w:eastAsia="zh-CN"/>
        </w:rPr>
        <w:t>目标实现情况及指标分析</w:t>
      </w:r>
    </w:p>
    <w:p w14:paraId="2D15F71E">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w:t>
      </w:r>
      <w:r>
        <w:rPr>
          <w:rFonts w:hint="eastAsia" w:ascii="楷体_GB2312" w:hAnsi="楷体_GB2312" w:eastAsia="楷体_GB2312" w:cs="楷体_GB2312"/>
          <w:b w:val="0"/>
          <w:bCs w:val="0"/>
          <w:color w:val="auto"/>
          <w:kern w:val="2"/>
          <w:sz w:val="32"/>
          <w:szCs w:val="32"/>
          <w:highlight w:val="none"/>
          <w:lang w:val="en-US" w:eastAsia="zh-CN" w:bidi="ar-SA"/>
        </w:rPr>
        <w:t>部门决策</w:t>
      </w:r>
    </w:p>
    <w:p w14:paraId="22C3E593">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部门决策指标满分15分，其中目标设定指标8分，预算配置指标7分。</w:t>
      </w:r>
    </w:p>
    <w:p w14:paraId="0D6E8B9C">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2023年是全面贯彻落实党的二十大精神的开局之年，也是我市“经济总量过万亿、实现弯道超车的跃升之年、展示之年”，做好2023年工作对推动我市智慧城市和数字政府建设等具有重要的支撑作用。2023年我局工作的总体要求是:坚持以习近平新时代中国特色社会主义思想为指导，全面贯彻党的二十大精神，认真落实市委十一届三次、四次全会要求，紧紧围绕市委、市政府中心工作，按照《中国式现代化石家庄场景行动方案》和《石家庄市数字政府建设三年行动方案》要求，实施数字政府创新发展行动，不断完善我市数字政府建设管理新模式，持续提升政务服务一体化支撑能力，大力推进市级政务信息化项目全链条管理，努力实现基础支撑跃升、服务能力跃升、安全管理跃升，不断增强数字政府效能，激发数字经济活力，展示“数字石家庄”建设新场景，为我市打造现代化、国际化美丽省会城市提供有力支撑，助力经济总量过万亿。</w:t>
      </w:r>
    </w:p>
    <w:p w14:paraId="4C58A5F6">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为配合我局制定的绩效目标，申请安排年初预算数66465.189923 万元，其中：基本支出 1259.54 万元，包括人员经费 1130.81 万元和日常公用经费 128.73 万元。项目支出65205.649923 万元，主要为：防入侵监测费 20 万元；信息化建设项目26747.00 万元；信息化项目运维费 37247.00 万元；支付日元贷款本金利息40.94万元；专用设备维修费3.00万元；办公设备购置 5.00 万元；党组织活动经费 3.90 万元；文件资料印刷费 5.00 万元；业务咨询委托费 228.00万元；质保金相关经费905.809923万元。</w:t>
      </w:r>
    </w:p>
    <w:p w14:paraId="7742BDBE">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本项指标满分15分，得分14分。</w:t>
      </w:r>
    </w:p>
    <w:p w14:paraId="73CD0551">
      <w:pPr>
        <w:pStyle w:val="3"/>
        <w:keepNext w:val="0"/>
        <w:keepLines w:val="0"/>
        <w:pageBreakBefore w:val="0"/>
        <w:widowControl w:val="0"/>
        <w:numPr>
          <w:ilvl w:val="0"/>
          <w:numId w:val="0"/>
        </w:numPr>
        <w:kinsoku/>
        <w:wordWrap/>
        <w:overflowPunct/>
        <w:topLinePunct w:val="0"/>
        <w:autoSpaceDE/>
        <w:autoSpaceDN/>
        <w:bidi w:val="0"/>
        <w:adjustRightInd/>
        <w:snapToGrid/>
        <w:spacing w:after="0" w:line="600" w:lineRule="exact"/>
        <w:ind w:right="0" w:rightChars="0" w:firstLine="640" w:firstLineChars="200"/>
        <w:textAlignment w:val="auto"/>
        <w:outlineLvl w:val="9"/>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其中：2023年项目支出预算中，统一建设项目预算21000元对应年初计划建设项目25个，2023年实际立项建设项目48个，预算计划与实际项目差异过大，本项满分7分，得分6分。</w:t>
      </w:r>
    </w:p>
    <w:tbl>
      <w:tblPr>
        <w:tblStyle w:val="6"/>
        <w:tblW w:w="470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11"/>
        <w:gridCol w:w="4449"/>
        <w:gridCol w:w="1663"/>
      </w:tblGrid>
      <w:tr w14:paraId="35040063">
        <w:trPr>
          <w:trHeight w:val="278"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F40EF">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一级指标</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23A1E">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二级指标</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8E8F8">
            <w:pPr>
              <w:keepNext w:val="0"/>
              <w:keepLines w:val="0"/>
              <w:widowControl/>
              <w:suppressLineNumbers w:val="0"/>
              <w:jc w:val="center"/>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2"/>
                <w:sz w:val="24"/>
                <w:szCs w:val="24"/>
                <w:highlight w:val="none"/>
                <w:u w:val="none"/>
                <w:lang w:val="en-US" w:eastAsia="zh-CN" w:bidi="ar-SA"/>
              </w:rPr>
              <w:t>得分</w:t>
            </w:r>
          </w:p>
        </w:tc>
      </w:tr>
      <w:tr w14:paraId="62F74451">
        <w:trPr>
          <w:trHeight w:val="278" w:hRule="atLeast"/>
        </w:trPr>
        <w:tc>
          <w:tcPr>
            <w:tcW w:w="141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EEFD6">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部门决策</w:t>
            </w:r>
          </w:p>
          <w:p w14:paraId="4E9CCB3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（15分）</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E70B0">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目标设定</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2EEB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r>
      <w:tr w14:paraId="0DBD203C">
        <w:trPr>
          <w:trHeight w:val="278"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FABE3">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63908">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预算配置</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FB01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6</w:t>
            </w:r>
          </w:p>
        </w:tc>
      </w:tr>
    </w:tbl>
    <w:p w14:paraId="7D6FA07F">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楷体_GB2312" w:hAnsi="楷体_GB2312" w:eastAsia="楷体_GB2312" w:cs="楷体_GB2312"/>
          <w:b w:val="0"/>
          <w:bCs w:val="0"/>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（二）</w:t>
      </w:r>
      <w:r>
        <w:rPr>
          <w:rFonts w:hint="eastAsia" w:ascii="楷体_GB2312" w:hAnsi="楷体_GB2312" w:eastAsia="楷体_GB2312" w:cs="楷体_GB2312"/>
          <w:b w:val="0"/>
          <w:bCs w:val="0"/>
          <w:color w:val="auto"/>
          <w:kern w:val="2"/>
          <w:sz w:val="32"/>
          <w:szCs w:val="32"/>
          <w:highlight w:val="none"/>
          <w:lang w:val="en-US" w:eastAsia="zh-CN" w:bidi="ar-SA"/>
        </w:rPr>
        <w:t>部门管理</w:t>
      </w:r>
    </w:p>
    <w:p w14:paraId="5AE382A2">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部门管理绩效指标满分40分，预算执行指标5分，财务管理指标5分，内部控制制度建设指标5分，党建工作5分。</w:t>
      </w:r>
    </w:p>
    <w:p w14:paraId="490275F6">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2023年我局年初预算65559.38万元，调整预算数60108.13万元，预算完成57350.99万元，总体预算执行率为95.41%。</w:t>
      </w:r>
    </w:p>
    <w:p w14:paraId="583984B1">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根据我局制定的《内部控制工作手册及配套制度》要求，我局日常工作严格按制定要求执行，包括预算业务控制、收支业务控制、采购业务控制、合同管理控制，重大决策遵守三重一大管理制度要求。</w:t>
      </w:r>
    </w:p>
    <w:p w14:paraId="21BCAE6E">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日常财务管理遵照《中华人民共和国会计法》《中华人民共和国预算法》《政府会计准则》及国家、省、市有关法律、法规及《财务管理办法》（修订版）执行。</w:t>
      </w:r>
    </w:p>
    <w:p w14:paraId="38DF1742">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财务管理的基本原则：统一管理，综合平衡；量入为出，以收定支；厉行节约，保障重点；兼顾一般，注重绩效；完善程序，规范高效；强化业务科室（小组）资金使用主体责任和局办公室资金管理责任。财务管理的主要任务：合理编制年度经费预算，统筹安排、节约使用各项资金，保障部门工作正常运转的资金需要；强化经费预决算和财务收支管理，对预算执行实行全过程绩效管理，统管事情预算、事中控制、事后分析和信息反馈等，不断提高预算执行率和绩效；加强国有资产管理，确保资产的安全完整。</w:t>
      </w:r>
    </w:p>
    <w:p w14:paraId="41F45F8C">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为有效推动数字政府顶层设计向纵深和专项领域拓展，起草了《石家庄市人民政府关于加强数字政府建设的实施意见》以市政府名义印发，编制完成了《石家庄市数字政府网络与数据安全规划（2023-2025）》《石家庄市一体化政务大数据体系建设工作方案》，《石家庄市“一网统管”城市综合管理体系建设推进方案（2023-2025年）》也正在完善中。通过“一意见一规划两方案”的编制，有效承接了国家和我省关于数字政府建设的整体部署安排，推动了我市数字政府顶层设计向纵深和专项领域不断拓展和延伸。</w:t>
      </w:r>
    </w:p>
    <w:p w14:paraId="558678E9">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为更好的完善组织体系建设，充分发挥数字政府推进工作机制作用。以数字政府建设领导小组名义，组织召开了“全市推进数字政府建设暨首席数据官培训会”，对全市数字政府建设进行安排部署。调整充实全市首席数据官组织体系，部门首席数据官在原有39个政府部门的基础上，扩大到82个部门及单位，同时覆盖全部24个县（市、区），大幅提升了政务数据共享的统筹协调力度和覆盖范围，进一步发挥了数字政府“一盘棋”工作推进机制作用。</w:t>
      </w:r>
    </w:p>
    <w:p w14:paraId="22C1135B">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改革优化项目管理体制，逐步完善信息化项目建管体系。修订完善了《石家庄市市级政务信息化项目管理办法》及《石家庄市市级政务信息化建设项目需求申报实施方案》《石家庄市级政务信息化项目建设方案评审实施方案》《石家庄市市级政务信息化项目统一建设实施方案》《石家庄市市级政务信息化项目统一运维实施方案》 《石家庄市市级政务信息化项目验收实施方案》等6项规章制度。</w:t>
      </w:r>
    </w:p>
    <w:p w14:paraId="35943009">
      <w:pPr>
        <w:pStyle w:val="3"/>
        <w:keepNext w:val="0"/>
        <w:keepLines w:val="0"/>
        <w:pageBreakBefore w:val="0"/>
        <w:widowControl w:val="0"/>
        <w:numPr>
          <w:ilvl w:val="0"/>
          <w:numId w:val="7"/>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坚持党建引领，政治标准和政治要求更加严格和过硬。以习近平新时代中国特色社会主义思想为指导，深入学习贯彻党的二十大精神和习近平总书记在河北考察时的重要讲话精神，严肃深入开展主题教育，全面贯彻落实新时代党的建设总要求和组织路线，大力推动重点任务落实见效，机关党总支以及所属三个党支部的组织力、战斗力、凝聚力和号召力进一步增强，党员先锋模范作用发挥更加充分，助推了全局各项工作高质量发展。</w:t>
      </w:r>
    </w:p>
    <w:p w14:paraId="417B2906">
      <w:pPr>
        <w:pStyle w:val="3"/>
        <w:keepNext w:val="0"/>
        <w:keepLines w:val="0"/>
        <w:pageBreakBefore w:val="0"/>
        <w:widowControl w:val="0"/>
        <w:numPr>
          <w:ilvl w:val="2"/>
          <w:numId w:val="8"/>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强化制度建设和政治理论学习。年初制定了《党建工作要点》，对全年的党建工作进行安排部署；机关各党支部本着党建引领、思想建党的原则分别制定了适合自己的《党支部学习计划》；举办“七一”专题党课、学习党的二十大精神专题党课、主题教育专题党课等专题学习会3期240余人次；全年共发放学习类图书150余册。</w:t>
      </w:r>
    </w:p>
    <w:p w14:paraId="4D0EB9DB">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（2）加强基层组织建设。认真落实“中心组学习”制度，2023年共组织理论学习</w:t>
      </w:r>
      <w:bookmarkStart w:id="1" w:name="_GoBack"/>
      <w:bookmarkEnd w:id="1"/>
      <w:r>
        <w:rPr>
          <w:rFonts w:hint="eastAsia" w:ascii="仿宋_GB2312" w:hAnsi="仿宋_GB2312" w:eastAsia="仿宋_GB2312" w:cs="仿宋_GB2312"/>
          <w:color w:val="auto"/>
          <w:sz w:val="32"/>
          <w:szCs w:val="32"/>
          <w:highlight w:val="none"/>
          <w:lang w:val="en-US" w:eastAsia="zh-CN"/>
        </w:rPr>
        <w:t>中心组学习12次；严格落实“三会一课”制度；开好支委会、党员大会、讲好党课。</w:t>
      </w:r>
    </w:p>
    <w:p w14:paraId="11C2D4C1">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（3）做好党员管理和党费收缴工作。今年以来我局共接转党员组织关系3人次；培养入党积极分子1名，发展预备党员1名，预备党员转正1名；每月按时完成党费的收缴工作，今年共收缴党费29894元。</w:t>
      </w:r>
    </w:p>
    <w:p w14:paraId="5F008300">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（4）切实做好意识形态工作。全面落实意识形态工作责任制，狠抓意识形态领域各项工作任务落实。</w:t>
      </w:r>
    </w:p>
    <w:p w14:paraId="6E5B6060">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本项绩效评价指标满分20分，得分20分。</w:t>
      </w:r>
    </w:p>
    <w:tbl>
      <w:tblPr>
        <w:tblStyle w:val="6"/>
        <w:tblW w:w="470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11"/>
        <w:gridCol w:w="4449"/>
        <w:gridCol w:w="1663"/>
      </w:tblGrid>
      <w:tr w14:paraId="51B21A05">
        <w:trPr>
          <w:trHeight w:val="280"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4107A">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一级指标</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E75CF">
            <w:pPr>
              <w:keepNext w:val="0"/>
              <w:keepLines w:val="0"/>
              <w:widowControl/>
              <w:suppressLineNumbers w:val="0"/>
              <w:jc w:val="center"/>
              <w:textAlignment w:val="center"/>
              <w:rPr>
                <w:rFonts w:hint="eastAsia" w:ascii="宋体" w:hAnsi="宋体" w:eastAsia="宋体" w:cs="宋体"/>
                <w:b/>
                <w:bCs/>
                <w:i w:val="0"/>
                <w:iCs w:val="0"/>
                <w:color w:val="auto"/>
                <w:kern w:val="2"/>
                <w:sz w:val="24"/>
                <w:szCs w:val="24"/>
                <w:highlight w:val="none"/>
                <w:u w:val="none"/>
                <w:lang w:val="en-US" w:eastAsia="zh-CN" w:bidi="ar-SA"/>
              </w:rPr>
            </w:pPr>
            <w:r>
              <w:rPr>
                <w:rFonts w:hint="eastAsia" w:ascii="宋体" w:hAnsi="宋体" w:eastAsia="宋体" w:cs="宋体"/>
                <w:b/>
                <w:bCs/>
                <w:i w:val="0"/>
                <w:iCs w:val="0"/>
                <w:color w:val="auto"/>
                <w:kern w:val="0"/>
                <w:sz w:val="24"/>
                <w:szCs w:val="24"/>
                <w:highlight w:val="none"/>
                <w:u w:val="none"/>
                <w:lang w:val="en-US" w:eastAsia="zh-CN" w:bidi="ar"/>
              </w:rPr>
              <w:t>二级指标</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93932">
            <w:pPr>
              <w:keepNext w:val="0"/>
              <w:keepLines w:val="0"/>
              <w:widowControl/>
              <w:suppressLineNumbers w:val="0"/>
              <w:jc w:val="center"/>
              <w:textAlignment w:val="center"/>
              <w:rPr>
                <w:rFonts w:hint="default" w:ascii="宋体" w:hAnsi="宋体" w:eastAsia="宋体" w:cs="宋体"/>
                <w:b/>
                <w:bCs/>
                <w:i w:val="0"/>
                <w:iCs w:val="0"/>
                <w:color w:val="auto"/>
                <w:kern w:val="2"/>
                <w:sz w:val="24"/>
                <w:szCs w:val="24"/>
                <w:highlight w:val="none"/>
                <w:u w:val="none"/>
                <w:lang w:val="en-US" w:eastAsia="zh-CN" w:bidi="ar-SA"/>
              </w:rPr>
            </w:pPr>
            <w:r>
              <w:rPr>
                <w:rFonts w:hint="eastAsia" w:ascii="宋体" w:hAnsi="宋体" w:cs="宋体"/>
                <w:b/>
                <w:bCs/>
                <w:i w:val="0"/>
                <w:iCs w:val="0"/>
                <w:color w:val="auto"/>
                <w:kern w:val="2"/>
                <w:sz w:val="24"/>
                <w:szCs w:val="24"/>
                <w:highlight w:val="none"/>
                <w:u w:val="none"/>
                <w:lang w:val="en-US" w:eastAsia="zh-CN" w:bidi="ar-SA"/>
              </w:rPr>
              <w:t>得分</w:t>
            </w:r>
          </w:p>
        </w:tc>
      </w:tr>
      <w:tr w14:paraId="6F10D7B8">
        <w:trPr>
          <w:trHeight w:val="280" w:hRule="atLeast"/>
        </w:trPr>
        <w:tc>
          <w:tcPr>
            <w:tcW w:w="141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4DBD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部门管理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（20分）</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91606">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预算执行</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17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64A20518">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2D245C">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A0AC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财务管理</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D1D1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0F6FE171">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43378B">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4D877">
            <w:pPr>
              <w:keepNext w:val="0"/>
              <w:keepLines w:val="0"/>
              <w:widowControl/>
              <w:suppressLineNumbers w:val="0"/>
              <w:jc w:val="left"/>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内控制度建设</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372E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4AB08F3F">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029CE3">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73EC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党建工作</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2BC6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bl>
    <w:p w14:paraId="6F73CB5D">
      <w:pPr>
        <w:pStyle w:val="2"/>
        <w:keepNext w:val="0"/>
        <w:keepLines w:val="0"/>
        <w:pageBreakBefore w:val="0"/>
        <w:widowControl w:val="0"/>
        <w:numPr>
          <w:ilvl w:val="0"/>
          <w:numId w:val="0"/>
        </w:numPr>
        <w:kinsoku/>
        <w:wordWrap/>
        <w:overflowPunct/>
        <w:topLinePunct w:val="0"/>
        <w:autoSpaceDE/>
        <w:autoSpaceDN/>
        <w:bidi w:val="0"/>
        <w:adjustRightInd w:val="0"/>
        <w:snapToGrid/>
        <w:spacing w:line="576" w:lineRule="exact"/>
        <w:ind w:leftChars="0" w:firstLine="640" w:firstLineChars="200"/>
        <w:jc w:val="both"/>
        <w:textAlignment w:val="baseline"/>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（三）</w:t>
      </w:r>
      <w:r>
        <w:rPr>
          <w:rFonts w:hint="eastAsia" w:ascii="楷体_GB2312" w:hAnsi="楷体_GB2312" w:eastAsia="楷体_GB2312" w:cs="楷体_GB2312"/>
          <w:b w:val="0"/>
          <w:bCs w:val="0"/>
          <w:color w:val="auto"/>
          <w:kern w:val="2"/>
          <w:sz w:val="32"/>
          <w:szCs w:val="32"/>
          <w:highlight w:val="none"/>
          <w:lang w:val="en-US" w:eastAsia="zh-CN" w:bidi="ar-SA"/>
        </w:rPr>
        <w:t>部门职责履行</w:t>
      </w:r>
    </w:p>
    <w:p w14:paraId="70F7F317">
      <w:pPr>
        <w:keepNext w:val="0"/>
        <w:keepLines w:val="0"/>
        <w:pageBreakBefore w:val="0"/>
        <w:widowControl/>
        <w:suppressLineNumbers w:val="0"/>
        <w:kinsoku/>
        <w:wordWrap/>
        <w:overflowPunct/>
        <w:topLinePunct w:val="0"/>
        <w:autoSpaceDE/>
        <w:autoSpaceDN/>
        <w:bidi w:val="0"/>
        <w:snapToGrid/>
        <w:spacing w:line="576" w:lineRule="exact"/>
        <w:ind w:firstLine="640" w:firstLineChars="200"/>
        <w:jc w:val="both"/>
        <w:textAlignment w:val="center"/>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部门职责履行指标满分40分，数字政府顶层设计与运行机制建设（8分），政务服务数字化支撑能力建设（10分），数据资源管理与共享（6分），电子政务应用建设与推广（8分），全市数据资源安全保障体系建设与指导（8分）。</w:t>
      </w:r>
    </w:p>
    <w:p w14:paraId="2BD34515">
      <w:pPr>
        <w:pStyle w:val="9"/>
        <w:keepNext w:val="0"/>
        <w:keepLines w:val="0"/>
        <w:pageBreakBefore w:val="0"/>
        <w:widowControl w:val="0"/>
        <w:numPr>
          <w:ilvl w:val="0"/>
          <w:numId w:val="9"/>
        </w:numPr>
        <w:kinsoku/>
        <w:wordWrap/>
        <w:overflowPunct/>
        <w:topLinePunct w:val="0"/>
        <w:autoSpaceDE/>
        <w:autoSpaceDN/>
        <w:bidi w:val="0"/>
        <w:adjustRightInd/>
        <w:snapToGrid/>
        <w:spacing w:line="576" w:lineRule="exact"/>
        <w:ind w:left="0" w:leftChars="0"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强化顶层设计，数字政府运行机制更加完善</w:t>
      </w:r>
    </w:p>
    <w:p w14:paraId="45DF1B1A">
      <w:pPr>
        <w:keepNext w:val="0"/>
        <w:keepLines w:val="0"/>
        <w:pageBreakBefore w:val="0"/>
        <w:widowControl w:val="0"/>
        <w:kinsoku/>
        <w:wordWrap/>
        <w:overflowPunct/>
        <w:topLinePunct w:val="0"/>
        <w:autoSpaceDE/>
        <w:autoSpaceDN/>
        <w:bidi w:val="0"/>
        <w:snapToGrid/>
        <w:spacing w:line="576"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解放思想，开阔视野，推动数字政府顶层设计向纵深和专项领域拓展；不断完善组织体系建设，充分发挥数字政府推进工作机制作用；改革优化项目管理体制，信息化项目建管体系逐步完善。</w:t>
      </w:r>
    </w:p>
    <w:p w14:paraId="45B191CB">
      <w:pPr>
        <w:pStyle w:val="2"/>
        <w:keepNext w:val="0"/>
        <w:keepLines w:val="0"/>
        <w:pageBreakBefore w:val="0"/>
        <w:widowControl w:val="0"/>
        <w:numPr>
          <w:ilvl w:val="0"/>
          <w:numId w:val="10"/>
        </w:numPr>
        <w:kinsoku/>
        <w:wordWrap/>
        <w:overflowPunct/>
        <w:topLinePunct w:val="0"/>
        <w:autoSpaceDE/>
        <w:autoSpaceDN/>
        <w:bidi w:val="0"/>
        <w:snapToGrid/>
        <w:spacing w:line="576" w:lineRule="exact"/>
        <w:ind w:left="0" w:leftChars="0"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起草了《石家庄市人民政府关于加强数字政府建设的实施意见》以市政府名义印发，编制完成了《石家庄市数字政府网络与数据安全规划（2023-2025）》《石家庄市一体化政务大数据体系建设工作方案》，《石家庄市“一网统管”城市综合管理体系建设推进方案（2023-2025年）》也正在完善中。通过“一意见一规划两方案”的编制，有效承接了国家和我省关于数字政府建设的整体部署安排，推动了我市数字政府顶层设计向纵深和专项领域不断拓展和延伸。</w:t>
      </w:r>
    </w:p>
    <w:p w14:paraId="54D37235">
      <w:pPr>
        <w:keepNext w:val="0"/>
        <w:keepLines w:val="0"/>
        <w:pageBreakBefore w:val="0"/>
        <w:widowControl w:val="0"/>
        <w:kinsoku/>
        <w:wordWrap/>
        <w:overflowPunct/>
        <w:topLinePunct w:val="0"/>
        <w:autoSpaceDE/>
        <w:autoSpaceDN/>
        <w:bidi w:val="0"/>
        <w:snapToGrid/>
        <w:spacing w:line="576"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（2）修订完善了《石家庄市市级政务信息化项目管理办法》</w:t>
      </w:r>
      <w:r>
        <w:rPr>
          <w:rFonts w:hint="eastAsia" w:ascii="仿宋_GB2312" w:hAnsi="仿宋_GB2312" w:eastAsia="仿宋_GB2312" w:cs="仿宋_GB2312"/>
          <w:color w:val="auto"/>
          <w:sz w:val="32"/>
          <w:szCs w:val="32"/>
          <w:highlight w:val="none"/>
          <w:u w:val="none"/>
          <w:lang w:val="en-US" w:eastAsia="zh-CN"/>
        </w:rPr>
        <w:t>等6项</w:t>
      </w:r>
      <w:r>
        <w:rPr>
          <w:rFonts w:hint="eastAsia" w:ascii="仿宋_GB2312" w:hAnsi="仿宋_GB2312" w:eastAsia="仿宋_GB2312" w:cs="仿宋_GB2312"/>
          <w:color w:val="auto"/>
          <w:sz w:val="32"/>
          <w:szCs w:val="32"/>
          <w:highlight w:val="none"/>
          <w:lang w:val="en-US" w:eastAsia="zh-CN"/>
        </w:rPr>
        <w:t>规章制度，按照“重点推进、分步实施、急用先行”的原则，综合考虑国家、省级重点政策文件和市委、市政府重点工作，制定科学的资金使用策略，共计53个新建项目和19个续建项目列入2023年度建设计划。通过信息化项目的统一谋划和建设，促使我市</w:t>
      </w:r>
      <w:r>
        <w:rPr>
          <w:rFonts w:hint="eastAsia" w:ascii="仿宋_GB2312" w:hAnsi="仿宋_GB2312" w:eastAsia="仿宋_GB2312" w:cs="仿宋_GB2312"/>
          <w:color w:val="auto"/>
          <w:sz w:val="32"/>
          <w:szCs w:val="32"/>
          <w:highlight w:val="none"/>
        </w:rPr>
        <w:t>数字政府建设</w:t>
      </w:r>
      <w:r>
        <w:rPr>
          <w:rFonts w:hint="eastAsia" w:ascii="仿宋_GB2312" w:hAnsi="仿宋_GB2312" w:eastAsia="仿宋_GB2312" w:cs="仿宋_GB2312"/>
          <w:color w:val="auto"/>
          <w:sz w:val="32"/>
          <w:szCs w:val="32"/>
          <w:highlight w:val="none"/>
          <w:lang w:val="en-US" w:eastAsia="zh-CN"/>
        </w:rPr>
        <w:t>加快</w:t>
      </w:r>
      <w:r>
        <w:rPr>
          <w:rFonts w:hint="eastAsia" w:ascii="仿宋_GB2312" w:hAnsi="仿宋_GB2312" w:eastAsia="仿宋_GB2312" w:cs="仿宋_GB2312"/>
          <w:color w:val="auto"/>
          <w:sz w:val="32"/>
          <w:szCs w:val="32"/>
          <w:highlight w:val="none"/>
        </w:rPr>
        <w:t>从“建系统”转向“谋场景”，从“技术驱动”转向“场景牵引”，</w:t>
      </w:r>
      <w:r>
        <w:rPr>
          <w:rFonts w:hint="eastAsia" w:ascii="仿宋_GB2312" w:hAnsi="仿宋_GB2312" w:eastAsia="仿宋_GB2312" w:cs="仿宋_GB2312"/>
          <w:color w:val="auto"/>
          <w:sz w:val="32"/>
          <w:szCs w:val="32"/>
          <w:highlight w:val="none"/>
          <w:lang w:val="en-US" w:eastAsia="zh-CN"/>
        </w:rPr>
        <w:t>有效提高了财政资金使用效益，也推动了全市政务信息化系统跨部门跨层级互联互通和业务协同。</w:t>
      </w:r>
    </w:p>
    <w:p w14:paraId="0E0A24E2">
      <w:pPr>
        <w:keepNext w:val="0"/>
        <w:keepLines w:val="0"/>
        <w:pageBreakBefore w:val="0"/>
        <w:widowControl w:val="0"/>
        <w:kinsoku/>
        <w:wordWrap/>
        <w:overflowPunct/>
        <w:topLinePunct w:val="0"/>
        <w:autoSpaceDE/>
        <w:autoSpaceDN/>
        <w:bidi w:val="0"/>
        <w:snapToGrid/>
        <w:spacing w:line="576" w:lineRule="exact"/>
        <w:ind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组织召开了“全市推进数字政府建设暨首席数据官培训会”，对全市数字政府建设进行安排部署。调整充实全市首席数据官组织体系，部门首席数据官在原有39个政府部门的基础上，扩大到82个部门及单位，同时覆盖全部24个县（市、区），大幅提升了政务数据共享的统筹协调力度和覆盖范围。</w:t>
      </w:r>
    </w:p>
    <w:p w14:paraId="1EDA29CF">
      <w:pPr>
        <w:keepNext w:val="0"/>
        <w:keepLines w:val="0"/>
        <w:pageBreakBefore w:val="0"/>
        <w:widowControl w:val="0"/>
        <w:numPr>
          <w:ilvl w:val="0"/>
          <w:numId w:val="9"/>
        </w:numPr>
        <w:kinsoku/>
        <w:wordWrap/>
        <w:overflowPunct/>
        <w:topLinePunct w:val="0"/>
        <w:autoSpaceDE/>
        <w:autoSpaceDN/>
        <w:bidi w:val="0"/>
        <w:snapToGrid/>
        <w:spacing w:line="576" w:lineRule="exact"/>
        <w:ind w:left="0" w:leftChars="0" w:firstLine="640" w:firstLineChars="200"/>
        <w:jc w:val="both"/>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筑牢基础底座，数字化支撑能力全面提升。持续提升“云、网、端”基础支撑能力、共性应用平台支撑能力及一体化政务服务支撑能力。</w:t>
      </w:r>
    </w:p>
    <w:p w14:paraId="13A5A6A4">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加强对政务云资源的监测评估，实现对云平台运行状况和资源使用情况统一纳管；持续推动全市电子政务网络优化整合，全市电子政务外网实现市县乡三级全覆盖，具备随时升级到“千兆到县、百兆到乡”的条件；持续做好市级政务外网和市级政务云平台IPv6日常管理和运行维护，全市政府网站全部实现IPv6访问。依托视频联网、大数据、人工智能等先进技术，实现全市视频图像资源的一体化整合、接入、管理、解析和运维等，建设全市视频云中台。</w:t>
      </w:r>
    </w:p>
    <w:p w14:paraId="117A9AFC">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强化政务应用中台建设，大力推广电子档案系统，推动人社、公积金等部门高频业务系统实现CA数字证书及电子签章、电子签名互认。持续推进电子证照归集和共享应用，截至2023年底，已累计归集电子证照310种、670余万张，在全省排名第一。进一步加大社会主体免费印章推广应用，推动市行政审批局工改系统、市住建局住房租赁系统等6个部门10个涉企业务系统支持在线使用电子印章。</w:t>
      </w:r>
    </w:p>
    <w:p w14:paraId="3BE09EB5">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设了政务服务“全流程网办”平台和“一窗”综合管理平台，支撑全市范围市、县、乡、村四级政务服务事项一窗受理、全程网办。依托省市两级数据交换平台，将线上线下办件数据、“好差评”数据汇聚到省、市统一的办件信息库，助力企业、群众在政务服务事项办理中“零材料提交”。积极组织开展政务服务事项目录梳理和填报，市级46个部门和24个县（市、区）全部完成填报，在省营商环境、数字河北、质量强省考核中位列全省第一。在2023年10月国务院办公厅电子政务办公室发布的《2022年度省级政府和重点城市一体化政务服务能力调查评估报告》中，我市由“中”组级别升至“高”组级别，排名大幅提升，是华北地区唯一一个提高组别的重点城市。</w:t>
      </w:r>
    </w:p>
    <w:p w14:paraId="1489BE3F">
      <w:pPr>
        <w:pStyle w:val="3"/>
        <w:keepNext w:val="0"/>
        <w:keepLines w:val="0"/>
        <w:pageBreakBefore w:val="0"/>
        <w:widowControl w:val="0"/>
        <w:numPr>
          <w:ilvl w:val="0"/>
          <w:numId w:val="9"/>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聚焦共享共用，数据要素价值不断释放。不断深化政务数据归集和共享应用，在全省率先试点数据资源目录编制，极探索公共数据资源开放。</w:t>
      </w:r>
    </w:p>
    <w:p w14:paraId="137E3453">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累计梳理编制52个部门2600余条数据资源目录，年内新增近2000条目录。累计归集政务数据68亿余条，年内新增1亿条。全年受理新增共享需求283个，调用数据接口267万次，共享数据量1.5亿条，为我市政务服务、市域治理、营商环境等领域提供大量数据服务。牵头完成公积金提取、义务教育招生入学、人才一体化综合管理等20个应用场景的建设，超额完成省定15个场景建设任务，场景质量和数量均居全省前列。</w:t>
      </w:r>
    </w:p>
    <w:p w14:paraId="7730B0A3">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在省政务办的大力支持下，今年我市率先列为全省政务数据目录编制试点城市，先期在农业农村、生态环境、工业和信息化三个业务条线开展全量规范化编目试点。目前已编制目录5000余条，为全市政务数据应用提供目录基础。</w:t>
      </w:r>
    </w:p>
    <w:p w14:paraId="61E3745F">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研究制定了《石家庄市公共数据开放责任清单（第一批）》，将53个部门、752条公共数据资源纳入开放清单。起草了《石家庄市公共数据管理规定》，目前正通过市政府网站等渠道广泛征求各有关部门和社会公众意见。研究制定了《石家庄市公共数据运营工作方案》，并向市政府有关领导进行了专题汇报，积极探索推进公共数据运营。</w:t>
      </w:r>
    </w:p>
    <w:p w14:paraId="31866F11">
      <w:pPr>
        <w:pStyle w:val="3"/>
        <w:keepNext w:val="0"/>
        <w:keepLines w:val="0"/>
        <w:pageBreakBefore w:val="0"/>
        <w:widowControl w:val="0"/>
        <w:numPr>
          <w:ilvl w:val="0"/>
          <w:numId w:val="9"/>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突出创新应用，政府数字化履职能力不断提升。党政协同办公效能大幅跃升，“一网统管”综合体系初步建立，更多服务实现“掌上办”、“指尖办”，政府网站改版和日常监管成效明显。</w:t>
      </w:r>
    </w:p>
    <w:p w14:paraId="7741F2F8">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建设了“掌上石家庄·石i民”APP，于2023年4月3日正式上线运行，作为我市一站式城市服务移动端总入口。上线后，我局围绕民生热点、高频事项，先后新增了中考成绩查询、义务入学报名、地铁乘车、供暖缴费等服务。截至2023年底，“石i民”APP已汇集了民政、人社、卫健、医保、文旅、体育等38个部门200余项公共服务事项，注册用户数已达116万余人。</w:t>
      </w:r>
    </w:p>
    <w:p w14:paraId="5AAA329F">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在省内率先打造了第一个数字化政企综合服务平台“石i企”，汇集国家、省、市三级稳经济政策、助企惠企政策，实现企业诉求“一键提”，政府部门“速反馈”，扶持政策“一站汇”，精准服务“更匹配”。目前，平台注册用户超18.24万，认证企业19.18万家。</w:t>
      </w:r>
    </w:p>
    <w:p w14:paraId="190BF758">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2023年我市在省内率先建成“一网统管”城市综合管理平台，布局了数字底座、数据治理、城市综合治理一张图、城市运行管理服务平台等六大板块。以此为依托，建设了市级数字化应急指挥中心，对接了城管、应急、水利等20多个市直部门2000多类数据指标，相关数据1.4亿条，以及15000多路视频信号，实现了跨部门、跨层级的协同管理和数据融合。部署了应急、防汛、城管、教育、文旅等5大场景应用，初步实现了“一网感知态势、一网纵观全城、一网决策指挥、一网协同共治”。</w:t>
      </w:r>
    </w:p>
    <w:p w14:paraId="42A09DF7">
      <w:pPr>
        <w:pStyle w:val="3"/>
        <w:keepNext w:val="0"/>
        <w:keepLines w:val="0"/>
        <w:pageBreakBefore w:val="0"/>
        <w:widowControl w:val="0"/>
        <w:numPr>
          <w:ilvl w:val="0"/>
          <w:numId w:val="9"/>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统筹发展与安全，网络和数据安全防线更加牢固。严格落实网络安全责任制，建立健全网络数据安全管理制度，持续做好网络安全保障。</w:t>
      </w:r>
    </w:p>
    <w:p w14:paraId="7BA015A8">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我局整体履职任务推进有效，同时存在以下问题：</w:t>
      </w:r>
    </w:p>
    <w:p w14:paraId="4181B5C2">
      <w:pPr>
        <w:pStyle w:val="3"/>
        <w:keepNext w:val="0"/>
        <w:keepLines w:val="0"/>
        <w:pageBreakBefore w:val="0"/>
        <w:widowControl w:val="0"/>
        <w:numPr>
          <w:ilvl w:val="1"/>
          <w:numId w:val="11"/>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数字政府市县统筹建设有待加强</w:t>
      </w:r>
    </w:p>
    <w:p w14:paraId="72AEABF3">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由于机构设置不统一、建设经费分级负责等原因，我市目前市、县两级统一规划和统筹管理还有差距。同时受到经济、资源、人才等因素影响，整体看各县（市、区）数字政府建设水平参差不齐，步伐不一致。</w:t>
      </w:r>
    </w:p>
    <w:p w14:paraId="0C9967B5">
      <w:pPr>
        <w:pStyle w:val="3"/>
        <w:keepNext w:val="0"/>
        <w:keepLines w:val="0"/>
        <w:pageBreakBefore w:val="0"/>
        <w:widowControl w:val="0"/>
        <w:numPr>
          <w:ilvl w:val="1"/>
          <w:numId w:val="11"/>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数据资源体系建设有待完善</w:t>
      </w:r>
    </w:p>
    <w:p w14:paraId="560B0AB9">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对标国家、省一体化政务大数据体系建设要求，我市政务大数据体系还存在数据资源底数不清、基础支撑能力有待提高、安全保障能力需要强化等问题，亟需加强数据资源统筹管理，持续提升大数据平台能力。</w:t>
      </w:r>
    </w:p>
    <w:p w14:paraId="283CF7CB">
      <w:pPr>
        <w:pStyle w:val="3"/>
        <w:keepNext w:val="0"/>
        <w:keepLines w:val="0"/>
        <w:pageBreakBefore w:val="0"/>
        <w:widowControl w:val="0"/>
        <w:numPr>
          <w:ilvl w:val="1"/>
          <w:numId w:val="11"/>
        </w:numPr>
        <w:kinsoku/>
        <w:wordWrap/>
        <w:overflowPunct/>
        <w:topLinePunct w:val="0"/>
        <w:autoSpaceDE/>
        <w:autoSpaceDN/>
        <w:bidi w:val="0"/>
        <w:adjustRightInd/>
        <w:snapToGrid/>
        <w:spacing w:after="0" w:line="576" w:lineRule="exact"/>
        <w:ind w:left="0" w:leftChars="0" w:right="0" w:rightChars="0" w:firstLine="640" w:firstLineChars="200"/>
        <w:jc w:val="both"/>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服务于企业、服务群众的意识还有待加强</w:t>
      </w:r>
    </w:p>
    <w:p w14:paraId="0E453F69">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与企业和群众联系不够紧密，有些工作还单纯定位于技术支撑，没有做到从企业和群众的角度出发，企业和群众常用、刚需的服务应用还需增加。</w:t>
      </w:r>
    </w:p>
    <w:p w14:paraId="3B091D11">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jc w:val="both"/>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本项绩效指标满分40分，得分38.8分，如下表：</w:t>
      </w:r>
    </w:p>
    <w:tbl>
      <w:tblPr>
        <w:tblStyle w:val="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51"/>
        <w:gridCol w:w="1846"/>
        <w:gridCol w:w="4445"/>
        <w:gridCol w:w="1119"/>
      </w:tblGrid>
      <w:tr w14:paraId="1D17852E">
        <w:trPr>
          <w:trHeight w:val="460" w:hRule="atLeast"/>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5B9A0">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b/>
                <w:bCs/>
                <w:i w:val="0"/>
                <w:iCs w:val="0"/>
                <w:color w:val="auto"/>
                <w:kern w:val="0"/>
                <w:sz w:val="24"/>
                <w:szCs w:val="24"/>
                <w:highlight w:val="none"/>
                <w:u w:val="none"/>
                <w:lang w:val="en-US" w:eastAsia="zh-CN" w:bidi="ar"/>
              </w:rPr>
              <w:t>部门职责履行指标</w:t>
            </w:r>
          </w:p>
        </w:tc>
      </w:tr>
      <w:tr w14:paraId="151E2865">
        <w:trPr>
          <w:trHeight w:val="280" w:hRule="atLeast"/>
        </w:trPr>
        <w:tc>
          <w:tcPr>
            <w:tcW w:w="91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E291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一级指标</w:t>
            </w:r>
          </w:p>
        </w:tc>
        <w:tc>
          <w:tcPr>
            <w:tcW w:w="101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425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二级指标</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2A5A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三级指标</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C1BC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得分</w:t>
            </w:r>
          </w:p>
        </w:tc>
      </w:tr>
      <w:tr w14:paraId="6680DD65">
        <w:trPr>
          <w:trHeight w:val="280" w:hRule="atLeast"/>
        </w:trPr>
        <w:tc>
          <w:tcPr>
            <w:tcW w:w="9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7FE7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部门职责履行（40分）</w:t>
            </w:r>
          </w:p>
        </w:tc>
        <w:tc>
          <w:tcPr>
            <w:tcW w:w="101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0D5A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数字政府顶层设计与运行机制建设</w:t>
            </w:r>
            <w:r>
              <w:rPr>
                <w:rFonts w:hint="eastAsia" w:ascii="宋体" w:hAnsi="宋体" w:cs="宋体"/>
                <w:i w:val="0"/>
                <w:iCs w:val="0"/>
                <w:color w:val="auto"/>
                <w:kern w:val="0"/>
                <w:sz w:val="24"/>
                <w:szCs w:val="24"/>
                <w:highlight w:val="none"/>
                <w:u w:val="none"/>
                <w:lang w:val="en-US" w:eastAsia="zh-CN" w:bidi="ar"/>
              </w:rPr>
              <w:t>（8分）</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57F1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数字政府建设施意见、规划、方案</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7F0C4">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05D31978">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74F5D1">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849DF">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7CB01">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首席数据官体系建设与培训</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D70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7650801">
        <w:trPr>
          <w:trHeight w:val="9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3513F8">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0D9BF">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8D1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政务信息化项目管理办法修订与实施</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1834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3D148F53">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04E454">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C30C">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6B54B">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市级信息化项目</w:t>
            </w:r>
            <w:r>
              <w:rPr>
                <w:rFonts w:hint="eastAsia" w:ascii="宋体" w:hAnsi="宋体" w:cs="宋体"/>
                <w:i w:val="0"/>
                <w:iCs w:val="0"/>
                <w:color w:val="auto"/>
                <w:kern w:val="0"/>
                <w:sz w:val="24"/>
                <w:szCs w:val="24"/>
                <w:highlight w:val="none"/>
                <w:u w:val="none"/>
                <w:lang w:val="en-US" w:eastAsia="zh-CN" w:bidi="ar"/>
              </w:rPr>
              <w:t>统一</w:t>
            </w:r>
            <w:r>
              <w:rPr>
                <w:rFonts w:hint="eastAsia" w:ascii="宋体" w:hAnsi="宋体" w:eastAsia="宋体" w:cs="宋体"/>
                <w:i w:val="0"/>
                <w:iCs w:val="0"/>
                <w:color w:val="auto"/>
                <w:kern w:val="0"/>
                <w:sz w:val="24"/>
                <w:szCs w:val="24"/>
                <w:highlight w:val="none"/>
                <w:u w:val="none"/>
                <w:lang w:val="en-US" w:eastAsia="zh-CN" w:bidi="ar"/>
              </w:rPr>
              <w:t>运维</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A0E68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0A74CDC7">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A4B26C">
            <w:pPr>
              <w:jc w:val="center"/>
              <w:rPr>
                <w:rFonts w:hint="eastAsia" w:ascii="宋体" w:hAnsi="宋体" w:eastAsia="宋体" w:cs="宋体"/>
                <w:i w:val="0"/>
                <w:iCs w:val="0"/>
                <w:color w:val="auto"/>
                <w:sz w:val="24"/>
                <w:szCs w:val="24"/>
                <w:highlight w:val="none"/>
                <w:u w:val="none"/>
              </w:rPr>
            </w:pPr>
          </w:p>
        </w:tc>
        <w:tc>
          <w:tcPr>
            <w:tcW w:w="101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422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政务服务数字化支撑能力建设</w:t>
            </w:r>
            <w:r>
              <w:rPr>
                <w:rFonts w:hint="eastAsia" w:ascii="宋体" w:hAnsi="宋体" w:cs="宋体"/>
                <w:i w:val="0"/>
                <w:iCs w:val="0"/>
                <w:color w:val="auto"/>
                <w:kern w:val="0"/>
                <w:sz w:val="24"/>
                <w:szCs w:val="24"/>
                <w:highlight w:val="none"/>
                <w:u w:val="none"/>
                <w:lang w:val="en-US" w:eastAsia="zh-CN" w:bidi="ar"/>
              </w:rPr>
              <w:t>（10分）</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5F7B0">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政府网站全部实现IPv6访问</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1A61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37895F30">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2562D0">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6D8B8">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3D5C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城市运行管理视频云中台</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D25D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35079F03">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9140A1">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A5B20">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856C7">
            <w:pPr>
              <w:keepNext w:val="0"/>
              <w:keepLines w:val="0"/>
              <w:widowControl/>
              <w:suppressLineNumbers w:val="0"/>
              <w:jc w:val="left"/>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市级信息化项目</w:t>
            </w:r>
            <w:r>
              <w:rPr>
                <w:rFonts w:hint="eastAsia" w:ascii="宋体" w:hAnsi="宋体" w:cs="宋体"/>
                <w:i w:val="0"/>
                <w:iCs w:val="0"/>
                <w:color w:val="auto"/>
                <w:kern w:val="0"/>
                <w:sz w:val="24"/>
                <w:szCs w:val="24"/>
                <w:highlight w:val="none"/>
                <w:u w:val="none"/>
                <w:lang w:val="en-US" w:eastAsia="zh-CN" w:bidi="ar"/>
              </w:rPr>
              <w:t>统一建设</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0B215">
            <w:pPr>
              <w:keepNext w:val="0"/>
              <w:keepLines w:val="0"/>
              <w:widowControl/>
              <w:suppressLineNumbers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2</w:t>
            </w:r>
          </w:p>
        </w:tc>
      </w:tr>
      <w:tr w14:paraId="35422A54">
        <w:trPr>
          <w:trHeight w:val="56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836E26">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A677C">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7A739">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电子档案系统、CA数字证书及电子签章、电子签名的推广使用</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D99C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4EA42F16">
        <w:trPr>
          <w:trHeight w:val="84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B047BC">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1B3BF">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BDA2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政务服务“全流程网办”和全市范围市、县、乡、村四级政务服务事项“一窗”受理</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20AD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7C4D93DA">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79B250">
            <w:pPr>
              <w:jc w:val="center"/>
              <w:rPr>
                <w:rFonts w:hint="eastAsia" w:ascii="宋体" w:hAnsi="宋体" w:eastAsia="宋体" w:cs="宋体"/>
                <w:i w:val="0"/>
                <w:iCs w:val="0"/>
                <w:color w:val="auto"/>
                <w:sz w:val="24"/>
                <w:szCs w:val="24"/>
                <w:highlight w:val="none"/>
                <w:u w:val="none"/>
              </w:rPr>
            </w:pPr>
          </w:p>
        </w:tc>
        <w:tc>
          <w:tcPr>
            <w:tcW w:w="101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82E5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数据资源管理与共享</w:t>
            </w:r>
            <w:r>
              <w:rPr>
                <w:rFonts w:hint="eastAsia" w:ascii="宋体" w:hAnsi="宋体" w:cs="宋体"/>
                <w:i w:val="0"/>
                <w:iCs w:val="0"/>
                <w:color w:val="auto"/>
                <w:kern w:val="0"/>
                <w:sz w:val="24"/>
                <w:szCs w:val="24"/>
                <w:highlight w:val="none"/>
                <w:u w:val="none"/>
                <w:lang w:val="en-US" w:eastAsia="zh-CN" w:bidi="ar"/>
              </w:rPr>
              <w:t>（6分）</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F9DAB">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政务数据归集和共享</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75FCF">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2561119F">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EB2CE2">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1857">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7BDA8">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试点数据资源目录编制</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3053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17AF2381">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1416CE">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A6869">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3168F">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探索公共数据资源开放</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EEF5F">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3C3855A1">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E442E">
            <w:pPr>
              <w:jc w:val="center"/>
              <w:rPr>
                <w:rFonts w:hint="eastAsia" w:ascii="宋体" w:hAnsi="宋体" w:eastAsia="宋体" w:cs="宋体"/>
                <w:i w:val="0"/>
                <w:iCs w:val="0"/>
                <w:color w:val="auto"/>
                <w:sz w:val="24"/>
                <w:szCs w:val="24"/>
                <w:highlight w:val="none"/>
                <w:u w:val="none"/>
              </w:rPr>
            </w:pPr>
          </w:p>
        </w:tc>
        <w:tc>
          <w:tcPr>
            <w:tcW w:w="101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A0D45">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电子政务应用建设与推广</w:t>
            </w:r>
          </w:p>
          <w:p w14:paraId="05B5DE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（8分）</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EE1D3">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完善一体化党政协同办公平台功能</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680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7906703D">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B96874">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BA09C">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58903">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建设“一网统管”综合体系</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45FD5">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57288D7D">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F5B29A">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15F8C">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79BA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一站式城市服务“掌上办”、“指尖办”</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EEBE6">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1.8</w:t>
            </w:r>
          </w:p>
        </w:tc>
      </w:tr>
      <w:tr w14:paraId="655E35AC">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72E064">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59C3D">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F61A5">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政府网站改版和日常监管</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E4B4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r w14:paraId="7FD81FD0">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868E2">
            <w:pPr>
              <w:jc w:val="center"/>
              <w:rPr>
                <w:rFonts w:hint="eastAsia" w:ascii="宋体" w:hAnsi="宋体" w:eastAsia="宋体" w:cs="宋体"/>
                <w:i w:val="0"/>
                <w:iCs w:val="0"/>
                <w:color w:val="auto"/>
                <w:sz w:val="24"/>
                <w:szCs w:val="24"/>
                <w:highlight w:val="none"/>
                <w:u w:val="none"/>
              </w:rPr>
            </w:pPr>
          </w:p>
        </w:tc>
        <w:tc>
          <w:tcPr>
            <w:tcW w:w="1018"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E5162">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全市数据资源安全保障体系建设与指导</w:t>
            </w:r>
          </w:p>
          <w:p w14:paraId="1D74D56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（8分）</w:t>
            </w: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B46E7">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落实网络安全责任制</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D10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r>
      <w:tr w14:paraId="329A8753">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2A2107">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A9ED9">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7815E">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建立健全网络数据安全管理制度</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2146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r>
      <w:tr w14:paraId="54C7E305">
        <w:trPr>
          <w:trHeight w:val="280" w:hRule="atLeast"/>
        </w:trPr>
        <w:tc>
          <w:tcPr>
            <w:tcW w:w="9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E94B9E">
            <w:pPr>
              <w:jc w:val="center"/>
              <w:rPr>
                <w:rFonts w:hint="eastAsia" w:ascii="宋体" w:hAnsi="宋体" w:eastAsia="宋体" w:cs="宋体"/>
                <w:i w:val="0"/>
                <w:iCs w:val="0"/>
                <w:color w:val="auto"/>
                <w:sz w:val="24"/>
                <w:szCs w:val="24"/>
                <w:highlight w:val="none"/>
                <w:u w:val="none"/>
              </w:rPr>
            </w:pPr>
          </w:p>
        </w:tc>
        <w:tc>
          <w:tcPr>
            <w:tcW w:w="1018"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9B26F">
            <w:pPr>
              <w:jc w:val="center"/>
              <w:rPr>
                <w:rFonts w:hint="eastAsia" w:ascii="宋体" w:hAnsi="宋体" w:eastAsia="宋体" w:cs="宋体"/>
                <w:i w:val="0"/>
                <w:iCs w:val="0"/>
                <w:color w:val="auto"/>
                <w:sz w:val="24"/>
                <w:szCs w:val="24"/>
                <w:highlight w:val="none"/>
                <w:u w:val="none"/>
              </w:rPr>
            </w:pPr>
          </w:p>
        </w:tc>
        <w:tc>
          <w:tcPr>
            <w:tcW w:w="24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46DAD">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网络安全保障</w:t>
            </w:r>
          </w:p>
        </w:tc>
        <w:tc>
          <w:tcPr>
            <w:tcW w:w="61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DA6F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r>
    </w:tbl>
    <w:p w14:paraId="3B9A09A2">
      <w:pPr>
        <w:pStyle w:val="2"/>
        <w:keepNext w:val="0"/>
        <w:keepLines w:val="0"/>
        <w:pageBreakBefore w:val="0"/>
        <w:widowControl w:val="0"/>
        <w:numPr>
          <w:ilvl w:val="0"/>
          <w:numId w:val="0"/>
        </w:numPr>
        <w:kinsoku/>
        <w:wordWrap/>
        <w:overflowPunct/>
        <w:topLinePunct w:val="0"/>
        <w:autoSpaceDE/>
        <w:autoSpaceDN/>
        <w:bidi w:val="0"/>
        <w:adjustRightInd w:val="0"/>
        <w:snapToGrid/>
        <w:spacing w:line="576" w:lineRule="exact"/>
        <w:ind w:firstLine="640" w:firstLineChars="200"/>
        <w:jc w:val="both"/>
        <w:textAlignment w:val="baseline"/>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（四）部门履职效益</w:t>
      </w:r>
    </w:p>
    <w:p w14:paraId="4E08EF27">
      <w:pPr>
        <w:pStyle w:val="9"/>
        <w:keepNext w:val="0"/>
        <w:keepLines w:val="0"/>
        <w:pageBreakBefore w:val="0"/>
        <w:widowControl w:val="0"/>
        <w:numPr>
          <w:ilvl w:val="0"/>
          <w:numId w:val="0"/>
        </w:numPr>
        <w:kinsoku/>
        <w:wordWrap/>
        <w:overflowPunct/>
        <w:topLinePunct w:val="0"/>
        <w:autoSpaceDE/>
        <w:autoSpaceDN/>
        <w:bidi w:val="0"/>
        <w:adjustRightInd/>
        <w:snapToGrid/>
        <w:spacing w:line="576"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部门履职效益指标满分25分，其中社会效益指标5分，可持续影响指标5分，生态效益指标5分，可持续发展指标5分，服务对象满意度指标5分。</w:t>
      </w:r>
    </w:p>
    <w:p w14:paraId="3913A967">
      <w:pPr>
        <w:pStyle w:val="9"/>
        <w:keepNext w:val="0"/>
        <w:keepLines w:val="0"/>
        <w:pageBreakBefore w:val="0"/>
        <w:widowControl w:val="0"/>
        <w:numPr>
          <w:ilvl w:val="0"/>
          <w:numId w:val="0"/>
        </w:numPr>
        <w:kinsoku/>
        <w:wordWrap/>
        <w:overflowPunct/>
        <w:topLinePunct w:val="0"/>
        <w:autoSpaceDE/>
        <w:autoSpaceDN/>
        <w:bidi w:val="0"/>
        <w:adjustRightInd/>
        <w:snapToGrid/>
        <w:spacing w:line="576" w:lineRule="exact"/>
        <w:ind w:right="0" w:rightChars="0"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本项绩效指标得分24.8分。</w:t>
      </w:r>
    </w:p>
    <w:p w14:paraId="476326FD">
      <w:pPr>
        <w:pStyle w:val="9"/>
        <w:keepNext w:val="0"/>
        <w:keepLines w:val="0"/>
        <w:pageBreakBefore w:val="0"/>
        <w:widowControl w:val="0"/>
        <w:numPr>
          <w:ilvl w:val="0"/>
          <w:numId w:val="0"/>
        </w:numPr>
        <w:kinsoku/>
        <w:wordWrap/>
        <w:overflowPunct/>
        <w:topLinePunct w:val="0"/>
        <w:autoSpaceDE/>
        <w:autoSpaceDN/>
        <w:bidi w:val="0"/>
        <w:adjustRightInd/>
        <w:snapToGrid/>
        <w:spacing w:line="576" w:lineRule="exact"/>
        <w:ind w:right="0" w:rightChars="0" w:firstLine="640" w:firstLineChars="200"/>
        <w:jc w:val="both"/>
        <w:textAlignment w:val="auto"/>
        <w:rPr>
          <w:rFonts w:hint="default" w:ascii="仿宋" w:hAnsi="仿宋" w:eastAsia="仿宋" w:cs="仿宋"/>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其中：服务对象满意度指标5分，评价组以访谈形式对部分服务对象进行沟通，均表示满意，但访谈无法覆盖全部用户，不排除还有需改进的内容，此项得分为4.8分。</w:t>
      </w:r>
    </w:p>
    <w:tbl>
      <w:tblPr>
        <w:tblStyle w:val="6"/>
        <w:tblW w:w="470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411"/>
        <w:gridCol w:w="4449"/>
        <w:gridCol w:w="1663"/>
      </w:tblGrid>
      <w:tr w14:paraId="39741A30">
        <w:trPr>
          <w:trHeight w:val="280" w:hRule="atLeast"/>
        </w:trPr>
        <w:tc>
          <w:tcPr>
            <w:tcW w:w="141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3BA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一级指标</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4A0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二级指标</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EDF3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得分</w:t>
            </w:r>
          </w:p>
        </w:tc>
      </w:tr>
      <w:tr w14:paraId="66F58C0F">
        <w:trPr>
          <w:trHeight w:val="280" w:hRule="atLeast"/>
        </w:trPr>
        <w:tc>
          <w:tcPr>
            <w:tcW w:w="1414"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A1349">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部门履职效益</w:t>
            </w:r>
          </w:p>
          <w:p w14:paraId="4BC252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（25分）</w:t>
            </w: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CFD58">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社会效益</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F6B0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27EB84A6">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E7225">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6FAC4">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可持续影响</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08E7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2F10EA97">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2330C">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A4F4A">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生态效益</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722F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7189E4D5">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E2A02">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6F838">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可持续发展</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FB2F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r>
      <w:tr w14:paraId="75E5CB0B">
        <w:trPr>
          <w:trHeight w:val="280" w:hRule="atLeast"/>
        </w:trPr>
        <w:tc>
          <w:tcPr>
            <w:tcW w:w="1414"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5DC9A">
            <w:pPr>
              <w:jc w:val="center"/>
              <w:rPr>
                <w:rFonts w:hint="eastAsia" w:ascii="宋体" w:hAnsi="宋体" w:eastAsia="宋体" w:cs="宋体"/>
                <w:i w:val="0"/>
                <w:iCs w:val="0"/>
                <w:color w:val="auto"/>
                <w:sz w:val="24"/>
                <w:szCs w:val="24"/>
                <w:highlight w:val="none"/>
                <w:u w:val="none"/>
              </w:rPr>
            </w:pPr>
          </w:p>
        </w:tc>
        <w:tc>
          <w:tcPr>
            <w:tcW w:w="26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B50F3">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服务对象满意度</w:t>
            </w:r>
          </w:p>
        </w:tc>
        <w:tc>
          <w:tcPr>
            <w:tcW w:w="9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8E4E7">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4.8</w:t>
            </w:r>
          </w:p>
        </w:tc>
      </w:tr>
    </w:tbl>
    <w:p w14:paraId="38701C40">
      <w:pPr>
        <w:pStyle w:val="2"/>
        <w:keepNext w:val="0"/>
        <w:keepLines w:val="0"/>
        <w:pageBreakBefore w:val="0"/>
        <w:widowControl w:val="0"/>
        <w:numPr>
          <w:ilvl w:val="0"/>
          <w:numId w:val="0"/>
        </w:numPr>
        <w:kinsoku/>
        <w:wordWrap/>
        <w:overflowPunct/>
        <w:topLinePunct w:val="0"/>
        <w:autoSpaceDE/>
        <w:autoSpaceDN/>
        <w:bidi w:val="0"/>
        <w:adjustRightInd w:val="0"/>
        <w:snapToGrid/>
        <w:spacing w:line="576" w:lineRule="exact"/>
        <w:ind w:leftChars="0" w:firstLine="640" w:firstLineChars="200"/>
        <w:textAlignment w:val="baseline"/>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（五）分项绩效目标实现分析</w:t>
      </w:r>
    </w:p>
    <w:p w14:paraId="2D6C15EC">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 xml:space="preserve">智能化视频应用，全面提升城市数字化管理水平 </w:t>
      </w:r>
    </w:p>
    <w:p w14:paraId="0C75A714">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 xml:space="preserve">：依托视频联网、大数据、人工智能等先进技术，实现全市视频图像资源的一体化整合、接入、管理、解析和运维等，建设全市视频云中台。 </w:t>
      </w:r>
    </w:p>
    <w:p w14:paraId="4CEF0B39">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：整合汇聚全市视频监控资源，推进重点领域视频感知终端升级与补点建设，强化全市视频终端的建设和统一管理。</w:t>
      </w:r>
    </w:p>
    <w:p w14:paraId="00FB4065">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r>
        <w:rPr>
          <w:rFonts w:hint="default" w:ascii="仿宋_GB2312" w:hAnsi="仿宋_GB2312" w:eastAsia="仿宋_GB2312" w:cs="仿宋_GB2312"/>
          <w:color w:val="auto"/>
          <w:sz w:val="32"/>
          <w:szCs w:val="32"/>
          <w:highlight w:val="none"/>
          <w:lang w:val="en-US" w:eastAsia="zh-CN"/>
        </w:rPr>
        <w:t>：</w:t>
      </w:r>
    </w:p>
    <w:p w14:paraId="13A3D800">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启动建设了石家庄市城市运行管理中心一期（视频云中台）项目，构建视频云平台及视频保障体系，实现城市公共区域视频监控资源的汇聚治理、融合解析及共享服务，赋能各部门快速构建可视化、智能化的视频应用能力，辅助构建现代化治理能力，提升城市精细化管理水平，统筹视频等城市感知终端的布局和建设，加快构建“城市感知网”统一体系。</w:t>
      </w:r>
    </w:p>
    <w:p w14:paraId="5C3A2023">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 xml:space="preserve">继续提升政务服务信息化水平，助力营商环境持续优化       </w:t>
      </w:r>
    </w:p>
    <w:p w14:paraId="414DF17F">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：依托一体化政务服务平台，聚焦企业和群众常办事项，推进更多政务服务事项从“网上能办”向“网上好办”升级。</w:t>
      </w:r>
    </w:p>
    <w:p w14:paraId="6256F766">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：围绕企业和群众简单高效办成一件事，推进高频政务服务事项实现“掌上办”，增强企业和群众便捷化、高效化的移动政务服务体验。</w:t>
      </w:r>
    </w:p>
    <w:p w14:paraId="30417F86">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b/>
          <w:bCs/>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p>
    <w:p w14:paraId="2A42DA69">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更多服务实现“掌上办”、“指尖办”突出创新应用，政府数字化履职能力不断提升。</w:t>
      </w:r>
    </w:p>
    <w:p w14:paraId="1163ADCE">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建设了“掌上石家庄·石i民”APP，于2023年4月3日正式上线运行，作为我市一站式城市服务移动端总入口。上线后，我局围绕民生热点、高频事项，先后新增了中考成绩查询、义务入学报名、地铁乘车、供暖缴费等服务。截至2023年底，“石i民”APP已汇集了民政、人社、卫健、医保、文旅、体育等38个部门200余项公共服务事项，注册用户数已达116万余人。</w:t>
      </w:r>
    </w:p>
    <w:p w14:paraId="5E66D770">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在省内率先打造了第一个数字化政企综合服务平台“石i企”，汇集国家、省、市三级稳经济政策、助企惠企政策，实现企业诉求“一键提”，政府部门“速反馈”，扶持政策“一站汇”，精准服务“更匹配”。目前，平台注册用户超18.24万，认证企业19.18万家。</w:t>
      </w:r>
    </w:p>
    <w:p w14:paraId="04874D57">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bidi="ar"/>
        </w:rPr>
        <w:t>信息化项目全流程管理</w:t>
      </w:r>
    </w:p>
    <w:p w14:paraId="54608645">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按照国家及省市相关规定，结合我市情况，完善各项管理制度，加强信息化项目全流程管理。</w:t>
      </w:r>
    </w:p>
    <w:p w14:paraId="18DCB151">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按照《石家庄市市级政务信息化项目管理办法》完成市级新建政务信息化项目的评审，保障全市90%以上使用市级财政资金的新建政务信息化项目建设方案经专家评审论证，节约财政资金比例大于15%；做好 2022 年建设项目后期管理等相关工作。</w:t>
      </w:r>
    </w:p>
    <w:p w14:paraId="6D7362EE">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p>
    <w:p w14:paraId="0575C65D">
      <w:pPr>
        <w:pStyle w:val="3"/>
        <w:keepNext w:val="0"/>
        <w:keepLines w:val="0"/>
        <w:pageBreakBefore w:val="0"/>
        <w:widowControl w:val="0"/>
        <w:numPr>
          <w:ilvl w:val="2"/>
          <w:numId w:val="13"/>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按照国家及省市相关规定，结合石家庄市情况，修订完善了《石家庄市市级政务信息化项目管理办法》《石家庄市市级政务信息化项目验收管理办法》，加强信息化项目全流程管理。</w:t>
      </w:r>
    </w:p>
    <w:p w14:paraId="557781A4">
      <w:pPr>
        <w:pStyle w:val="3"/>
        <w:keepNext w:val="0"/>
        <w:keepLines w:val="0"/>
        <w:pageBreakBefore w:val="0"/>
        <w:widowControl w:val="0"/>
        <w:numPr>
          <w:ilvl w:val="2"/>
          <w:numId w:val="13"/>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按照《石家庄市市级政务信息化项目管理办法》，2023年完成119项目/次专家评审论证，市级财政资金新建政务信息化项目评审覆盖率100%，超过年初预设的90%标准；节约财政资金超过25% ，节约资金比率高于年初预设的15%标准。</w:t>
      </w:r>
    </w:p>
    <w:p w14:paraId="4A80F353">
      <w:pPr>
        <w:pStyle w:val="3"/>
        <w:keepNext w:val="0"/>
        <w:keepLines w:val="0"/>
        <w:pageBreakBefore w:val="0"/>
        <w:widowControl w:val="0"/>
        <w:numPr>
          <w:ilvl w:val="2"/>
          <w:numId w:val="13"/>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做好 2022 年建设项目后期管理等相关工作。</w:t>
      </w:r>
    </w:p>
    <w:p w14:paraId="0566E396">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2023年，承担了174个部门及单位1131项运维需求，包括原有的统运维项目以及新增的2022年建设项目的运维管理工作。在统一运维工作中，不断加强对运维单位的监督管理，强化与使用部门沟通联系，先后到重点使用单位实地调研10余次，接待并回访使用单位50余次，协调解决设备更换、线路改造等紧急事项120余件，有效提升了全市政务信息化系统整体运行效率。</w:t>
      </w:r>
    </w:p>
    <w:p w14:paraId="68923D50">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bidi="ar"/>
        </w:rPr>
        <w:t>电子政务外网网络和安全</w:t>
      </w:r>
    </w:p>
    <w:p w14:paraId="4F071FA6">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 xml:space="preserve">按照国家和省相关规定，积极推进我市电子政务外网横向到边纵向到底的全面覆盖，保障电子政务外网网络安全、稳定、高效运行。 </w:t>
      </w:r>
    </w:p>
    <w:p w14:paraId="4860DED4">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 xml:space="preserve">加强电子政务外网网络安全基础设施建设，做好机房内网络设备、安全设备、基础环境设施的日常巡检。完成主要设备及系统的硬件维护、软件升级以及网络维护（故障处理）服务。保证系统故障率小于 10%，故障维护及时率大于 90%。完成电子政务外网、办公专网及互联网的线路维护工作，保证网络安全、稳定运行。保证线路故障率小于5%，非正常断网率小于5%，故障排除率大于 98%。根据相关法规、标准和行业规范，组织实施政务网络等系统的等保测评工作，对发现的问题及时做出整改和调整。 </w:t>
      </w:r>
    </w:p>
    <w:p w14:paraId="22E53503">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b/>
          <w:bCs/>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p>
    <w:p w14:paraId="177C7103">
      <w:pPr>
        <w:pStyle w:val="3"/>
        <w:keepNext w:val="0"/>
        <w:keepLines w:val="0"/>
        <w:pageBreakBefore w:val="0"/>
        <w:widowControl w:val="0"/>
        <w:numPr>
          <w:ilvl w:val="2"/>
          <w:numId w:val="14"/>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严格落实网络安全责任制。根据工作需要及时对局网络与信息安全工作领导小组进行调整，确保制度建设实施的延续性和时效性。认真贯彻落实网络安全法律法规，研究制定本单位网络安全的主要目标、工作任务、安全措施以及重大事件的处置等。2023年召开8次局党组会和5次专题会议研究部署网络安全相关工作。</w:t>
      </w:r>
    </w:p>
    <w:p w14:paraId="0785D4B8">
      <w:pPr>
        <w:pStyle w:val="3"/>
        <w:keepNext w:val="0"/>
        <w:keepLines w:val="0"/>
        <w:pageBreakBefore w:val="0"/>
        <w:widowControl w:val="0"/>
        <w:numPr>
          <w:ilvl w:val="2"/>
          <w:numId w:val="14"/>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建立健全网络数据安全管理制度。组织编制了《石家庄市数字政府网络与数据安全规划（2023-2025）》，聚焦政务云、政务外网、政务应用、政务数据、政务终端五个关键领域，提升网络数据安全监测预警、纵深防御、风险管控和应急处置能力。该《规划》属全省第一个网络数据安全规划，在全国也处于领先水平。</w:t>
      </w:r>
    </w:p>
    <w:p w14:paraId="72A773D1">
      <w:pPr>
        <w:pStyle w:val="3"/>
        <w:keepNext w:val="0"/>
        <w:keepLines w:val="0"/>
        <w:pageBreakBefore w:val="0"/>
        <w:widowControl w:val="0"/>
        <w:numPr>
          <w:ilvl w:val="2"/>
          <w:numId w:val="14"/>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持续做好网络安全保障。按照《中华人民共和国网络安全法》规定和年度工作安排，委托国内不同的权威安全机构对我市政务云平台、政府网站云平台内运行的61个政府网站、党政协同办公平台、“石i民”APP 等重要信息系统开展了4次安全渗透测试，共发现468个安全漏洞问题，已督促有关单位全部整改到位，进一步提高了网络数据和信息系统安全防护水平。</w:t>
      </w:r>
    </w:p>
    <w:p w14:paraId="5E65EE4F">
      <w:pPr>
        <w:pStyle w:val="3"/>
        <w:keepNext w:val="0"/>
        <w:keepLines w:val="0"/>
        <w:pageBreakBefore w:val="0"/>
        <w:widowControl w:val="0"/>
        <w:numPr>
          <w:ilvl w:val="2"/>
          <w:numId w:val="14"/>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系统故障率小于 10%，故障维护及时率100%，完成电子政务外网、办公专网及互联网的线路维护工作，保证网络安全、稳定运行。线路故障率小于5%，非正常断网率小于5%，故障排除率100%。</w:t>
      </w:r>
    </w:p>
    <w:p w14:paraId="47468B78">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kern w:val="0"/>
          <w:sz w:val="32"/>
          <w:szCs w:val="32"/>
          <w:highlight w:val="none"/>
          <w:lang w:val="en-US" w:eastAsia="zh-CN" w:bidi="ar"/>
        </w:rPr>
        <w:t>政府网站管理和运行</w:t>
      </w:r>
    </w:p>
    <w:p w14:paraId="6AF224E4">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按照上级文件要求，结合我市实际，进一步建好、管好、用好政府网站，最大程度发挥网站作用。持续开拓创新，不断加强市政府门户网站信息内容建设,发挥政务公开第一平台的作用。加强常态化监管，逐步规范全市政府 网站建设管理工作，不断提高网站服务水平，开创我市政府网站发展新局面。</w:t>
      </w:r>
    </w:p>
    <w:p w14:paraId="75A53D23">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加强市政府门户网站信息发布，及时发布市委、市政府重要会议、活动，政策法规及解读、应急和热点 事件的回应等信息，年录入信息条数超过 15000 条。不断提高网民留言办理效率和质量，对常见咨询类留言 1 个工作日内答复，一般留言 5 个工作日内答复，处理答复率超过 96%。健全管理制度，进一步规范全市政府网站的建设管理工作，加强队伍建设，不断提高网站工作人员业务能力，强化日常监管，及时发现和解决突出问题，保障不出现重大网络安全事件。</w:t>
      </w:r>
    </w:p>
    <w:p w14:paraId="67BA70C7">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b/>
          <w:bCs/>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p>
    <w:p w14:paraId="3A83F8B4">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政府网站改版和日常监管成效明显。2023年6月对市政府门户网站进行全新改版，改版后的市政府网站包含8大版块280个栏目，外部链接及平台总数24个。全年发布市政要闻、政务动态、政策文件等各类信息1.5万余条，访问量近1亿次。充分依托网站监测平台等技术手段对全市政府网站进行全天候监测，通过下发通报、督办卡和检测报告等方式，加强对全市政府网站的监管。2023年底，石家庄市政府网站在中国信息化研究与促进网等国内权威机构开展的全国优秀政务平台推荐评估中荣获“2023年中国优秀政务网站”称号，这也是市政府网站第4次荣获“中国优秀政务网站”称号。</w:t>
      </w:r>
    </w:p>
    <w:p w14:paraId="3E52BF0F">
      <w:pPr>
        <w:pStyle w:val="3"/>
        <w:keepNext w:val="0"/>
        <w:keepLines w:val="0"/>
        <w:pageBreakBefore w:val="0"/>
        <w:widowControl w:val="0"/>
        <w:numPr>
          <w:ilvl w:val="1"/>
          <w:numId w:val="12"/>
        </w:numPr>
        <w:kinsoku/>
        <w:wordWrap/>
        <w:overflowPunct/>
        <w:topLinePunct w:val="0"/>
        <w:autoSpaceDE/>
        <w:autoSpaceDN/>
        <w:bidi w:val="0"/>
        <w:adjustRightInd/>
        <w:snapToGrid/>
        <w:spacing w:after="0" w:line="576" w:lineRule="exact"/>
        <w:ind w:left="-10" w:leftChars="0" w:right="0" w:rightChars="0" w:firstLine="640" w:firstLineChars="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保障相关应用系统稳定运行</w:t>
      </w:r>
    </w:p>
    <w:p w14:paraId="4ABE0CBD">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绩效目标：</w:t>
      </w:r>
      <w:r>
        <w:rPr>
          <w:rFonts w:hint="default" w:ascii="仿宋_GB2312" w:hAnsi="仿宋_GB2312" w:eastAsia="仿宋_GB2312" w:cs="仿宋_GB2312"/>
          <w:color w:val="auto"/>
          <w:sz w:val="32"/>
          <w:szCs w:val="32"/>
          <w:highlight w:val="none"/>
          <w:lang w:val="en-US" w:eastAsia="zh-CN"/>
        </w:rPr>
        <w:t>做好石家庄党政协同办公平台运行维护工作，提升网上办公效率；市委公务内网主站、电子公文系统、短信系统实现安全稳定运行。</w:t>
      </w:r>
    </w:p>
    <w:p w14:paraId="1C5312AF">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绩效指标：</w:t>
      </w:r>
      <w:r>
        <w:rPr>
          <w:rFonts w:hint="default" w:ascii="仿宋_GB2312" w:hAnsi="仿宋_GB2312" w:eastAsia="仿宋_GB2312" w:cs="仿宋_GB2312"/>
          <w:color w:val="auto"/>
          <w:sz w:val="32"/>
          <w:szCs w:val="32"/>
          <w:highlight w:val="none"/>
          <w:lang w:val="en-US" w:eastAsia="zh-CN"/>
        </w:rPr>
        <w:t>做好石家庄党政协同办公平台运行维护工作，保障办公平台各项功能模块信息畅通，确保办公平台高效稳定运行，出现故障及时进行处理，故障处理率大于 95%；市委公务内网主站、电子公文系统、短信系统等通过应用软件运行维护、技术改造与升级、数据库支持服务、定期系统巡检、网络与硬件调试与支持等手段，进行市委公务内网主站及相关系统维护，出现故障及时进行处理，故障解决率大于 95%，实现安全稳定运行。</w:t>
      </w:r>
    </w:p>
    <w:p w14:paraId="13F55D72">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3" w:firstLineChars="200"/>
        <w:textAlignment w:val="auto"/>
        <w:rPr>
          <w:rFonts w:hint="default" w:ascii="仿宋_GB2312" w:hAnsi="仿宋_GB2312" w:eastAsia="仿宋_GB2312" w:cs="仿宋_GB2312"/>
          <w:b/>
          <w:bCs/>
          <w:color w:val="auto"/>
          <w:sz w:val="32"/>
          <w:szCs w:val="32"/>
          <w:highlight w:val="none"/>
          <w:lang w:val="en-US" w:eastAsia="zh-CN"/>
        </w:rPr>
      </w:pPr>
      <w:r>
        <w:rPr>
          <w:rFonts w:hint="default" w:ascii="仿宋_GB2312" w:hAnsi="仿宋_GB2312" w:eastAsia="仿宋_GB2312" w:cs="仿宋_GB2312"/>
          <w:b/>
          <w:bCs/>
          <w:color w:val="auto"/>
          <w:sz w:val="32"/>
          <w:szCs w:val="32"/>
          <w:highlight w:val="none"/>
          <w:lang w:val="en-US" w:eastAsia="zh-CN"/>
        </w:rPr>
        <w:t>分项绩效目标实现情况：</w:t>
      </w:r>
    </w:p>
    <w:p w14:paraId="7C8876AE">
      <w:pPr>
        <w:pStyle w:val="3"/>
        <w:keepNext w:val="0"/>
        <w:keepLines w:val="0"/>
        <w:pageBreakBefore w:val="0"/>
        <w:widowControl w:val="0"/>
        <w:numPr>
          <w:ilvl w:val="2"/>
          <w:numId w:val="15"/>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党政协同办公效能大幅跃升。不断完善一体化党政协同办公平台功能，目前平台共接入各类单位1931个，注册用户数12513个，较2023年初新增接入单位849个，新增用户4379个。据统计，自2022年10月1日办公平台上线至今，累计流转文件90.7万余件，政府系统文件电子化率达到了90%以上。市政府日均办理电子公文1290件，文件办结最快用时为13分20秒，为工作效率提升和机关作风改善提供了有力支撑。</w:t>
      </w:r>
    </w:p>
    <w:p w14:paraId="64798146">
      <w:pPr>
        <w:pStyle w:val="3"/>
        <w:keepNext w:val="0"/>
        <w:keepLines w:val="0"/>
        <w:pageBreakBefore w:val="0"/>
        <w:widowControl w:val="0"/>
        <w:numPr>
          <w:ilvl w:val="2"/>
          <w:numId w:val="15"/>
        </w:numPr>
        <w:kinsoku/>
        <w:wordWrap/>
        <w:overflowPunct/>
        <w:topLinePunct w:val="0"/>
        <w:autoSpaceDE/>
        <w:autoSpaceDN/>
        <w:bidi w:val="0"/>
        <w:adjustRightInd/>
        <w:snapToGrid/>
        <w:spacing w:after="0" w:line="576" w:lineRule="exact"/>
        <w:ind w:left="0" w:leftChars="0" w:right="0" w:rightChars="0"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 xml:space="preserve">做好石家庄党政协同办公平台运行维护工作，提升网上办公效率，办公平台各项功能模块信息畅通，办公平台高效稳定运行，出现故障及时进行处理，故障处理率100%；市委公务内网主站、电子公文系统、短信系统通过技术改造与升级、数据库支持服务、定期系统巡检、网络与硬件调试、持续支持与维护，出现故障及时进行处理，故障解决率100%，实现安全稳定运行。 </w:t>
      </w:r>
    </w:p>
    <w:p w14:paraId="29A1F429">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四、评价结论和评价等级</w:t>
      </w:r>
    </w:p>
    <w:p w14:paraId="277294A6">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default" w:ascii="仿宋_GB2312" w:hAnsi="仿宋_GB2312" w:eastAsia="仿宋_GB2312" w:cs="仿宋_GB2312"/>
          <w:color w:val="auto"/>
          <w:sz w:val="32"/>
          <w:szCs w:val="32"/>
          <w:highlight w:val="none"/>
          <w:lang w:val="en-US" w:eastAsia="zh-CN"/>
        </w:rPr>
        <w:t>我局通过查阅文件、收集资料，核实数据、对比指标等方式，根据部门职责定位和各项工作履职情况进行综合评价。经过评价，部门整体支出绩效综合评价最终得分为97.6分，评价结果为优秀，分项得分如下表。</w:t>
      </w:r>
    </w:p>
    <w:tbl>
      <w:tblPr>
        <w:tblStyle w:val="6"/>
        <w:tblW w:w="506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784"/>
        <w:gridCol w:w="4007"/>
        <w:gridCol w:w="1060"/>
        <w:gridCol w:w="1079"/>
        <w:gridCol w:w="1240"/>
      </w:tblGrid>
      <w:tr w14:paraId="0B421F9F">
        <w:trPr>
          <w:trHeight w:val="280" w:hRule="atLeast"/>
        </w:trPr>
        <w:tc>
          <w:tcPr>
            <w:tcW w:w="97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2870E">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一级指标</w:t>
            </w: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E86E6">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二级指标</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65C0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分值</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95FF6">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得分</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1E55D">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得分率</w:t>
            </w:r>
          </w:p>
        </w:tc>
      </w:tr>
      <w:tr w14:paraId="45A52282">
        <w:trPr>
          <w:trHeight w:val="280" w:hRule="atLeast"/>
        </w:trPr>
        <w:tc>
          <w:tcPr>
            <w:tcW w:w="9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BE4CD">
            <w:pPr>
              <w:keepNext w:val="0"/>
              <w:keepLines w:val="0"/>
              <w:widowControl/>
              <w:suppressLineNumbers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部门决策</w:t>
            </w:r>
          </w:p>
          <w:p w14:paraId="2778195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（15分）</w:t>
            </w: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70C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目标设定</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91AD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09B3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8</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C86A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100</w:t>
            </w:r>
            <w:r>
              <w:rPr>
                <w:rFonts w:hint="eastAsia" w:ascii="宋体" w:hAnsi="宋体" w:eastAsia="宋体" w:cs="宋体"/>
                <w:i w:val="0"/>
                <w:iCs w:val="0"/>
                <w:color w:val="auto"/>
                <w:kern w:val="0"/>
                <w:sz w:val="24"/>
                <w:szCs w:val="24"/>
                <w:highlight w:val="none"/>
                <w:u w:val="none"/>
                <w:lang w:val="en-US" w:eastAsia="zh-CN" w:bidi="ar"/>
              </w:rPr>
              <w:t>%</w:t>
            </w:r>
          </w:p>
        </w:tc>
      </w:tr>
      <w:tr w14:paraId="670C82A5">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DA76F">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6BAC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预算配置</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FA34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7</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2220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625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85.71%</w:t>
            </w:r>
          </w:p>
        </w:tc>
      </w:tr>
      <w:tr w14:paraId="6DF61364">
        <w:trPr>
          <w:trHeight w:val="280" w:hRule="atLeast"/>
        </w:trPr>
        <w:tc>
          <w:tcPr>
            <w:tcW w:w="97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78DD2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部门管理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（20分）</w:t>
            </w: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08026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预算执行</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7998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7EF7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8BB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00.00%</w:t>
            </w:r>
          </w:p>
        </w:tc>
      </w:tr>
      <w:tr w14:paraId="6A091BDE">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A5D03">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72E9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财务管理</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A4C5D">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93EB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E365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62A9C42B">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120258">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9599D">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内控制度建设</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6048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D0E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94A9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00.00%</w:t>
            </w:r>
          </w:p>
        </w:tc>
      </w:tr>
      <w:tr w14:paraId="57A5AAFB">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54DEA9">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C970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党建工作</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6BAC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3B51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227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5C402869">
        <w:trPr>
          <w:trHeight w:val="280" w:hRule="atLeast"/>
        </w:trPr>
        <w:tc>
          <w:tcPr>
            <w:tcW w:w="972" w:type="pct"/>
            <w:vMerge w:val="restart"/>
            <w:tcBorders>
              <w:top w:val="single" w:color="000000" w:sz="4" w:space="0"/>
              <w:left w:val="single" w:color="000000" w:sz="4" w:space="0"/>
              <w:bottom w:val="nil"/>
              <w:right w:val="single" w:color="000000" w:sz="4" w:space="0"/>
            </w:tcBorders>
            <w:shd w:val="clear" w:color="auto" w:fill="auto"/>
            <w:vAlign w:val="center"/>
          </w:tcPr>
          <w:p w14:paraId="73F6722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部门职责履行（40分）</w:t>
            </w: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3700C">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数字政府顶层设计与运行机制建设</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CF87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E9206">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7</w:t>
            </w:r>
            <w:r>
              <w:rPr>
                <w:rFonts w:hint="eastAsia" w:ascii="宋体" w:hAnsi="宋体" w:cs="宋体"/>
                <w:i w:val="0"/>
                <w:iCs w:val="0"/>
                <w:color w:val="auto"/>
                <w:kern w:val="0"/>
                <w:sz w:val="24"/>
                <w:szCs w:val="24"/>
                <w:highlight w:val="none"/>
                <w:u w:val="none"/>
                <w:lang w:val="en-US" w:eastAsia="zh-CN" w:bidi="ar"/>
              </w:rPr>
              <w:t>.8</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AD52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r>
              <w:rPr>
                <w:rFonts w:hint="eastAsia" w:ascii="宋体" w:hAnsi="宋体" w:cs="宋体"/>
                <w:i w:val="0"/>
                <w:iCs w:val="0"/>
                <w:color w:val="auto"/>
                <w:kern w:val="0"/>
                <w:sz w:val="24"/>
                <w:szCs w:val="24"/>
                <w:highlight w:val="none"/>
                <w:u w:val="none"/>
                <w:lang w:val="en-US" w:eastAsia="zh-CN" w:bidi="ar"/>
              </w:rPr>
              <w:t>7.50</w:t>
            </w:r>
            <w:r>
              <w:rPr>
                <w:rFonts w:hint="eastAsia" w:ascii="宋体" w:hAnsi="宋体" w:eastAsia="宋体" w:cs="宋体"/>
                <w:i w:val="0"/>
                <w:iCs w:val="0"/>
                <w:color w:val="auto"/>
                <w:kern w:val="0"/>
                <w:sz w:val="24"/>
                <w:szCs w:val="24"/>
                <w:highlight w:val="none"/>
                <w:u w:val="none"/>
                <w:lang w:val="en-US" w:eastAsia="zh-CN" w:bidi="ar"/>
              </w:rPr>
              <w:t>%</w:t>
            </w:r>
          </w:p>
        </w:tc>
      </w:tr>
      <w:tr w14:paraId="4999DAE6">
        <w:trPr>
          <w:trHeight w:val="280" w:hRule="atLeast"/>
        </w:trPr>
        <w:tc>
          <w:tcPr>
            <w:tcW w:w="972" w:type="pct"/>
            <w:vMerge w:val="continue"/>
            <w:tcBorders>
              <w:top w:val="single" w:color="000000" w:sz="4" w:space="0"/>
              <w:left w:val="single" w:color="000000" w:sz="4" w:space="0"/>
              <w:bottom w:val="nil"/>
              <w:right w:val="single" w:color="000000" w:sz="4" w:space="0"/>
            </w:tcBorders>
            <w:shd w:val="clear" w:color="auto" w:fill="auto"/>
            <w:vAlign w:val="center"/>
          </w:tcPr>
          <w:p w14:paraId="7520BD48">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E281F">
            <w:pPr>
              <w:keepNext w:val="0"/>
              <w:keepLines w:val="0"/>
              <w:pageBreakBefore w:val="0"/>
              <w:widowControl/>
              <w:suppressLineNumbers w:val="0"/>
              <w:kinsoku/>
              <w:wordWrap/>
              <w:overflowPunct/>
              <w:topLinePunct w:val="0"/>
              <w:autoSpaceDE/>
              <w:autoSpaceDN/>
              <w:bidi w:val="0"/>
              <w:adjustRightInd/>
              <w:snapToGrid/>
              <w:spacing w:line="240" w:lineRule="atLeast"/>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政务服务数字化支撑能力建设</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025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10</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E1D74">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9.8</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8759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r>
              <w:rPr>
                <w:rFonts w:hint="eastAsia" w:ascii="宋体" w:hAnsi="宋体" w:cs="宋体"/>
                <w:i w:val="0"/>
                <w:iCs w:val="0"/>
                <w:color w:val="auto"/>
                <w:kern w:val="0"/>
                <w:sz w:val="24"/>
                <w:szCs w:val="24"/>
                <w:highlight w:val="none"/>
                <w:u w:val="none"/>
                <w:lang w:val="en-US" w:eastAsia="zh-CN" w:bidi="ar"/>
              </w:rPr>
              <w:t>8.00</w:t>
            </w:r>
            <w:r>
              <w:rPr>
                <w:rFonts w:hint="eastAsia" w:ascii="宋体" w:hAnsi="宋体" w:eastAsia="宋体" w:cs="宋体"/>
                <w:i w:val="0"/>
                <w:iCs w:val="0"/>
                <w:color w:val="auto"/>
                <w:kern w:val="0"/>
                <w:sz w:val="24"/>
                <w:szCs w:val="24"/>
                <w:highlight w:val="none"/>
                <w:u w:val="none"/>
                <w:lang w:val="en-US" w:eastAsia="zh-CN" w:bidi="ar"/>
              </w:rPr>
              <w:t>%</w:t>
            </w:r>
          </w:p>
        </w:tc>
      </w:tr>
      <w:tr w14:paraId="06C3DD3D">
        <w:trPr>
          <w:trHeight w:val="280" w:hRule="atLeast"/>
        </w:trPr>
        <w:tc>
          <w:tcPr>
            <w:tcW w:w="972" w:type="pct"/>
            <w:vMerge w:val="continue"/>
            <w:tcBorders>
              <w:top w:val="single" w:color="000000" w:sz="4" w:space="0"/>
              <w:left w:val="single" w:color="000000" w:sz="4" w:space="0"/>
              <w:bottom w:val="nil"/>
              <w:right w:val="single" w:color="000000" w:sz="4" w:space="0"/>
            </w:tcBorders>
            <w:shd w:val="clear" w:color="auto" w:fill="auto"/>
            <w:vAlign w:val="center"/>
          </w:tcPr>
          <w:p w14:paraId="02000BBB">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73C22">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公共数据资源管理与共享</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5AF2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6</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BE77E">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5.6</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F7C8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93.33</w:t>
            </w:r>
            <w:r>
              <w:rPr>
                <w:rFonts w:hint="eastAsia" w:ascii="宋体" w:hAnsi="宋体" w:eastAsia="宋体" w:cs="宋体"/>
                <w:i w:val="0"/>
                <w:iCs w:val="0"/>
                <w:color w:val="auto"/>
                <w:kern w:val="0"/>
                <w:sz w:val="24"/>
                <w:szCs w:val="24"/>
                <w:highlight w:val="none"/>
                <w:u w:val="none"/>
                <w:lang w:val="en-US" w:eastAsia="zh-CN" w:bidi="ar"/>
              </w:rPr>
              <w:t>%</w:t>
            </w:r>
          </w:p>
        </w:tc>
      </w:tr>
      <w:tr w14:paraId="1D753316">
        <w:trPr>
          <w:trHeight w:val="280" w:hRule="atLeast"/>
        </w:trPr>
        <w:tc>
          <w:tcPr>
            <w:tcW w:w="972" w:type="pct"/>
            <w:vMerge w:val="continue"/>
            <w:tcBorders>
              <w:top w:val="single" w:color="000000" w:sz="4" w:space="0"/>
              <w:left w:val="single" w:color="000000" w:sz="4" w:space="0"/>
              <w:bottom w:val="nil"/>
              <w:right w:val="single" w:color="000000" w:sz="4" w:space="0"/>
            </w:tcBorders>
            <w:shd w:val="clear" w:color="auto" w:fill="auto"/>
            <w:vAlign w:val="center"/>
          </w:tcPr>
          <w:p w14:paraId="26BE37BE">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86DD2">
            <w:pPr>
              <w:keepNext w:val="0"/>
              <w:keepLines w:val="0"/>
              <w:widowControl/>
              <w:suppressLineNumbers w:val="0"/>
              <w:jc w:val="both"/>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电子政务应用建设与推广</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A73B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E240E">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7.6</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47ED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95.00</w:t>
            </w:r>
            <w:r>
              <w:rPr>
                <w:rFonts w:hint="eastAsia" w:ascii="宋体" w:hAnsi="宋体" w:eastAsia="宋体" w:cs="宋体"/>
                <w:i w:val="0"/>
                <w:iCs w:val="0"/>
                <w:color w:val="auto"/>
                <w:kern w:val="0"/>
                <w:sz w:val="24"/>
                <w:szCs w:val="24"/>
                <w:highlight w:val="none"/>
                <w:u w:val="none"/>
                <w:lang w:val="en-US" w:eastAsia="zh-CN" w:bidi="ar"/>
              </w:rPr>
              <w:t>%</w:t>
            </w:r>
          </w:p>
        </w:tc>
      </w:tr>
      <w:tr w14:paraId="7B62C767">
        <w:trPr>
          <w:trHeight w:val="280" w:hRule="atLeast"/>
        </w:trPr>
        <w:tc>
          <w:tcPr>
            <w:tcW w:w="972" w:type="pct"/>
            <w:vMerge w:val="continue"/>
            <w:tcBorders>
              <w:top w:val="single" w:color="000000" w:sz="4" w:space="0"/>
              <w:left w:val="single" w:color="000000" w:sz="4" w:space="0"/>
              <w:bottom w:val="nil"/>
              <w:right w:val="single" w:color="000000" w:sz="4" w:space="0"/>
            </w:tcBorders>
            <w:shd w:val="clear" w:color="auto" w:fill="auto"/>
            <w:vAlign w:val="center"/>
          </w:tcPr>
          <w:p w14:paraId="33B6B121">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B62DB">
            <w:pPr>
              <w:keepNext w:val="0"/>
              <w:keepLines w:val="0"/>
              <w:widowControl/>
              <w:suppressLineNumbers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全市数据资源安全保障体系建设与指导</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C13B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7195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cs="宋体"/>
                <w:i w:val="0"/>
                <w:iCs w:val="0"/>
                <w:color w:val="auto"/>
                <w:sz w:val="24"/>
                <w:szCs w:val="24"/>
                <w:highlight w:val="none"/>
                <w:u w:val="none"/>
                <w:lang w:val="en-US" w:eastAsia="zh-CN"/>
              </w:rPr>
              <w:t>8</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78E1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00.00%</w:t>
            </w:r>
          </w:p>
        </w:tc>
      </w:tr>
      <w:tr w14:paraId="018E51B3">
        <w:trPr>
          <w:trHeight w:val="280" w:hRule="atLeast"/>
        </w:trPr>
        <w:tc>
          <w:tcPr>
            <w:tcW w:w="972"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FC9E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部门履职效益</w:t>
            </w:r>
            <w:r>
              <w:rPr>
                <w:rFonts w:hint="eastAsia" w:ascii="宋体" w:hAnsi="宋体" w:cs="宋体"/>
                <w:i w:val="0"/>
                <w:iCs w:val="0"/>
                <w:color w:val="auto"/>
                <w:kern w:val="0"/>
                <w:sz w:val="24"/>
                <w:szCs w:val="24"/>
                <w:highlight w:val="none"/>
                <w:u w:val="none"/>
                <w:lang w:val="en-US" w:eastAsia="zh-CN" w:bidi="ar"/>
              </w:rPr>
              <w:t>（25分）</w:t>
            </w: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3476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社会效益</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D732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34739">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CEE4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0CD85ED7">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BDCFF">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D17A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可持续影响</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4B4D1">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A6EE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00F69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5EB4AD52">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A86EA">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32185">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生态效益</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97AE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15437">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01F0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3E8FA0F2">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E7C33">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67AE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可持续发展</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761F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5FD9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AE1A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100.00%</w:t>
            </w:r>
          </w:p>
        </w:tc>
      </w:tr>
      <w:tr w14:paraId="4F61825B">
        <w:trPr>
          <w:trHeight w:val="280" w:hRule="atLeast"/>
        </w:trPr>
        <w:tc>
          <w:tcPr>
            <w:tcW w:w="972"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93D12">
            <w:pPr>
              <w:jc w:val="center"/>
              <w:rPr>
                <w:rFonts w:hint="eastAsia" w:ascii="宋体" w:hAnsi="宋体" w:eastAsia="宋体" w:cs="宋体"/>
                <w:i w:val="0"/>
                <w:iCs w:val="0"/>
                <w:color w:val="auto"/>
                <w:sz w:val="24"/>
                <w:szCs w:val="24"/>
                <w:highlight w:val="none"/>
                <w:u w:val="none"/>
              </w:rPr>
            </w:pPr>
          </w:p>
        </w:tc>
        <w:tc>
          <w:tcPr>
            <w:tcW w:w="218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BB363">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服务对象满意度</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3DCB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AACBE">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4</w:t>
            </w:r>
            <w:r>
              <w:rPr>
                <w:rFonts w:hint="eastAsia" w:ascii="宋体" w:hAnsi="宋体" w:cs="宋体"/>
                <w:i w:val="0"/>
                <w:iCs w:val="0"/>
                <w:color w:val="auto"/>
                <w:kern w:val="0"/>
                <w:sz w:val="24"/>
                <w:szCs w:val="24"/>
                <w:highlight w:val="none"/>
                <w:u w:val="none"/>
                <w:lang w:val="en-US" w:eastAsia="zh-CN" w:bidi="ar"/>
              </w:rPr>
              <w:t>.8</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D9E6B">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r>
              <w:rPr>
                <w:rFonts w:hint="eastAsia" w:ascii="宋体" w:hAnsi="宋体" w:cs="宋体"/>
                <w:i w:val="0"/>
                <w:iCs w:val="0"/>
                <w:color w:val="auto"/>
                <w:kern w:val="0"/>
                <w:sz w:val="24"/>
                <w:szCs w:val="24"/>
                <w:highlight w:val="none"/>
                <w:u w:val="none"/>
                <w:lang w:val="en-US" w:eastAsia="zh-CN" w:bidi="ar"/>
              </w:rPr>
              <w:t>6</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0</w:t>
            </w:r>
            <w:r>
              <w:rPr>
                <w:rFonts w:hint="eastAsia" w:ascii="宋体" w:hAnsi="宋体" w:eastAsia="宋体" w:cs="宋体"/>
                <w:i w:val="0"/>
                <w:iCs w:val="0"/>
                <w:color w:val="auto"/>
                <w:kern w:val="0"/>
                <w:sz w:val="24"/>
                <w:szCs w:val="24"/>
                <w:highlight w:val="none"/>
                <w:u w:val="none"/>
                <w:lang w:val="en-US" w:eastAsia="zh-CN" w:bidi="ar"/>
              </w:rPr>
              <w:t>0%</w:t>
            </w:r>
          </w:p>
        </w:tc>
      </w:tr>
      <w:tr w14:paraId="151F572B">
        <w:trPr>
          <w:trHeight w:val="280" w:hRule="atLeast"/>
        </w:trPr>
        <w:tc>
          <w:tcPr>
            <w:tcW w:w="3157"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1548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合 计</w:t>
            </w:r>
          </w:p>
        </w:tc>
        <w:tc>
          <w:tcPr>
            <w:tcW w:w="57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456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100</w:t>
            </w:r>
          </w:p>
        </w:tc>
        <w:tc>
          <w:tcPr>
            <w:tcW w:w="58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BD30A">
            <w:pPr>
              <w:keepNext w:val="0"/>
              <w:keepLines w:val="0"/>
              <w:widowControl/>
              <w:suppressLineNumbers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9</w:t>
            </w:r>
            <w:r>
              <w:rPr>
                <w:rFonts w:hint="eastAsia" w:ascii="宋体" w:hAnsi="宋体" w:cs="宋体"/>
                <w:i w:val="0"/>
                <w:iCs w:val="0"/>
                <w:color w:val="auto"/>
                <w:kern w:val="0"/>
                <w:sz w:val="24"/>
                <w:szCs w:val="24"/>
                <w:highlight w:val="none"/>
                <w:u w:val="none"/>
                <w:lang w:val="en-US" w:eastAsia="zh-CN" w:bidi="ar"/>
              </w:rPr>
              <w:t>7.6</w:t>
            </w:r>
          </w:p>
        </w:tc>
        <w:tc>
          <w:tcPr>
            <w:tcW w:w="67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59774">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r>
              <w:rPr>
                <w:rFonts w:hint="eastAsia" w:ascii="宋体" w:hAnsi="宋体" w:cs="宋体"/>
                <w:i w:val="0"/>
                <w:iCs w:val="0"/>
                <w:color w:val="auto"/>
                <w:kern w:val="0"/>
                <w:sz w:val="24"/>
                <w:szCs w:val="24"/>
                <w:highlight w:val="none"/>
                <w:u w:val="none"/>
                <w:lang w:val="en-US" w:eastAsia="zh-CN" w:bidi="ar"/>
              </w:rPr>
              <w:t>7.6</w:t>
            </w:r>
            <w:r>
              <w:rPr>
                <w:rFonts w:hint="eastAsia" w:ascii="宋体" w:hAnsi="宋体" w:eastAsia="宋体" w:cs="宋体"/>
                <w:i w:val="0"/>
                <w:iCs w:val="0"/>
                <w:color w:val="auto"/>
                <w:kern w:val="0"/>
                <w:sz w:val="24"/>
                <w:szCs w:val="24"/>
                <w:highlight w:val="none"/>
                <w:u w:val="none"/>
                <w:lang w:val="en-US" w:eastAsia="zh-CN" w:bidi="ar"/>
              </w:rPr>
              <w:t>%</w:t>
            </w:r>
          </w:p>
        </w:tc>
      </w:tr>
    </w:tbl>
    <w:p w14:paraId="1B27A3CC">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6A0073BF">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五、存在的问题及改进措施</w:t>
      </w:r>
    </w:p>
    <w:p w14:paraId="1E54C48F">
      <w:pPr>
        <w:pStyle w:val="2"/>
        <w:keepNext w:val="0"/>
        <w:keepLines w:val="0"/>
        <w:pageBreakBefore w:val="0"/>
        <w:widowControl w:val="0"/>
        <w:numPr>
          <w:ilvl w:val="0"/>
          <w:numId w:val="0"/>
        </w:numPr>
        <w:kinsoku/>
        <w:wordWrap/>
        <w:overflowPunct/>
        <w:topLinePunct w:val="0"/>
        <w:autoSpaceDE/>
        <w:autoSpaceDN/>
        <w:bidi w:val="0"/>
        <w:adjustRightInd w:val="0"/>
        <w:snapToGrid/>
        <w:spacing w:line="540" w:lineRule="exact"/>
        <w:ind w:leftChars="0" w:firstLine="640" w:firstLineChars="200"/>
        <w:jc w:val="both"/>
        <w:textAlignment w:val="baseline"/>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（一）存在的主要问题</w:t>
      </w:r>
    </w:p>
    <w:p w14:paraId="3E5700F1">
      <w:pPr>
        <w:pStyle w:val="3"/>
        <w:keepNext w:val="0"/>
        <w:keepLines w:val="0"/>
        <w:pageBreakBefore w:val="0"/>
        <w:widowControl w:val="0"/>
        <w:numPr>
          <w:ilvl w:val="1"/>
          <w:numId w:val="16"/>
        </w:numPr>
        <w:kinsoku/>
        <w:wordWrap/>
        <w:overflowPunct/>
        <w:topLinePunct w:val="0"/>
        <w:autoSpaceDE/>
        <w:autoSpaceDN/>
        <w:bidi w:val="0"/>
        <w:adjustRightInd/>
        <w:snapToGrid/>
        <w:spacing w:after="0" w:line="540"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数字政府市县统筹建设有待加强</w:t>
      </w:r>
    </w:p>
    <w:p w14:paraId="4DD49AE2">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由于机构设置不统一、建设经费分级负责等原因，我市目前市、县两级统一规划和统筹管理还有差距。同时受到经济、资源、人才等因素影响，整体看各县（市、区）数字政府建设水平参差不齐，步伐不一致。</w:t>
      </w:r>
    </w:p>
    <w:p w14:paraId="32A24F72">
      <w:pPr>
        <w:pStyle w:val="3"/>
        <w:keepNext w:val="0"/>
        <w:keepLines w:val="0"/>
        <w:pageBreakBefore w:val="0"/>
        <w:widowControl w:val="0"/>
        <w:numPr>
          <w:ilvl w:val="1"/>
          <w:numId w:val="16"/>
        </w:numPr>
        <w:kinsoku/>
        <w:wordWrap/>
        <w:overflowPunct/>
        <w:topLinePunct w:val="0"/>
        <w:autoSpaceDE/>
        <w:autoSpaceDN/>
        <w:bidi w:val="0"/>
        <w:adjustRightInd/>
        <w:snapToGrid/>
        <w:spacing w:after="0" w:line="540"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数据资源体系建设有待完善</w:t>
      </w:r>
    </w:p>
    <w:p w14:paraId="7518ECD5">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对标国家、省一体化政务大数据体系建设要求，我市政务大数据体系还存在数据资源底数不清、基础支撑能力有待提高、安全保障能力需要强化等问题，亟需加强数据资源统筹管理，持续提升大数据平台能力。</w:t>
      </w:r>
    </w:p>
    <w:p w14:paraId="13D6E523">
      <w:pPr>
        <w:pStyle w:val="3"/>
        <w:keepNext w:val="0"/>
        <w:keepLines w:val="0"/>
        <w:pageBreakBefore w:val="0"/>
        <w:widowControl w:val="0"/>
        <w:numPr>
          <w:ilvl w:val="1"/>
          <w:numId w:val="16"/>
        </w:numPr>
        <w:kinsoku/>
        <w:wordWrap/>
        <w:overflowPunct/>
        <w:topLinePunct w:val="0"/>
        <w:autoSpaceDE/>
        <w:autoSpaceDN/>
        <w:bidi w:val="0"/>
        <w:adjustRightInd/>
        <w:snapToGrid/>
        <w:spacing w:after="0" w:line="540" w:lineRule="exact"/>
        <w:ind w:left="0" w:leftChars="0" w:right="0" w:rightChars="0"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服务于企业、服务群众的意识还有待加强</w:t>
      </w:r>
    </w:p>
    <w:p w14:paraId="3B3B62CA">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与企业和群众联系不够紧密，有些工作还单纯定位于技术支撑，没有做到从企业和群众的角度出发，企业和群众常用、刚需的服务应用还需增加。</w:t>
      </w:r>
    </w:p>
    <w:p w14:paraId="4C19ABD4">
      <w:pPr>
        <w:pStyle w:val="2"/>
        <w:keepNext w:val="0"/>
        <w:keepLines w:val="0"/>
        <w:pageBreakBefore w:val="0"/>
        <w:widowControl w:val="0"/>
        <w:numPr>
          <w:ilvl w:val="0"/>
          <w:numId w:val="0"/>
        </w:numPr>
        <w:kinsoku/>
        <w:wordWrap/>
        <w:overflowPunct/>
        <w:topLinePunct w:val="0"/>
        <w:autoSpaceDE/>
        <w:autoSpaceDN/>
        <w:bidi w:val="0"/>
        <w:adjustRightInd w:val="0"/>
        <w:snapToGrid/>
        <w:spacing w:line="540" w:lineRule="exact"/>
        <w:ind w:leftChars="0" w:firstLine="640" w:firstLineChars="200"/>
        <w:jc w:val="both"/>
        <w:textAlignment w:val="baseline"/>
        <w:rPr>
          <w:rFonts w:hint="eastAsia" w:ascii="楷体_GB2312" w:hAnsi="楷体_GB2312" w:eastAsia="楷体_GB2312" w:cs="楷体_GB2312"/>
          <w:color w:val="auto"/>
          <w:kern w:val="2"/>
          <w:sz w:val="32"/>
          <w:szCs w:val="32"/>
          <w:highlight w:val="none"/>
          <w:lang w:val="en-US" w:eastAsia="zh-CN" w:bidi="ar-SA"/>
        </w:rPr>
      </w:pPr>
      <w:r>
        <w:rPr>
          <w:rFonts w:hint="eastAsia" w:ascii="楷体_GB2312" w:hAnsi="楷体_GB2312" w:eastAsia="楷体_GB2312" w:cs="楷体_GB2312"/>
          <w:color w:val="auto"/>
          <w:kern w:val="2"/>
          <w:sz w:val="32"/>
          <w:szCs w:val="32"/>
          <w:highlight w:val="none"/>
          <w:lang w:val="en-US" w:eastAsia="zh-CN" w:bidi="ar-SA"/>
        </w:rPr>
        <w:t>（二）针对问题提出具体的改进措施或建议</w:t>
      </w:r>
    </w:p>
    <w:p w14:paraId="2C37F37D">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建议一：建立各项政策规划、年度任务分解落实机制。</w:t>
      </w:r>
    </w:p>
    <w:p w14:paraId="4261E238">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建立各项政策与规划、年度工作任务从数据局整体向机关各处室、下级管理机构（电子政务中心）的分解落实机制，明确各项工作任务具体目标、路线图与时间表。</w:t>
      </w:r>
    </w:p>
    <w:p w14:paraId="179AADFE">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建议二：持续提升行业发展能力，推动数字政府、数字社会、数字民生建设事业的高质量发展。</w:t>
      </w:r>
    </w:p>
    <w:p w14:paraId="45AE490C">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以推动高质量发展为主题，以建设数字石家庄为总目标，持续提升行业发展能力，对标更先进的区域，“跳出石家庄、跳出河北，站位全国看石家庄”，推动数字社会、数字政府、数字民生建设，发挥信息化对经济社会发展的驱动引领作用。</w:t>
      </w:r>
    </w:p>
    <w:p w14:paraId="139BB93E">
      <w:pPr>
        <w:pStyle w:val="3"/>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right="0" w:rightChars="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建议三：以“石i民”“石i企”两个APP应用为载体，从“方便群众、服务民生”的角度增加更多的便捷应用，让数字化便民应用成为石家庄的另一张城市名片。</w:t>
      </w:r>
    </w:p>
    <w:p w14:paraId="3D0B2536">
      <w:pPr>
        <w:pStyle w:val="3"/>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right="0" w:rightChars="0"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黑体" w:hAnsi="黑体" w:eastAsia="黑体" w:cs="黑体"/>
          <w:color w:val="auto"/>
          <w:sz w:val="32"/>
          <w:szCs w:val="32"/>
          <w:highlight w:val="none"/>
          <w:lang w:val="en-US" w:eastAsia="zh-CN"/>
        </w:rPr>
        <w:t>六、评价工作组人员名单及签字</w:t>
      </w:r>
    </w:p>
    <w:tbl>
      <w:tblPr>
        <w:tblStyle w:val="6"/>
        <w:tblW w:w="8626" w:type="dxa"/>
        <w:tblInd w:w="0" w:type="dxa"/>
        <w:shd w:val="clear" w:color="auto" w:fill="auto"/>
        <w:tblLayout w:type="fixed"/>
        <w:tblCellMar>
          <w:top w:w="0" w:type="dxa"/>
          <w:left w:w="108" w:type="dxa"/>
          <w:bottom w:w="0" w:type="dxa"/>
          <w:right w:w="108" w:type="dxa"/>
        </w:tblCellMar>
      </w:tblPr>
      <w:tblGrid>
        <w:gridCol w:w="1681"/>
        <w:gridCol w:w="2609"/>
        <w:gridCol w:w="2864"/>
        <w:gridCol w:w="1472"/>
      </w:tblGrid>
      <w:tr w14:paraId="1F6F0318">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22571">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姓名</w:t>
            </w:r>
          </w:p>
        </w:tc>
        <w:tc>
          <w:tcPr>
            <w:tcW w:w="26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CDDFA">
            <w:pPr>
              <w:keepNext w:val="0"/>
              <w:keepLines w:val="0"/>
              <w:widowControl/>
              <w:suppressLineNumbers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工作单位</w:t>
            </w:r>
          </w:p>
        </w:tc>
        <w:tc>
          <w:tcPr>
            <w:tcW w:w="28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DA975">
            <w:pPr>
              <w:keepNext w:val="0"/>
              <w:keepLines w:val="0"/>
              <w:widowControl/>
              <w:suppressLineNumbers w:val="0"/>
              <w:jc w:val="center"/>
              <w:textAlignment w:val="center"/>
              <w:rPr>
                <w:rFonts w:hint="default" w:ascii="宋体" w:hAnsi="宋体" w:eastAsia="宋体" w:cs="宋体"/>
                <w:b/>
                <w:bCs/>
                <w:i w:val="0"/>
                <w:iCs w:val="0"/>
                <w:color w:val="auto"/>
                <w:sz w:val="24"/>
                <w:szCs w:val="24"/>
                <w:highlight w:val="none"/>
                <w:u w:val="none"/>
                <w:lang w:val="en-US"/>
              </w:rPr>
            </w:pPr>
            <w:r>
              <w:rPr>
                <w:rFonts w:hint="eastAsia" w:ascii="宋体" w:hAnsi="宋体" w:eastAsia="宋体" w:cs="宋体"/>
                <w:b/>
                <w:bCs/>
                <w:i w:val="0"/>
                <w:iCs w:val="0"/>
                <w:color w:val="auto"/>
                <w:kern w:val="0"/>
                <w:sz w:val="24"/>
                <w:szCs w:val="24"/>
                <w:highlight w:val="none"/>
                <w:u w:val="none"/>
                <w:lang w:val="en-US" w:eastAsia="zh-CN" w:bidi="ar"/>
              </w:rPr>
              <w:t>职务</w:t>
            </w:r>
            <w:r>
              <w:rPr>
                <w:rFonts w:hint="eastAsia" w:ascii="宋体" w:hAnsi="宋体" w:cs="宋体"/>
                <w:b/>
                <w:bCs/>
                <w:i w:val="0"/>
                <w:iCs w:val="0"/>
                <w:color w:val="auto"/>
                <w:kern w:val="0"/>
                <w:sz w:val="24"/>
                <w:szCs w:val="24"/>
                <w:highlight w:val="none"/>
                <w:u w:val="none"/>
                <w:lang w:val="en-US" w:eastAsia="zh-CN" w:bidi="ar"/>
              </w:rPr>
              <w:t>/</w:t>
            </w:r>
            <w:r>
              <w:rPr>
                <w:rFonts w:hint="eastAsia" w:ascii="宋体" w:hAnsi="宋体" w:eastAsia="宋体" w:cs="宋体"/>
                <w:b/>
                <w:bCs/>
                <w:i w:val="0"/>
                <w:iCs w:val="0"/>
                <w:color w:val="auto"/>
                <w:kern w:val="0"/>
                <w:sz w:val="24"/>
                <w:szCs w:val="24"/>
                <w:highlight w:val="none"/>
                <w:u w:val="none"/>
                <w:lang w:val="en-US" w:eastAsia="zh-CN" w:bidi="ar"/>
              </w:rPr>
              <w:t>职称</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D8243">
            <w:pPr>
              <w:keepNext w:val="0"/>
              <w:keepLines w:val="0"/>
              <w:widowControl/>
              <w:suppressLineNumbers w:val="0"/>
              <w:jc w:val="center"/>
              <w:textAlignment w:val="center"/>
              <w:rPr>
                <w:rFonts w:hint="default" w:ascii="宋体" w:hAnsi="宋体" w:eastAsia="宋体" w:cs="宋体"/>
                <w:b/>
                <w:bCs/>
                <w:i w:val="0"/>
                <w:iCs w:val="0"/>
                <w:color w:val="auto"/>
                <w:kern w:val="0"/>
                <w:sz w:val="24"/>
                <w:szCs w:val="24"/>
                <w:highlight w:val="none"/>
                <w:u w:val="none"/>
                <w:lang w:val="en-US" w:eastAsia="zh-CN" w:bidi="ar"/>
              </w:rPr>
            </w:pPr>
            <w:r>
              <w:rPr>
                <w:rFonts w:hint="eastAsia" w:ascii="宋体" w:hAnsi="宋体" w:cs="宋体"/>
                <w:b/>
                <w:bCs/>
                <w:i w:val="0"/>
                <w:iCs w:val="0"/>
                <w:color w:val="auto"/>
                <w:kern w:val="0"/>
                <w:sz w:val="24"/>
                <w:szCs w:val="24"/>
                <w:highlight w:val="none"/>
                <w:u w:val="none"/>
                <w:lang w:val="en-US" w:eastAsia="zh-CN" w:bidi="ar"/>
              </w:rPr>
              <w:t>签字</w:t>
            </w:r>
          </w:p>
        </w:tc>
      </w:tr>
      <w:tr w14:paraId="247F5AB4">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D72C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eastAsia="宋体" w:cs="宋体"/>
                <w:i w:val="0"/>
                <w:iCs w:val="0"/>
                <w:color w:val="auto"/>
                <w:sz w:val="24"/>
                <w:szCs w:val="24"/>
                <w:highlight w:val="none"/>
                <w:u w:val="none"/>
                <w:lang w:eastAsia="zh-CN"/>
              </w:rPr>
              <w:t>赵</w:t>
            </w:r>
            <w:r>
              <w:rPr>
                <w:rFonts w:hint="eastAsia" w:ascii="宋体" w:hAnsi="宋体" w:eastAsia="宋体" w:cs="宋体"/>
                <w:i w:val="0"/>
                <w:iCs w:val="0"/>
                <w:color w:val="auto"/>
                <w:sz w:val="24"/>
                <w:szCs w:val="24"/>
                <w:highlight w:val="none"/>
                <w:u w:val="none"/>
                <w:lang w:val="en-US" w:eastAsia="zh-CN"/>
              </w:rPr>
              <w:t xml:space="preserve">  </w:t>
            </w:r>
            <w:r>
              <w:rPr>
                <w:rFonts w:hint="eastAsia" w:ascii="宋体" w:hAnsi="宋体" w:eastAsia="宋体" w:cs="宋体"/>
                <w:i w:val="0"/>
                <w:iCs w:val="0"/>
                <w:color w:val="auto"/>
                <w:sz w:val="24"/>
                <w:szCs w:val="24"/>
                <w:highlight w:val="none"/>
                <w:u w:val="none"/>
                <w:lang w:eastAsia="zh-CN"/>
              </w:rPr>
              <w:t>琳</w:t>
            </w:r>
          </w:p>
        </w:tc>
        <w:tc>
          <w:tcPr>
            <w:tcW w:w="26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9850C">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cs="宋体"/>
                <w:i w:val="0"/>
                <w:iCs w:val="0"/>
                <w:color w:val="auto"/>
                <w:sz w:val="24"/>
                <w:szCs w:val="24"/>
                <w:highlight w:val="none"/>
                <w:u w:val="none"/>
                <w:lang w:eastAsia="zh-CN"/>
              </w:rPr>
              <w:t>石家庄市数据局</w:t>
            </w:r>
          </w:p>
        </w:tc>
        <w:tc>
          <w:tcPr>
            <w:tcW w:w="28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1D89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eastAsia="宋体" w:cs="宋体"/>
                <w:i w:val="0"/>
                <w:iCs w:val="0"/>
                <w:color w:val="auto"/>
                <w:sz w:val="24"/>
                <w:szCs w:val="24"/>
                <w:highlight w:val="none"/>
                <w:u w:val="none"/>
                <w:lang w:eastAsia="zh-CN"/>
              </w:rPr>
              <w:t>应用推广科科长</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58E96">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p>
        </w:tc>
      </w:tr>
      <w:tr w14:paraId="7D392C5B">
        <w:trPr>
          <w:trHeight w:val="552"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EAF8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cs="宋体"/>
                <w:i w:val="0"/>
                <w:iCs w:val="0"/>
                <w:color w:val="auto"/>
                <w:sz w:val="24"/>
                <w:szCs w:val="24"/>
                <w:highlight w:val="none"/>
                <w:u w:val="none"/>
                <w:lang w:eastAsia="zh-CN"/>
              </w:rPr>
              <w:t>赵文贺</w:t>
            </w:r>
          </w:p>
        </w:tc>
        <w:tc>
          <w:tcPr>
            <w:tcW w:w="26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F92A8">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cs="宋体"/>
                <w:i w:val="0"/>
                <w:iCs w:val="0"/>
                <w:color w:val="auto"/>
                <w:sz w:val="24"/>
                <w:szCs w:val="24"/>
                <w:highlight w:val="none"/>
                <w:u w:val="none"/>
                <w:lang w:eastAsia="zh-CN"/>
              </w:rPr>
              <w:t>石家庄市数据局</w:t>
            </w:r>
          </w:p>
        </w:tc>
        <w:tc>
          <w:tcPr>
            <w:tcW w:w="28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224A2">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eastAsia="宋体" w:cs="宋体"/>
                <w:i w:val="0"/>
                <w:iCs w:val="0"/>
                <w:color w:val="auto"/>
                <w:sz w:val="24"/>
                <w:szCs w:val="24"/>
                <w:highlight w:val="none"/>
                <w:u w:val="none"/>
                <w:lang w:eastAsia="zh-CN"/>
              </w:rPr>
              <w:t>应用推广科副</w:t>
            </w:r>
            <w:r>
              <w:rPr>
                <w:rFonts w:hint="eastAsia" w:ascii="宋体" w:hAnsi="宋体" w:cs="宋体"/>
                <w:i w:val="0"/>
                <w:iCs w:val="0"/>
                <w:color w:val="auto"/>
                <w:sz w:val="24"/>
                <w:szCs w:val="24"/>
                <w:highlight w:val="none"/>
                <w:u w:val="none"/>
                <w:lang w:eastAsia="zh-CN"/>
              </w:rPr>
              <w:t>科长</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E615A">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p>
        </w:tc>
      </w:tr>
      <w:tr w14:paraId="0F11C099">
        <w:trPr>
          <w:trHeight w:val="569" w:hRule="atLeast"/>
        </w:trPr>
        <w:tc>
          <w:tcPr>
            <w:tcW w:w="16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83D2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lang w:eastAsia="zh-CN"/>
              </w:rPr>
            </w:pPr>
            <w:r>
              <w:rPr>
                <w:rFonts w:hint="eastAsia" w:ascii="宋体" w:hAnsi="宋体" w:cs="宋体"/>
                <w:i w:val="0"/>
                <w:iCs w:val="0"/>
                <w:color w:val="auto"/>
                <w:sz w:val="24"/>
                <w:szCs w:val="24"/>
                <w:highlight w:val="none"/>
                <w:u w:val="none"/>
                <w:lang w:eastAsia="zh-CN"/>
              </w:rPr>
              <w:t>任小贺</w:t>
            </w:r>
          </w:p>
        </w:tc>
        <w:tc>
          <w:tcPr>
            <w:tcW w:w="26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0D3AE">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sz w:val="24"/>
                <w:szCs w:val="24"/>
                <w:highlight w:val="none"/>
                <w:u w:val="none"/>
                <w:lang w:eastAsia="zh-CN"/>
              </w:rPr>
              <w:t>石家庄市数据局</w:t>
            </w:r>
          </w:p>
        </w:tc>
        <w:tc>
          <w:tcPr>
            <w:tcW w:w="28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D7AA0">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sz w:val="24"/>
                <w:szCs w:val="24"/>
                <w:highlight w:val="none"/>
                <w:u w:val="none"/>
                <w:lang w:eastAsia="zh-CN"/>
              </w:rPr>
              <w:t>应用推广科</w:t>
            </w:r>
            <w:r>
              <w:rPr>
                <w:rFonts w:hint="eastAsia" w:ascii="宋体" w:hAnsi="宋体" w:cs="宋体"/>
                <w:i w:val="0"/>
                <w:iCs w:val="0"/>
                <w:color w:val="auto"/>
                <w:sz w:val="24"/>
                <w:szCs w:val="24"/>
                <w:highlight w:val="none"/>
                <w:u w:val="none"/>
                <w:lang w:eastAsia="zh-CN"/>
              </w:rPr>
              <w:t>三级</w:t>
            </w:r>
            <w:r>
              <w:rPr>
                <w:rFonts w:hint="eastAsia" w:ascii="宋体" w:hAnsi="宋体" w:eastAsia="宋体" w:cs="宋体"/>
                <w:i w:val="0"/>
                <w:iCs w:val="0"/>
                <w:color w:val="auto"/>
                <w:sz w:val="24"/>
                <w:szCs w:val="24"/>
                <w:highlight w:val="none"/>
                <w:u w:val="none"/>
                <w:lang w:eastAsia="zh-CN"/>
              </w:rPr>
              <w:t>主任科员</w:t>
            </w:r>
          </w:p>
        </w:tc>
        <w:tc>
          <w:tcPr>
            <w:tcW w:w="14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113BF">
            <w:pPr>
              <w:keepNext w:val="0"/>
              <w:keepLines w:val="0"/>
              <w:widowControl/>
              <w:suppressLineNumbers w:val="0"/>
              <w:jc w:val="center"/>
              <w:textAlignment w:val="center"/>
              <w:rPr>
                <w:rFonts w:hint="eastAsia" w:ascii="宋体" w:hAnsi="宋体" w:eastAsia="宋体" w:cs="宋体"/>
                <w:i w:val="0"/>
                <w:iCs w:val="0"/>
                <w:color w:val="auto"/>
                <w:sz w:val="24"/>
                <w:szCs w:val="24"/>
                <w:highlight w:val="none"/>
                <w:u w:val="none"/>
              </w:rPr>
            </w:pPr>
          </w:p>
        </w:tc>
      </w:tr>
    </w:tbl>
    <w:p w14:paraId="237D2A95">
      <w:pPr>
        <w:keepNext w:val="0"/>
        <w:keepLines w:val="0"/>
        <w:pageBreakBefore w:val="0"/>
        <w:kinsoku/>
        <w:wordWrap w:val="0"/>
        <w:overflowPunct/>
        <w:topLinePunct w:val="0"/>
        <w:autoSpaceDE/>
        <w:autoSpaceDN/>
        <w:bidi w:val="0"/>
        <w:spacing w:line="600" w:lineRule="exact"/>
        <w:jc w:val="both"/>
        <w:rPr>
          <w:rFonts w:hint="eastAsia"/>
          <w:color w:val="auto"/>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w:t>
      </w:r>
    </w:p>
    <w:p w14:paraId="0344914C">
      <w:pPr>
        <w:keepNext w:val="0"/>
        <w:keepLines w:val="0"/>
        <w:pageBreakBefore w:val="0"/>
        <w:kinsoku/>
        <w:wordWrap w:val="0"/>
        <w:overflowPunct/>
        <w:topLinePunct w:val="0"/>
        <w:autoSpaceDE/>
        <w:autoSpaceDN/>
        <w:bidi w:val="0"/>
        <w:spacing w:line="600" w:lineRule="exact"/>
        <w:ind w:firstLine="640" w:firstLineChars="200"/>
        <w:jc w:val="center"/>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石家庄市数据局    </w:t>
      </w:r>
    </w:p>
    <w:p w14:paraId="01F8449D">
      <w:pPr>
        <w:pStyle w:val="3"/>
        <w:keepNext w:val="0"/>
        <w:keepLines w:val="0"/>
        <w:pageBreakBefore w:val="0"/>
        <w:widowControl w:val="0"/>
        <w:numPr>
          <w:ilvl w:val="0"/>
          <w:numId w:val="0"/>
        </w:numPr>
        <w:kinsoku/>
        <w:wordWrap/>
        <w:overflowPunct/>
        <w:topLinePunct w:val="0"/>
        <w:autoSpaceDE/>
        <w:autoSpaceDN/>
        <w:bidi w:val="0"/>
        <w:adjustRightInd/>
        <w:snapToGrid/>
        <w:spacing w:after="0" w:line="576" w:lineRule="exact"/>
        <w:ind w:right="0" w:rightChars="0"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2024年4月19日</w:t>
      </w: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503050405090304"/>
    <w:charset w:val="7A"/>
    <w:family w:val="auto"/>
    <w:pitch w:val="default"/>
    <w:sig w:usb0="E0000AFF" w:usb1="00007843" w:usb2="00000001" w:usb3="00000000" w:csb0="400001BF" w:csb1="DFF7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FZXiaoBiaoSong-B05S">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00000001" w:usb1="08000000" w:usb2="00000000" w:usb3="00000000" w:csb0="00040000" w:csb1="00000000"/>
    <w:embedRegular r:id="rId1" w:fontKey="{7054557B-C688-E344-0FE4-CB68F36A291D}"/>
  </w:font>
  <w:font w:name="方正仿宋_GB2312">
    <w:panose1 w:val="02000000000000000000"/>
    <w:charset w:val="86"/>
    <w:family w:val="auto"/>
    <w:pitch w:val="default"/>
    <w:sig w:usb0="A00002BF" w:usb1="184F6CFA" w:usb2="00000012" w:usb3="00000000" w:csb0="00040001" w:csb1="00000000"/>
  </w:font>
  <w:font w:name="楷体_GB2312">
    <w:altName w:val="汉仪楷体简"/>
    <w:panose1 w:val="02010609030101010101"/>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汉仪书宋二KW">
    <w:panose1 w:val="00020600040101010101"/>
    <w:charset w:val="86"/>
    <w:family w:val="auto"/>
    <w:pitch w:val="default"/>
    <w:sig w:usb0="A00002BF" w:usb1="18EF7CFA" w:usb2="00000016" w:usb3="00000000" w:csb0="00040000" w:csb1="00000000"/>
  </w:font>
  <w:font w:name="Helvetica Neue">
    <w:panose1 w:val="02000503000000020004"/>
    <w:charset w:val="00"/>
    <w:family w:val="auto"/>
    <w:pitch w:val="default"/>
    <w:sig w:usb0="E50002FF" w:usb1="500079DB" w:usb2="00000010" w:usb3="00000000" w:csb0="00000000"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CC746">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C6CE89">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EC6CE89">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C4B791"/>
    <w:multiLevelType w:val="singleLevel"/>
    <w:tmpl w:val="A2C4B791"/>
    <w:lvl w:ilvl="0" w:tentative="0">
      <w:start w:val="1"/>
      <w:numFmt w:val="decimal"/>
      <w:suff w:val="nothing"/>
      <w:lvlText w:val="%1．"/>
      <w:lvlJc w:val="left"/>
      <w:pPr>
        <w:ind w:left="0" w:firstLine="400"/>
      </w:pPr>
      <w:rPr>
        <w:rFonts w:hint="default" w:ascii="Times New Roman" w:hAnsi="Times New Roman" w:cs="Times New Roman"/>
      </w:rPr>
    </w:lvl>
  </w:abstractNum>
  <w:abstractNum w:abstractNumId="1">
    <w:nsid w:val="AA15441F"/>
    <w:multiLevelType w:val="singleLevel"/>
    <w:tmpl w:val="AA15441F"/>
    <w:lvl w:ilvl="0" w:tentative="0">
      <w:start w:val="1"/>
      <w:numFmt w:val="decimal"/>
      <w:suff w:val="nothing"/>
      <w:lvlText w:val="%1．"/>
      <w:lvlJc w:val="left"/>
      <w:pPr>
        <w:ind w:left="0" w:firstLine="400"/>
      </w:pPr>
      <w:rPr>
        <w:rFonts w:hint="default" w:ascii="Times New Roman" w:hAnsi="Times New Roman" w:cs="Times New Roman"/>
      </w:rPr>
    </w:lvl>
  </w:abstractNum>
  <w:abstractNum w:abstractNumId="2">
    <w:nsid w:val="C9D7D3A4"/>
    <w:multiLevelType w:val="multilevel"/>
    <w:tmpl w:val="C9D7D3A4"/>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3">
    <w:nsid w:val="F471EE43"/>
    <w:multiLevelType w:val="singleLevel"/>
    <w:tmpl w:val="F471EE43"/>
    <w:lvl w:ilvl="0" w:tentative="0">
      <w:start w:val="1"/>
      <w:numFmt w:val="decimal"/>
      <w:suff w:val="nothing"/>
      <w:lvlText w:val="%1．"/>
      <w:lvlJc w:val="left"/>
      <w:pPr>
        <w:ind w:left="0" w:firstLine="400"/>
      </w:pPr>
      <w:rPr>
        <w:rFonts w:hint="default" w:ascii="Times New Roman" w:hAnsi="Times New Roman" w:cs="Times New Roman"/>
      </w:rPr>
    </w:lvl>
  </w:abstractNum>
  <w:abstractNum w:abstractNumId="4">
    <w:nsid w:val="06D7E02D"/>
    <w:multiLevelType w:val="multilevel"/>
    <w:tmpl w:val="06D7E02D"/>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5">
    <w:nsid w:val="08E52C34"/>
    <w:multiLevelType w:val="singleLevel"/>
    <w:tmpl w:val="08E52C34"/>
    <w:lvl w:ilvl="0" w:tentative="0">
      <w:start w:val="1"/>
      <w:numFmt w:val="decimal"/>
      <w:suff w:val="nothing"/>
      <w:lvlText w:val="（%1）"/>
      <w:lvlJc w:val="left"/>
    </w:lvl>
  </w:abstractNum>
  <w:abstractNum w:abstractNumId="6">
    <w:nsid w:val="16C8C0A9"/>
    <w:multiLevelType w:val="singleLevel"/>
    <w:tmpl w:val="16C8C0A9"/>
    <w:lvl w:ilvl="0" w:tentative="0">
      <w:start w:val="1"/>
      <w:numFmt w:val="decimal"/>
      <w:suff w:val="nothing"/>
      <w:lvlText w:val="%1．"/>
      <w:lvlJc w:val="left"/>
      <w:pPr>
        <w:ind w:left="0" w:firstLine="400"/>
      </w:pPr>
      <w:rPr>
        <w:rFonts w:hint="default" w:ascii="Times New Roman" w:hAnsi="Times New Roman" w:cs="Times New Roman"/>
        <w:b w:val="0"/>
        <w:bCs w:val="0"/>
      </w:rPr>
    </w:lvl>
  </w:abstractNum>
  <w:abstractNum w:abstractNumId="7">
    <w:nsid w:val="1960A499"/>
    <w:multiLevelType w:val="singleLevel"/>
    <w:tmpl w:val="1960A499"/>
    <w:lvl w:ilvl="0" w:tentative="0">
      <w:start w:val="1"/>
      <w:numFmt w:val="decimal"/>
      <w:suff w:val="nothing"/>
      <w:lvlText w:val="（%1）"/>
      <w:lvlJc w:val="left"/>
    </w:lvl>
  </w:abstractNum>
  <w:abstractNum w:abstractNumId="8">
    <w:nsid w:val="22D13BF5"/>
    <w:multiLevelType w:val="multilevel"/>
    <w:tmpl w:val="22D13BF5"/>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9">
    <w:nsid w:val="2A422291"/>
    <w:multiLevelType w:val="multilevel"/>
    <w:tmpl w:val="2A422291"/>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10" w:firstLine="400"/>
      </w:pPr>
      <w:rPr>
        <w:rFonts w:hint="default" w:ascii="Times New Roman" w:hAnsi="Times New Roman" w:cs="Times New Roman"/>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0">
    <w:nsid w:val="33504D73"/>
    <w:multiLevelType w:val="singleLevel"/>
    <w:tmpl w:val="33504D73"/>
    <w:lvl w:ilvl="0" w:tentative="0">
      <w:start w:val="1"/>
      <w:numFmt w:val="decimal"/>
      <w:suff w:val="nothing"/>
      <w:lvlText w:val="%1．"/>
      <w:lvlJc w:val="left"/>
      <w:pPr>
        <w:ind w:left="0" w:firstLine="400"/>
      </w:pPr>
      <w:rPr>
        <w:rFonts w:hint="default" w:ascii="Times New Roman" w:hAnsi="Times New Roman" w:cs="Times New Roman"/>
      </w:rPr>
    </w:lvl>
  </w:abstractNum>
  <w:abstractNum w:abstractNumId="11">
    <w:nsid w:val="3475D4B3"/>
    <w:multiLevelType w:val="singleLevel"/>
    <w:tmpl w:val="3475D4B3"/>
    <w:lvl w:ilvl="0" w:tentative="0">
      <w:start w:val="1"/>
      <w:numFmt w:val="chineseCounting"/>
      <w:suff w:val="nothing"/>
      <w:lvlText w:val="%1、"/>
      <w:lvlJc w:val="left"/>
      <w:rPr>
        <w:rFonts w:hint="eastAsia"/>
      </w:rPr>
    </w:lvl>
  </w:abstractNum>
  <w:abstractNum w:abstractNumId="12">
    <w:nsid w:val="3FBB204E"/>
    <w:multiLevelType w:val="multilevel"/>
    <w:tmpl w:val="3FBB204E"/>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3">
    <w:nsid w:val="5F11B5F5"/>
    <w:multiLevelType w:val="singleLevel"/>
    <w:tmpl w:val="5F11B5F5"/>
    <w:lvl w:ilvl="0" w:tentative="0">
      <w:start w:val="1"/>
      <w:numFmt w:val="decimal"/>
      <w:suff w:val="nothing"/>
      <w:lvlText w:val="%1．"/>
      <w:lvlJc w:val="left"/>
      <w:pPr>
        <w:ind w:left="0" w:firstLine="400"/>
      </w:pPr>
      <w:rPr>
        <w:rFonts w:hint="default"/>
      </w:rPr>
    </w:lvl>
  </w:abstractNum>
  <w:abstractNum w:abstractNumId="14">
    <w:nsid w:val="63FB0651"/>
    <w:multiLevelType w:val="multilevel"/>
    <w:tmpl w:val="63FB0651"/>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default" w:ascii="Times New Roman" w:hAnsi="Times New Roman" w:cs="Times New Roman"/>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abstractNum w:abstractNumId="15">
    <w:nsid w:val="71275706"/>
    <w:multiLevelType w:val="multilevel"/>
    <w:tmpl w:val="71275706"/>
    <w:lvl w:ilvl="0" w:tentative="0">
      <w:start w:val="1"/>
      <w:numFmt w:val="chineseCounting"/>
      <w:suff w:val="nothing"/>
      <w:lvlText w:val="%1、"/>
      <w:lvlJc w:val="left"/>
      <w:pPr>
        <w:ind w:left="0" w:firstLine="400"/>
      </w:pPr>
      <w:rPr>
        <w:rFonts w:hint="eastAsia"/>
      </w:rPr>
    </w:lvl>
    <w:lvl w:ilvl="1" w:tentative="0">
      <w:start w:val="1"/>
      <w:numFmt w:val="decimal"/>
      <w:suff w:val="nothing"/>
      <w:lvlText w:val="%2．"/>
      <w:lvlJc w:val="left"/>
      <w:pPr>
        <w:ind w:left="0" w:firstLine="400"/>
      </w:pPr>
      <w:rPr>
        <w:rFonts w:hint="eastAsia"/>
      </w:rPr>
    </w:lvl>
    <w:lvl w:ilvl="2" w:tentative="0">
      <w:start w:val="1"/>
      <w:numFmt w:val="decimal"/>
      <w:suff w:val="nothing"/>
      <w:lvlText w:val="（%3）"/>
      <w:lvlJc w:val="left"/>
      <w:pPr>
        <w:ind w:left="0" w:firstLine="402"/>
      </w:pPr>
      <w:rPr>
        <w:rFonts w:hint="eastAsia"/>
      </w:rPr>
    </w:lvl>
    <w:lvl w:ilvl="3" w:tentative="0">
      <w:start w:val="1"/>
      <w:numFmt w:val="decimalEnclosedCircleChinese"/>
      <w:suff w:val="nothing"/>
      <w:lvlText w:val="%4 "/>
      <w:lvlJc w:val="left"/>
      <w:pPr>
        <w:ind w:left="0" w:firstLine="402"/>
      </w:pPr>
      <w:rPr>
        <w:rFonts w:hint="eastAsia"/>
      </w:rPr>
    </w:lvl>
    <w:lvl w:ilvl="4" w:tentative="0">
      <w:start w:val="1"/>
      <w:numFmt w:val="decimal"/>
      <w:suff w:val="nothing"/>
      <w:lvlText w:val="%5）"/>
      <w:lvlJc w:val="left"/>
      <w:pPr>
        <w:ind w:left="0" w:firstLine="402"/>
      </w:pPr>
      <w:rPr>
        <w:rFonts w:hint="eastAsia"/>
      </w:rPr>
    </w:lvl>
    <w:lvl w:ilvl="5" w:tentative="0">
      <w:start w:val="1"/>
      <w:numFmt w:val="lowerLetter"/>
      <w:suff w:val="nothing"/>
      <w:lvlText w:val="%6．"/>
      <w:lvlJc w:val="left"/>
      <w:pPr>
        <w:ind w:left="0" w:firstLine="402"/>
      </w:pPr>
      <w:rPr>
        <w:rFonts w:hint="eastAsia"/>
      </w:rPr>
    </w:lvl>
    <w:lvl w:ilvl="6" w:tentative="0">
      <w:start w:val="1"/>
      <w:numFmt w:val="lowerLetter"/>
      <w:suff w:val="nothing"/>
      <w:lvlText w:val="%7）"/>
      <w:lvlJc w:val="left"/>
      <w:pPr>
        <w:ind w:left="0" w:firstLine="402"/>
      </w:pPr>
      <w:rPr>
        <w:rFonts w:hint="eastAsia"/>
      </w:rPr>
    </w:lvl>
    <w:lvl w:ilvl="7" w:tentative="0">
      <w:start w:val="1"/>
      <w:numFmt w:val="lowerRoman"/>
      <w:suff w:val="nothing"/>
      <w:lvlText w:val="%8. "/>
      <w:lvlJc w:val="left"/>
      <w:pPr>
        <w:ind w:left="0" w:firstLine="402"/>
      </w:pPr>
      <w:rPr>
        <w:rFonts w:hint="eastAsia"/>
      </w:rPr>
    </w:lvl>
    <w:lvl w:ilvl="8" w:tentative="0">
      <w:start w:val="1"/>
      <w:numFmt w:val="lowerRoman"/>
      <w:suff w:val="nothing"/>
      <w:lvlText w:val="%9）"/>
      <w:lvlJc w:val="left"/>
      <w:pPr>
        <w:ind w:left="0" w:firstLine="402"/>
      </w:pPr>
      <w:rPr>
        <w:rFonts w:hint="eastAsia"/>
      </w:rPr>
    </w:lvl>
  </w:abstractNum>
  <w:num w:numId="1">
    <w:abstractNumId w:val="11"/>
  </w:num>
  <w:num w:numId="2">
    <w:abstractNumId w:val="0"/>
  </w:num>
  <w:num w:numId="3">
    <w:abstractNumId w:val="7"/>
  </w:num>
  <w:num w:numId="4">
    <w:abstractNumId w:val="3"/>
  </w:num>
  <w:num w:numId="5">
    <w:abstractNumId w:val="13"/>
  </w:num>
  <w:num w:numId="6">
    <w:abstractNumId w:val="6"/>
  </w:num>
  <w:num w:numId="7">
    <w:abstractNumId w:val="1"/>
  </w:num>
  <w:num w:numId="8">
    <w:abstractNumId w:val="15"/>
  </w:num>
  <w:num w:numId="9">
    <w:abstractNumId w:val="10"/>
  </w:num>
  <w:num w:numId="10">
    <w:abstractNumId w:val="5"/>
  </w:num>
  <w:num w:numId="11">
    <w:abstractNumId w:val="14"/>
  </w:num>
  <w:num w:numId="12">
    <w:abstractNumId w:val="9"/>
  </w:num>
  <w:num w:numId="13">
    <w:abstractNumId w:val="2"/>
  </w:num>
  <w:num w:numId="14">
    <w:abstractNumId w:val="12"/>
  </w:num>
  <w:num w:numId="15">
    <w:abstractNumId w:val="4"/>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YzNjBkOTgyNWQ1YTMxYzM3MzMwNWFiODNmOWIzYWMifQ=="/>
  </w:docVars>
  <w:rsids>
    <w:rsidRoot w:val="00000000"/>
    <w:rsid w:val="01FD609D"/>
    <w:rsid w:val="01FE1E74"/>
    <w:rsid w:val="0EB45A16"/>
    <w:rsid w:val="110C179D"/>
    <w:rsid w:val="15842905"/>
    <w:rsid w:val="1C913B5A"/>
    <w:rsid w:val="257105EA"/>
    <w:rsid w:val="264E03C6"/>
    <w:rsid w:val="2BE63075"/>
    <w:rsid w:val="2C952EED"/>
    <w:rsid w:val="2D834AD8"/>
    <w:rsid w:val="2F143806"/>
    <w:rsid w:val="33810438"/>
    <w:rsid w:val="355AFACF"/>
    <w:rsid w:val="356B2C28"/>
    <w:rsid w:val="3CF33A0E"/>
    <w:rsid w:val="40342640"/>
    <w:rsid w:val="405D0F0E"/>
    <w:rsid w:val="42E764F4"/>
    <w:rsid w:val="43015AD4"/>
    <w:rsid w:val="44064881"/>
    <w:rsid w:val="4A632BF2"/>
    <w:rsid w:val="4F895E47"/>
    <w:rsid w:val="519805C3"/>
    <w:rsid w:val="55386FFC"/>
    <w:rsid w:val="58931AE5"/>
    <w:rsid w:val="5FAF6636"/>
    <w:rsid w:val="67281F92"/>
    <w:rsid w:val="7536B277"/>
    <w:rsid w:val="790355A3"/>
    <w:rsid w:val="7CA37C99"/>
    <w:rsid w:val="7DBCFF31"/>
    <w:rsid w:val="D48E7B61"/>
    <w:rsid w:val="DF7D0E61"/>
    <w:rsid w:val="DFFFADBA"/>
    <w:rsid w:val="E59F2458"/>
    <w:rsid w:val="EAFBBF9D"/>
    <w:rsid w:val="EEDED98A"/>
    <w:rsid w:val="EEF3ABDF"/>
    <w:rsid w:val="EEF60FF4"/>
    <w:rsid w:val="F01FBD31"/>
    <w:rsid w:val="F36FE1FD"/>
    <w:rsid w:val="FFDF7F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3">
    <w:name w:val="Block Text"/>
    <w:basedOn w:val="1"/>
    <w:qFormat/>
    <w:uiPriority w:val="0"/>
    <w:pPr>
      <w:spacing w:after="120"/>
      <w:ind w:left="1440" w:leftChars="700" w:right="1440" w:rightChars="7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正文-公1"/>
    <w:basedOn w:val="1"/>
    <w:qFormat/>
    <w:uiPriority w:val="0"/>
    <w:pPr>
      <w:ind w:firstLine="200" w:firstLineChars="200"/>
    </w:pPr>
    <w:rPr>
      <w:rFonts w:ascii="Times New Roman" w:hAnsi="Times New Roman"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29</Pages>
  <Words>14081</Words>
  <Characters>14941</Characters>
  <Lines>0</Lines>
  <Paragraphs>0</Paragraphs>
  <TotalTime>108</TotalTime>
  <ScaleCrop>false</ScaleCrop>
  <LinksUpToDate>false</LinksUpToDate>
  <CharactersWithSpaces>15107</CharactersWithSpaces>
  <Application>WPS Office_12.1.22218.22218_F1E327BC-269C-435d-A152-05C5408002CA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2023-03-29T08:48:00Z</dcterms:created>
  <dc:creator>zwf</dc:creator>
  <cp:lastModifiedBy>董韬</cp:lastModifiedBy>
  <dcterms:modified xsi:type="dcterms:W3CDTF">2025-09-18T18:50:55Z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2052-12.1.22218.22218</vt:lpwstr>
  </property>
  <property fmtid="{D5CDD505-2E9C-101B-9397-08002B2CF9AE}" pid="3" name="ICV">
    <vt:lpwstr>A278FDE2A7C64C99A59BB5956445493A</vt:lpwstr>
  </property>
</Properties>
</file>