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2B7DD">
      <w:pPr>
        <w:keepNext w:val="0"/>
        <w:keepLines w:val="0"/>
        <w:pageBreakBefore w:val="0"/>
        <w:kinsoku/>
        <w:wordWrap/>
        <w:overflowPunct/>
        <w:topLinePunct w:val="0"/>
        <w:autoSpaceDE/>
        <w:autoSpaceDN/>
        <w:bidi w:val="0"/>
        <w:adjustRightInd w:val="0"/>
        <w:snapToGrid w:val="0"/>
        <w:spacing w:line="520" w:lineRule="exact"/>
        <w:rPr>
          <w:rFonts w:hint="eastAsia" w:ascii="黑体" w:hAnsi="黑体" w:eastAsia="黑体" w:cs="黑体"/>
          <w:sz w:val="32"/>
          <w:szCs w:val="32"/>
        </w:rPr>
      </w:pPr>
      <w:r>
        <w:rPr>
          <w:rFonts w:hint="eastAsia" w:ascii="黑体" w:hAnsi="黑体" w:eastAsia="黑体" w:cs="黑体"/>
          <w:sz w:val="32"/>
          <w:szCs w:val="32"/>
        </w:rPr>
        <w:t>附件3</w:t>
      </w:r>
    </w:p>
    <w:p w14:paraId="60402000">
      <w:pPr>
        <w:keepNext w:val="0"/>
        <w:keepLines w:val="0"/>
        <w:pageBreakBefore w:val="0"/>
        <w:kinsoku/>
        <w:wordWrap/>
        <w:overflowPunct/>
        <w:topLinePunct w:val="0"/>
        <w:autoSpaceDE/>
        <w:autoSpaceDN/>
        <w:bidi w:val="0"/>
        <w:spacing w:line="520" w:lineRule="exact"/>
        <w:jc w:val="center"/>
        <w:rPr>
          <w:rFonts w:ascii="宋体" w:hAnsi="宋体" w:cs="宋体"/>
          <w:b/>
          <w:bCs/>
          <w:sz w:val="44"/>
          <w:szCs w:val="44"/>
        </w:rPr>
      </w:pPr>
      <w:r>
        <w:rPr>
          <w:rFonts w:hint="eastAsia" w:ascii="宋体" w:hAnsi="宋体" w:cs="宋体"/>
          <w:b/>
          <w:bCs/>
          <w:sz w:val="44"/>
          <w:szCs w:val="44"/>
        </w:rPr>
        <w:t>照明设施维护费项目自评报告</w:t>
      </w:r>
    </w:p>
    <w:p w14:paraId="7A95B033">
      <w:pPr>
        <w:keepNext w:val="0"/>
        <w:keepLines w:val="0"/>
        <w:pageBreakBefore w:val="0"/>
        <w:kinsoku/>
        <w:wordWrap/>
        <w:overflowPunct/>
        <w:topLinePunct w:val="0"/>
        <w:autoSpaceDE/>
        <w:autoSpaceDN/>
        <w:bidi w:val="0"/>
        <w:spacing w:line="520" w:lineRule="exact"/>
        <w:jc w:val="center"/>
        <w:rPr>
          <w:rFonts w:ascii="华文楷体" w:eastAsia="华文楷体"/>
          <w:sz w:val="32"/>
          <w:szCs w:val="32"/>
        </w:rPr>
      </w:pPr>
    </w:p>
    <w:p w14:paraId="050A6821">
      <w:pPr>
        <w:keepNext w:val="0"/>
        <w:keepLines w:val="0"/>
        <w:pageBreakBefore w:val="0"/>
        <w:kinsoku/>
        <w:wordWrap/>
        <w:overflowPunct/>
        <w:topLinePunct w:val="0"/>
        <w:autoSpaceDE/>
        <w:autoSpaceDN/>
        <w:bidi w:val="0"/>
        <w:spacing w:line="520" w:lineRule="exact"/>
        <w:jc w:val="center"/>
        <w:rPr>
          <w:rFonts w:ascii="华文楷体" w:eastAsia="华文楷体"/>
          <w:sz w:val="32"/>
          <w:szCs w:val="32"/>
        </w:rPr>
      </w:pPr>
    </w:p>
    <w:p w14:paraId="70F169F5">
      <w:pPr>
        <w:keepNext w:val="0"/>
        <w:keepLines w:val="0"/>
        <w:pageBreakBefore w:val="0"/>
        <w:kinsoku/>
        <w:wordWrap/>
        <w:overflowPunct/>
        <w:topLinePunct w:val="0"/>
        <w:autoSpaceDE/>
        <w:autoSpaceDN/>
        <w:bidi w:val="0"/>
        <w:adjustRightInd w:val="0"/>
        <w:snapToGrid w:val="0"/>
        <w:spacing w:line="520" w:lineRule="exact"/>
        <w:ind w:firstLine="640" w:firstLineChars="200"/>
        <w:rPr>
          <w:rFonts w:ascii="仿宋" w:hAnsi="仿宋" w:eastAsia="仿宋"/>
          <w:sz w:val="32"/>
          <w:szCs w:val="32"/>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，对照明设施维护费项目实施了财政绩效自评价，形成本评价报告。</w:t>
      </w:r>
    </w:p>
    <w:p w14:paraId="7A025E82">
      <w:pPr>
        <w:keepNext w:val="0"/>
        <w:keepLines w:val="0"/>
        <w:pageBreakBefore w:val="0"/>
        <w:kinsoku/>
        <w:wordWrap/>
        <w:overflowPunct/>
        <w:topLinePunct w:val="0"/>
        <w:autoSpaceDE/>
        <w:autoSpaceDN/>
        <w:bidi w:val="0"/>
        <w:adjustRightInd w:val="0"/>
        <w:snapToGrid w:val="0"/>
        <w:spacing w:line="52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08E7B7AF">
      <w:pPr>
        <w:keepNext w:val="0"/>
        <w:keepLines w:val="0"/>
        <w:pageBreakBefore w:val="0"/>
        <w:kinsoku/>
        <w:wordWrap/>
        <w:overflowPunct/>
        <w:topLinePunct w:val="0"/>
        <w:autoSpaceDE/>
        <w:autoSpaceDN/>
        <w:bidi w:val="0"/>
        <w:adjustRightInd w:val="0"/>
        <w:snapToGrid w:val="0"/>
        <w:spacing w:line="52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14:paraId="6C1ABB32">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项目实施单位及项目立项等基本情况；</w:t>
      </w:r>
    </w:p>
    <w:p w14:paraId="12F65E6B">
      <w:pPr>
        <w:pStyle w:val="3"/>
        <w:keepNext w:val="0"/>
        <w:keepLines w:val="0"/>
        <w:pageBreakBefore w:val="0"/>
        <w:kinsoku/>
        <w:wordWrap/>
        <w:overflowPunct/>
        <w:topLinePunct w:val="0"/>
        <w:autoSpaceDE/>
        <w:autoSpaceDN/>
        <w:bidi w:val="0"/>
        <w:spacing w:line="520" w:lineRule="exact"/>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石家庄市城市照明管护中心为项目实施单位。城市照明设施维护对提升照明质量，改善和美化城市环境，促进城市经济发展，方便居民生活出行，保证行人、车辆出行安全，推动城市照明向健康、高效、节能、科学发展有着重要意义，我中心申请照明设施维护费项目。</w:t>
      </w:r>
    </w:p>
    <w:p w14:paraId="6FAA62CF">
      <w:pPr>
        <w:keepNext w:val="0"/>
        <w:keepLines w:val="0"/>
        <w:pageBreakBefore w:val="0"/>
        <w:numPr>
          <w:ilvl w:val="0"/>
          <w:numId w:val="0"/>
        </w:numPr>
        <w:kinsoku/>
        <w:wordWrap/>
        <w:overflowPunct/>
        <w:topLinePunct w:val="0"/>
        <w:autoSpaceDE/>
        <w:autoSpaceDN/>
        <w:bidi w:val="0"/>
        <w:adjustRightInd w:val="0"/>
        <w:snapToGrid w:val="0"/>
        <w:spacing w:line="520" w:lineRule="exact"/>
        <w:ind w:firstLine="640" w:firstLineChars="200"/>
        <w:rPr>
          <w:rFonts w:hint="eastAsia" w:ascii="仿宋" w:hAnsi="仿宋" w:eastAsia="仿宋" w:cs="黑体"/>
          <w:kern w:val="2"/>
          <w:sz w:val="32"/>
          <w:szCs w:val="32"/>
          <w:lang w:val="en-US" w:eastAsia="zh-CN" w:bidi="ar-SA"/>
        </w:rPr>
      </w:pPr>
      <w:r>
        <w:rPr>
          <w:rFonts w:hint="eastAsia" w:ascii="仿宋" w:hAnsi="仿宋" w:eastAsia="仿宋" w:cs="黑体"/>
          <w:kern w:val="2"/>
          <w:sz w:val="32"/>
          <w:szCs w:val="32"/>
          <w:lang w:val="en-US" w:eastAsia="zh-CN" w:bidi="ar-SA"/>
        </w:rPr>
        <w:t>2.项目主要实施内容</w:t>
      </w:r>
    </w:p>
    <w:p w14:paraId="2B380334">
      <w:pPr>
        <w:keepNext w:val="0"/>
        <w:keepLines w:val="0"/>
        <w:pageBreakBefore w:val="0"/>
        <w:numPr>
          <w:ilvl w:val="0"/>
          <w:numId w:val="0"/>
        </w:numPr>
        <w:kinsoku/>
        <w:wordWrap/>
        <w:overflowPunct/>
        <w:topLinePunct w:val="0"/>
        <w:autoSpaceDE/>
        <w:autoSpaceDN/>
        <w:bidi w:val="0"/>
        <w:adjustRightInd w:val="0"/>
        <w:snapToGrid w:val="0"/>
        <w:spacing w:line="520" w:lineRule="exact"/>
        <w:ind w:firstLine="640" w:firstLineChars="200"/>
        <w:rPr>
          <w:rFonts w:hint="eastAsia" w:ascii="仿宋" w:hAnsi="仿宋" w:eastAsia="仿宋" w:cs="黑体"/>
          <w:kern w:val="2"/>
          <w:sz w:val="32"/>
          <w:szCs w:val="32"/>
          <w:lang w:val="en-US" w:eastAsia="zh-CN" w:bidi="ar-SA"/>
        </w:rPr>
      </w:pPr>
      <w:r>
        <w:rPr>
          <w:rFonts w:hint="eastAsia" w:ascii="仿宋" w:hAnsi="仿宋" w:eastAsia="仿宋" w:cs="黑体"/>
          <w:kern w:val="2"/>
          <w:sz w:val="32"/>
          <w:szCs w:val="32"/>
          <w:lang w:val="en-US" w:eastAsia="zh-CN" w:bidi="ar-SA"/>
        </w:rPr>
        <w:t>本项目用于我市照明设施及景观照明的维护与管理工作，为市民提供功能性照明及城市发展必要的景观照明，对提升照明质量，改善和美化城市环境，促进城市经济发展，方便居民生活出行，保证行人、车辆出行安全有着重要意义。</w:t>
      </w:r>
    </w:p>
    <w:p w14:paraId="78CFEF74">
      <w:pPr>
        <w:keepNext w:val="0"/>
        <w:keepLines w:val="0"/>
        <w:pageBreakBefore w:val="0"/>
        <w:numPr>
          <w:ilvl w:val="0"/>
          <w:numId w:val="0"/>
        </w:numPr>
        <w:kinsoku/>
        <w:wordWrap/>
        <w:overflowPunct/>
        <w:topLinePunct w:val="0"/>
        <w:autoSpaceDE/>
        <w:autoSpaceDN/>
        <w:bidi w:val="0"/>
        <w:adjustRightInd w:val="0"/>
        <w:snapToGrid w:val="0"/>
        <w:spacing w:line="520" w:lineRule="exact"/>
        <w:ind w:firstLine="640" w:firstLineChars="200"/>
        <w:rPr>
          <w:rFonts w:ascii="仿宋" w:hAnsi="仿宋" w:eastAsia="仿宋"/>
          <w:sz w:val="32"/>
          <w:szCs w:val="32"/>
        </w:rPr>
      </w:pPr>
      <w:r>
        <w:rPr>
          <w:rFonts w:hint="eastAsia" w:ascii="仿宋" w:hAnsi="仿宋" w:eastAsia="仿宋"/>
          <w:sz w:val="32"/>
          <w:szCs w:val="32"/>
        </w:rPr>
        <w:t>3</w:t>
      </w:r>
      <w:r>
        <w:rPr>
          <w:rFonts w:hint="eastAsia" w:ascii="仿宋" w:hAnsi="仿宋" w:eastAsia="仿宋"/>
          <w:sz w:val="32"/>
          <w:szCs w:val="32"/>
          <w:lang w:val="en-US" w:eastAsia="zh-CN"/>
        </w:rPr>
        <w:t>.本</w:t>
      </w:r>
      <w:r>
        <w:rPr>
          <w:rFonts w:hint="eastAsia" w:ascii="仿宋" w:hAnsi="仿宋" w:eastAsia="仿宋"/>
          <w:sz w:val="32"/>
          <w:szCs w:val="32"/>
          <w:lang w:eastAsia="zh-CN"/>
        </w:rPr>
        <w:t>项目预算资金</w:t>
      </w:r>
      <w:r>
        <w:rPr>
          <w:rFonts w:hint="eastAsia" w:ascii="仿宋" w:hAnsi="仿宋" w:eastAsia="仿宋"/>
          <w:sz w:val="32"/>
          <w:szCs w:val="32"/>
          <w:lang w:val="en-US" w:eastAsia="zh-CN"/>
        </w:rPr>
        <w:t>7225万元，其中一般公共预算2863.9万元，政府性基金4361.1万元，均为财政拨款。</w:t>
      </w:r>
    </w:p>
    <w:p w14:paraId="28A5AAB3">
      <w:pPr>
        <w:keepNext w:val="0"/>
        <w:keepLines w:val="0"/>
        <w:pageBreakBefore w:val="0"/>
        <w:kinsoku/>
        <w:wordWrap/>
        <w:overflowPunct/>
        <w:topLinePunct w:val="0"/>
        <w:autoSpaceDE/>
        <w:autoSpaceDN/>
        <w:bidi w:val="0"/>
        <w:adjustRightInd w:val="0"/>
        <w:snapToGrid w:val="0"/>
        <w:spacing w:line="52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（二）项目预期绩效目标</w:t>
      </w:r>
    </w:p>
    <w:p w14:paraId="436A6191">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1.</w:t>
      </w:r>
      <w:r>
        <w:rPr>
          <w:rFonts w:hint="eastAsia" w:ascii="仿宋" w:hAnsi="仿宋" w:eastAsia="仿宋"/>
          <w:sz w:val="32"/>
          <w:szCs w:val="32"/>
        </w:rPr>
        <w:t>项目预期绩效目标</w:t>
      </w:r>
    </w:p>
    <w:p w14:paraId="1850DE3B">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通过对照明设施维护维修，提升景观亮化质量，提升城市照明质量，保障设施安全，促进夜经济发展。</w:t>
      </w:r>
    </w:p>
    <w:p w14:paraId="49AD1F3E">
      <w:pPr>
        <w:keepNext w:val="0"/>
        <w:keepLines w:val="0"/>
        <w:pageBreakBefore w:val="0"/>
        <w:numPr>
          <w:ilvl w:val="0"/>
          <w:numId w:val="0"/>
        </w:numPr>
        <w:kinsoku/>
        <w:wordWrap/>
        <w:overflowPunct/>
        <w:topLinePunct w:val="0"/>
        <w:autoSpaceDE/>
        <w:autoSpaceDN/>
        <w:bidi w:val="0"/>
        <w:adjustRightInd w:val="0"/>
        <w:snapToGrid w:val="0"/>
        <w:spacing w:line="520" w:lineRule="exact"/>
        <w:ind w:firstLine="640" w:firstLineChars="200"/>
        <w:rPr>
          <w:rFonts w:hint="default"/>
          <w:lang w:val="en-US" w:eastAsia="zh-CN"/>
        </w:rPr>
      </w:pPr>
      <w:r>
        <w:rPr>
          <w:rFonts w:hint="eastAsia" w:ascii="仿宋" w:hAnsi="仿宋" w:eastAsia="仿宋" w:cs="黑体"/>
          <w:kern w:val="2"/>
          <w:sz w:val="32"/>
          <w:szCs w:val="32"/>
          <w:lang w:val="en-US" w:eastAsia="zh-CN" w:bidi="ar-SA"/>
        </w:rPr>
        <w:t>2.</w:t>
      </w:r>
      <w:r>
        <w:rPr>
          <w:rFonts w:hint="eastAsia" w:ascii="仿宋" w:hAnsi="仿宋" w:eastAsia="仿宋"/>
          <w:sz w:val="32"/>
          <w:szCs w:val="32"/>
          <w:lang w:val="en-US" w:eastAsia="zh-CN"/>
        </w:rPr>
        <w:t>年度绩效指标</w:t>
      </w:r>
    </w:p>
    <w:tbl>
      <w:tblPr>
        <w:tblStyle w:val="7"/>
        <w:tblW w:w="88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8"/>
        <w:gridCol w:w="713"/>
        <w:gridCol w:w="1480"/>
        <w:gridCol w:w="1841"/>
        <w:gridCol w:w="938"/>
        <w:gridCol w:w="758"/>
        <w:gridCol w:w="639"/>
        <w:gridCol w:w="1661"/>
      </w:tblGrid>
      <w:tr w14:paraId="0B3F6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805" w:type="dxa"/>
            <w:gridSpan w:val="8"/>
            <w:tcBorders>
              <w:top w:val="single" w:color="B0C4DE" w:sz="4" w:space="0"/>
              <w:left w:val="single" w:color="B0C4DE" w:sz="4" w:space="0"/>
              <w:bottom w:val="single" w:color="B0C4DE" w:sz="4" w:space="0"/>
              <w:right w:val="single" w:color="B0C4DE" w:sz="4" w:space="0"/>
            </w:tcBorders>
            <w:shd w:val="clear" w:color="auto" w:fill="auto"/>
            <w:noWrap/>
            <w:vAlign w:val="center"/>
          </w:tcPr>
          <w:p w14:paraId="5C2C3EFE">
            <w:pPr>
              <w:keepNext w:val="0"/>
              <w:keepLines w:val="0"/>
              <w:pageBreakBefore w:val="0"/>
              <w:widowControl/>
              <w:suppressLineNumbers w:val="0"/>
              <w:kinsoku/>
              <w:wordWrap/>
              <w:overflowPunct/>
              <w:topLinePunct w:val="0"/>
              <w:autoSpaceDE/>
              <w:autoSpaceDN/>
              <w:bidi w:val="0"/>
              <w:spacing w:line="520" w:lineRule="exact"/>
              <w:jc w:val="center"/>
              <w:textAlignment w:val="center"/>
              <w:rPr>
                <w:rFonts w:ascii="方正小标宋_GBK" w:hAnsi="方正小标宋_GBK" w:eastAsia="方正小标宋_GBK" w:cs="方正小标宋_GBK"/>
                <w:i w:val="0"/>
                <w:color w:val="000000"/>
                <w:sz w:val="36"/>
                <w:szCs w:val="36"/>
                <w:u w:val="none"/>
              </w:rPr>
            </w:pPr>
            <w:r>
              <w:rPr>
                <w:rFonts w:hint="eastAsia" w:ascii="方正小标宋_GBK" w:hAnsi="方正小标宋_GBK" w:eastAsia="方正小标宋_GBK" w:cs="方正小标宋_GBK"/>
                <w:i w:val="0"/>
                <w:color w:val="000000"/>
                <w:kern w:val="0"/>
                <w:sz w:val="44"/>
                <w:szCs w:val="44"/>
                <w:u w:val="none"/>
                <w:lang w:val="en-US" w:eastAsia="zh-CN" w:bidi="ar"/>
              </w:rPr>
              <w:t>预算项目绩效表</w:t>
            </w:r>
          </w:p>
        </w:tc>
      </w:tr>
      <w:tr w14:paraId="3822C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8AB6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项目编码</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99DF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13010024P00951310003Q</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9F9A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E429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照明设施维护经费</w:t>
            </w:r>
          </w:p>
        </w:tc>
      </w:tr>
      <w:tr w14:paraId="5AA53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C571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主管部门及代码</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3743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565-石家庄市城市管理综合行政执法局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2ED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D775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565011-石家庄市城市照明管护中心</w:t>
            </w:r>
          </w:p>
        </w:tc>
      </w:tr>
      <w:tr w14:paraId="1003E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792E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绩效目标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92E1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目标1</w:t>
            </w:r>
          </w:p>
        </w:tc>
        <w:tc>
          <w:tcPr>
            <w:tcW w:w="73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00CE63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通过对照明设施维护维修，提升景观亮化质量，提升城市照明质量，保障设施安全，促进夜经济发展。</w:t>
            </w:r>
          </w:p>
        </w:tc>
      </w:tr>
      <w:tr w14:paraId="08FFE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C64B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4C485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1205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055A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绩效指标说明</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2C21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6E0D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指标值确定依据</w:t>
            </w:r>
          </w:p>
        </w:tc>
      </w:tr>
      <w:tr w14:paraId="30E6F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5464D">
            <w:pPr>
              <w:jc w:val="center"/>
              <w:rPr>
                <w:rFonts w:hint="eastAsia" w:ascii="宋体" w:hAnsi="宋体" w:eastAsia="宋体" w:cs="宋体"/>
                <w:i w:val="0"/>
                <w:color w:val="000000"/>
                <w:sz w:val="20"/>
                <w:szCs w:val="20"/>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625B7">
            <w:pPr>
              <w:jc w:val="center"/>
              <w:rPr>
                <w:rFonts w:hint="eastAsia" w:ascii="宋体" w:hAnsi="宋体" w:eastAsia="宋体" w:cs="宋体"/>
                <w:i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C9130">
            <w:pPr>
              <w:jc w:val="center"/>
              <w:rPr>
                <w:rFonts w:hint="eastAsia" w:ascii="宋体" w:hAnsi="宋体" w:eastAsia="宋体" w:cs="宋体"/>
                <w:i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A6E22">
            <w:pPr>
              <w:jc w:val="center"/>
              <w:rPr>
                <w:rFonts w:hint="eastAsia" w:ascii="宋体" w:hAnsi="宋体" w:eastAsia="宋体" w:cs="宋体"/>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5155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符号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F0FC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BB56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单位（文字描述）</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357B2">
            <w:pPr>
              <w:jc w:val="center"/>
              <w:rPr>
                <w:rFonts w:hint="eastAsia" w:ascii="宋体" w:hAnsi="宋体" w:eastAsia="宋体" w:cs="宋体"/>
                <w:i w:val="0"/>
                <w:color w:val="000000"/>
                <w:sz w:val="20"/>
                <w:szCs w:val="20"/>
                <w:u w:val="none"/>
              </w:rPr>
            </w:pPr>
          </w:p>
        </w:tc>
      </w:tr>
      <w:tr w14:paraId="5C439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068AC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3950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BA43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需维护的灯盏数量</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3A0F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计划维护景观灯灯盏的数量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CB8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A8F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46BA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39C9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年度维修工作要求</w:t>
            </w:r>
          </w:p>
        </w:tc>
      </w:tr>
      <w:tr w14:paraId="4858A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EF41F">
            <w:pPr>
              <w:jc w:val="center"/>
              <w:rPr>
                <w:rFonts w:hint="eastAsia" w:ascii="宋体" w:hAnsi="宋体" w:eastAsia="宋体" w:cs="宋体"/>
                <w:i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4166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85D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需维护的灯盏数量</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77E1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计划维护路灯灯盏的数量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CDD9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317F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94849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B9BE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C2FC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年度维修工作要求</w:t>
            </w:r>
          </w:p>
        </w:tc>
      </w:tr>
      <w:tr w14:paraId="61DC8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175E9">
            <w:pPr>
              <w:jc w:val="center"/>
              <w:rPr>
                <w:rFonts w:hint="eastAsia" w:ascii="宋体" w:hAnsi="宋体" w:eastAsia="宋体" w:cs="宋体"/>
                <w:i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FF36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1C1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需维护的配电箱数量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7EC9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计划维护配电箱数量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CA1F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220B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BDE6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C5BE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年度维修工作要求</w:t>
            </w:r>
          </w:p>
        </w:tc>
      </w:tr>
      <w:tr w14:paraId="2EF92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4E36A">
            <w:pPr>
              <w:jc w:val="center"/>
              <w:rPr>
                <w:rFonts w:hint="eastAsia" w:ascii="宋体" w:hAnsi="宋体" w:eastAsia="宋体" w:cs="宋体"/>
                <w:i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7AA1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ADD9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需维护的箱变数量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8321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计划维护箱变数量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C9D2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C3A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CCA0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7A06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年度维修工作要求</w:t>
            </w:r>
          </w:p>
        </w:tc>
      </w:tr>
      <w:tr w14:paraId="0553D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00C96">
            <w:pPr>
              <w:jc w:val="center"/>
              <w:rPr>
                <w:rFonts w:hint="eastAsia" w:ascii="宋体" w:hAnsi="宋体" w:eastAsia="宋体" w:cs="宋体"/>
                <w:i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D8B3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94C5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需维护的终端数量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C36D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计划维护终端数量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6E42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B32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8F72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F39F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年度维修工作要求</w:t>
            </w:r>
          </w:p>
        </w:tc>
      </w:tr>
      <w:tr w14:paraId="50470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FEAB7">
            <w:pPr>
              <w:jc w:val="center"/>
              <w:rPr>
                <w:rFonts w:hint="eastAsia" w:ascii="宋体" w:hAnsi="宋体" w:eastAsia="宋体" w:cs="宋体"/>
                <w:i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76EA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4135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安全文明施工</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013F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履行安全责任，落实安全制度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6F1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1EDE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9493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157D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《城市景观照明维护管理考核办法》</w:t>
            </w:r>
          </w:p>
        </w:tc>
      </w:tr>
      <w:tr w14:paraId="47A32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CB5E0">
            <w:pPr>
              <w:jc w:val="center"/>
              <w:rPr>
                <w:rFonts w:hint="eastAsia" w:ascii="宋体" w:hAnsi="宋体" w:eastAsia="宋体" w:cs="宋体"/>
                <w:i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948A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4B18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设施完好率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DBA4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设施完好率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8317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413D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D6B7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598D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《河北省照明管理规定》要求</w:t>
            </w:r>
          </w:p>
        </w:tc>
      </w:tr>
      <w:tr w14:paraId="011D0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89079">
            <w:pPr>
              <w:jc w:val="center"/>
              <w:rPr>
                <w:rFonts w:hint="eastAsia" w:ascii="宋体" w:hAnsi="宋体" w:eastAsia="宋体" w:cs="宋体"/>
                <w:i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D990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920E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亮灯率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CB0F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主要街道路灯亮灯率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AD24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302E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7487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F11B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《河北省照明管理规定》要求</w:t>
            </w:r>
          </w:p>
        </w:tc>
      </w:tr>
      <w:tr w14:paraId="7C098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ED44E">
            <w:pPr>
              <w:jc w:val="center"/>
              <w:rPr>
                <w:rFonts w:hint="eastAsia" w:ascii="宋体" w:hAnsi="宋体" w:eastAsia="宋体" w:cs="宋体"/>
                <w:i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4CA0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51D8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修复时间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6FBF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故障修复完成时间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46DC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67D2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0384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55DA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年度维修工作要求</w:t>
            </w:r>
          </w:p>
        </w:tc>
      </w:tr>
      <w:tr w14:paraId="5F7D2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5030E">
            <w:pPr>
              <w:jc w:val="center"/>
              <w:rPr>
                <w:rFonts w:hint="eastAsia" w:ascii="宋体" w:hAnsi="宋体" w:eastAsia="宋体" w:cs="宋体"/>
                <w:i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DBEB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8D72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维护费支出金额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56A5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控制在年度预算内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9853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0DC0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0912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2AA0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绩效报告</w:t>
            </w:r>
          </w:p>
        </w:tc>
      </w:tr>
      <w:tr w14:paraId="02DDE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D5D9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F118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9180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美化城市环境</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4717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打造城市夜景，提升城市形象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5C04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31BE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647B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F9BD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市民调查表，市民对夜景满意度</w:t>
            </w:r>
          </w:p>
        </w:tc>
      </w:tr>
      <w:tr w14:paraId="3F525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D386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CB49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2A52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市民满意度</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99B7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保障市民夜间出行安全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E18C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8AD5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10B1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6A48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市民调查表，市民对路灯满意度</w:t>
            </w:r>
          </w:p>
        </w:tc>
      </w:tr>
    </w:tbl>
    <w:p w14:paraId="5F0CA190">
      <w:pPr>
        <w:keepNext w:val="0"/>
        <w:keepLines w:val="0"/>
        <w:pageBreakBefore w:val="0"/>
        <w:kinsoku/>
        <w:wordWrap/>
        <w:overflowPunct/>
        <w:topLinePunct w:val="0"/>
        <w:autoSpaceDE/>
        <w:autoSpaceDN/>
        <w:bidi w:val="0"/>
        <w:adjustRightInd w:val="0"/>
        <w:snapToGrid w:val="0"/>
        <w:spacing w:line="52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14:paraId="0113ABB4">
      <w:pPr>
        <w:keepNext w:val="0"/>
        <w:keepLines w:val="0"/>
        <w:pageBreakBefore w:val="0"/>
        <w:kinsoku/>
        <w:wordWrap/>
        <w:overflowPunct/>
        <w:topLinePunct w:val="0"/>
        <w:autoSpaceDE/>
        <w:autoSpaceDN/>
        <w:bidi w:val="0"/>
        <w:adjustRightInd w:val="0"/>
        <w:snapToGrid w:val="0"/>
        <w:spacing w:line="52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14:paraId="4725585B">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成立评价工作组</w:t>
      </w:r>
    </w:p>
    <w:p w14:paraId="23B5A736">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为有效把握项目特点，科学地进行评价，通过管理、业务、财务等方面的技术人员组成评价工作组，分别从项目的完成情况、绩效目标、资金支付等多个方面，对该项目进行了评价。</w:t>
      </w:r>
    </w:p>
    <w:p w14:paraId="3F4EB3C2">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评价工作组人员名单</w:t>
      </w:r>
    </w:p>
    <w:p w14:paraId="41B6C5B9">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组  长：  汤江涛   市城市照明管护中心 主任   </w:t>
      </w:r>
    </w:p>
    <w:p w14:paraId="44CDDF8C">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副组长：  李忠法   市城市照明管护中心 副主任</w:t>
      </w:r>
    </w:p>
    <w:p w14:paraId="64C84B87">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齐朝旭   市城市照明管护中心 总工程师</w:t>
      </w:r>
    </w:p>
    <w:p w14:paraId="3E31779A">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成  员：  赵  洁   劳动财务科   科长</w:t>
      </w:r>
    </w:p>
    <w:p w14:paraId="4AA09BA1">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李雪霞   办公室       主任</w:t>
      </w:r>
    </w:p>
    <w:p w14:paraId="385EEF2D">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亓文天   维护管理科   科长</w:t>
      </w:r>
    </w:p>
    <w:p w14:paraId="6307F8AB">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王  瑶   材料设备科   科长</w:t>
      </w:r>
    </w:p>
    <w:p w14:paraId="59DE35A4">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 xml:space="preserve">          唐景玲   照明监控中心 主任</w:t>
      </w:r>
    </w:p>
    <w:p w14:paraId="676CAA79">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2</w:t>
      </w:r>
      <w:r>
        <w:rPr>
          <w:rFonts w:hint="eastAsia" w:ascii="仿宋" w:hAnsi="仿宋" w:eastAsia="仿宋"/>
          <w:sz w:val="32"/>
          <w:szCs w:val="32"/>
          <w:lang w:val="en-US" w:eastAsia="zh-CN"/>
        </w:rPr>
        <w:t>.</w:t>
      </w:r>
      <w:r>
        <w:rPr>
          <w:rFonts w:hint="eastAsia" w:ascii="仿宋" w:hAnsi="仿宋" w:eastAsia="仿宋"/>
          <w:sz w:val="32"/>
          <w:szCs w:val="32"/>
        </w:rPr>
        <w:t>基础资料收集</w:t>
      </w:r>
    </w:p>
    <w:p w14:paraId="0E7005FA">
      <w:pPr>
        <w:keepNext w:val="0"/>
        <w:keepLines w:val="0"/>
        <w:pageBreakBefore w:val="0"/>
        <w:kinsoku/>
        <w:wordWrap/>
        <w:overflowPunct/>
        <w:topLinePunct w:val="0"/>
        <w:autoSpaceDE/>
        <w:autoSpaceDN/>
        <w:bidi w:val="0"/>
        <w:adjustRightInd w:val="0"/>
        <w:snapToGrid w:val="0"/>
        <w:spacing w:line="520" w:lineRule="exact"/>
        <w:ind w:firstLine="640" w:firstLineChars="200"/>
        <w:rPr>
          <w:rFonts w:ascii="仿宋" w:hAnsi="仿宋" w:eastAsia="仿宋"/>
          <w:sz w:val="32"/>
          <w:szCs w:val="32"/>
        </w:rPr>
      </w:pPr>
      <w:r>
        <w:rPr>
          <w:rFonts w:hint="eastAsia" w:ascii="仿宋" w:hAnsi="仿宋" w:eastAsia="仿宋"/>
          <w:sz w:val="32"/>
          <w:szCs w:val="32"/>
        </w:rPr>
        <w:t>根据评价工作要求，通过查阅资料、</w:t>
      </w:r>
      <w:r>
        <w:rPr>
          <w:rFonts w:hint="eastAsia" w:ascii="仿宋" w:hAnsi="仿宋" w:eastAsia="仿宋"/>
          <w:sz w:val="32"/>
          <w:szCs w:val="32"/>
          <w:highlight w:val="none"/>
        </w:rPr>
        <w:t>听取介绍、现场调研、</w:t>
      </w:r>
      <w:r>
        <w:rPr>
          <w:rFonts w:hint="eastAsia" w:ascii="仿宋" w:hAnsi="仿宋" w:eastAsia="仿宋"/>
          <w:sz w:val="32"/>
          <w:szCs w:val="32"/>
        </w:rPr>
        <w:t>等多种方式收集基础资料。</w:t>
      </w:r>
    </w:p>
    <w:p w14:paraId="40FFE9BF">
      <w:pPr>
        <w:keepNext w:val="0"/>
        <w:keepLines w:val="0"/>
        <w:pageBreakBefore w:val="0"/>
        <w:numPr>
          <w:ilvl w:val="0"/>
          <w:numId w:val="1"/>
        </w:numPr>
        <w:kinsoku/>
        <w:wordWrap/>
        <w:overflowPunct/>
        <w:topLinePunct w:val="0"/>
        <w:autoSpaceDE/>
        <w:autoSpaceDN/>
        <w:bidi w:val="0"/>
        <w:adjustRightInd w:val="0"/>
        <w:snapToGrid w:val="0"/>
        <w:spacing w:line="52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14:paraId="7617BE44">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评价方法</w:t>
      </w:r>
    </w:p>
    <w:p w14:paraId="43F60596">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评价方法是对</w:t>
      </w:r>
      <w:r>
        <w:rPr>
          <w:rFonts w:hint="eastAsia" w:ascii="仿宋" w:hAnsi="仿宋" w:eastAsia="仿宋"/>
          <w:sz w:val="32"/>
          <w:szCs w:val="32"/>
          <w:highlight w:val="none"/>
        </w:rPr>
        <w:t>项目管理</w:t>
      </w:r>
      <w:r>
        <w:rPr>
          <w:rFonts w:hint="eastAsia" w:ascii="仿宋" w:hAnsi="仿宋" w:eastAsia="仿宋"/>
          <w:sz w:val="32"/>
          <w:szCs w:val="32"/>
        </w:rPr>
        <w:t>实施自评采用的具体手段，实施评价的过程是多种方法交叉和综合使用的过程。此项目在评价过程中主要采用了对比分析法和因素分析法等绩效评价方法。</w:t>
      </w:r>
    </w:p>
    <w:p w14:paraId="558E27FB">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2</w:t>
      </w:r>
      <w:r>
        <w:rPr>
          <w:rFonts w:hint="eastAsia" w:ascii="仿宋" w:hAnsi="仿宋" w:eastAsia="仿宋"/>
          <w:sz w:val="32"/>
          <w:szCs w:val="32"/>
          <w:lang w:val="en-US" w:eastAsia="zh-CN"/>
        </w:rPr>
        <w:t>.</w:t>
      </w:r>
      <w:r>
        <w:rPr>
          <w:rFonts w:hint="eastAsia" w:ascii="仿宋" w:hAnsi="仿宋" w:eastAsia="仿宋"/>
          <w:sz w:val="32"/>
          <w:szCs w:val="32"/>
        </w:rPr>
        <w:t>评价过程</w:t>
      </w:r>
    </w:p>
    <w:p w14:paraId="41E10A44">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（1）前期准备阶段</w:t>
      </w:r>
    </w:p>
    <w:p w14:paraId="0B7129C0">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①制定评价工作计划和方案</w:t>
      </w:r>
    </w:p>
    <w:p w14:paraId="449D6E2A">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②确定评价重点及评价指标</w:t>
      </w:r>
    </w:p>
    <w:p w14:paraId="369EC7C1">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③任务布置</w:t>
      </w:r>
    </w:p>
    <w:p w14:paraId="116E7D20">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（2）实施评价阶段</w:t>
      </w:r>
    </w:p>
    <w:p w14:paraId="03D5AB6A">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①资料审核</w:t>
      </w:r>
    </w:p>
    <w:p w14:paraId="57918FF1">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②现场和非现场调研评价</w:t>
      </w:r>
    </w:p>
    <w:p w14:paraId="12DD72FD">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③综合评价</w:t>
      </w:r>
    </w:p>
    <w:p w14:paraId="698762E6">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（3）撰写报告阶段</w:t>
      </w:r>
    </w:p>
    <w:p w14:paraId="6C74D49C">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①撰写报告</w:t>
      </w:r>
    </w:p>
    <w:p w14:paraId="293FDB6D">
      <w:pPr>
        <w:keepNext w:val="0"/>
        <w:keepLines w:val="0"/>
        <w:pageBreakBefore w:val="0"/>
        <w:kinsoku/>
        <w:wordWrap/>
        <w:overflowPunct/>
        <w:topLinePunct w:val="0"/>
        <w:autoSpaceDE/>
        <w:autoSpaceDN/>
        <w:bidi w:val="0"/>
        <w:adjustRightInd w:val="0"/>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②提交报告</w:t>
      </w:r>
    </w:p>
    <w:p w14:paraId="4537A9FE">
      <w:pPr>
        <w:keepNext w:val="0"/>
        <w:keepLines w:val="0"/>
        <w:pageBreakBefore w:val="0"/>
        <w:kinsoku/>
        <w:wordWrap/>
        <w:overflowPunct/>
        <w:topLinePunct w:val="0"/>
        <w:autoSpaceDE/>
        <w:autoSpaceDN/>
        <w:bidi w:val="0"/>
        <w:adjustRightInd w:val="0"/>
        <w:snapToGrid w:val="0"/>
        <w:spacing w:line="520" w:lineRule="exact"/>
        <w:ind w:firstLine="640" w:firstLineChars="200"/>
      </w:pPr>
      <w:r>
        <w:rPr>
          <w:rFonts w:hint="eastAsia" w:ascii="仿宋" w:hAnsi="仿宋" w:eastAsia="仿宋"/>
          <w:sz w:val="32"/>
          <w:szCs w:val="32"/>
        </w:rPr>
        <w:t>③归档存查</w:t>
      </w:r>
    </w:p>
    <w:p w14:paraId="25E9D44F">
      <w:pPr>
        <w:keepNext w:val="0"/>
        <w:keepLines w:val="0"/>
        <w:pageBreakBefore w:val="0"/>
        <w:kinsoku/>
        <w:wordWrap/>
        <w:overflowPunct/>
        <w:topLinePunct w:val="0"/>
        <w:autoSpaceDE/>
        <w:autoSpaceDN/>
        <w:bidi w:val="0"/>
        <w:adjustRightInd w:val="0"/>
        <w:snapToGrid w:val="0"/>
        <w:spacing w:line="52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14:paraId="2DB6091B">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在开展预算自评工作时，针对具体绩效评价对象的特点，设计能够体现项目特点绩效评价指标体系。绩效指标权重由各部门根据评价对象实际情况确定，总分设定为100分。</w:t>
      </w:r>
      <w:r>
        <w:rPr>
          <w:rFonts w:hint="eastAsia" w:ascii="仿宋" w:hAnsi="仿宋" w:eastAsia="仿宋"/>
          <w:sz w:val="32"/>
          <w:szCs w:val="32"/>
          <w:lang w:eastAsia="zh-CN"/>
        </w:rPr>
        <w:t>其中</w:t>
      </w:r>
      <w:r>
        <w:rPr>
          <w:rFonts w:hint="eastAsia" w:ascii="仿宋" w:hAnsi="仿宋" w:eastAsia="仿宋"/>
          <w:sz w:val="32"/>
          <w:szCs w:val="32"/>
        </w:rPr>
        <w:t>：产出指标40分（包含数量、质量、时效、成本）、预算执行率指标10分、效益指标40分、满意度指标10分。</w:t>
      </w:r>
    </w:p>
    <w:p w14:paraId="7C84092C">
      <w:pPr>
        <w:keepNext w:val="0"/>
        <w:keepLines w:val="0"/>
        <w:pageBreakBefore w:val="0"/>
        <w:kinsoku/>
        <w:wordWrap/>
        <w:overflowPunct/>
        <w:topLinePunct w:val="0"/>
        <w:autoSpaceDE/>
        <w:autoSpaceDN/>
        <w:bidi w:val="0"/>
        <w:spacing w:line="520" w:lineRule="exact"/>
        <w:ind w:firstLine="640" w:firstLineChars="200"/>
        <w:textAlignment w:val="auto"/>
        <w:rPr>
          <w:rFonts w:ascii="黑体" w:hAnsi="黑体" w:eastAsia="黑体"/>
          <w:b/>
          <w:bCs/>
          <w:sz w:val="32"/>
          <w:szCs w:val="32"/>
        </w:rPr>
      </w:pPr>
      <w:r>
        <w:rPr>
          <w:rFonts w:hint="eastAsia" w:ascii="黑体" w:hAnsi="黑体" w:eastAsia="黑体"/>
          <w:sz w:val="32"/>
          <w:szCs w:val="32"/>
        </w:rPr>
        <w:t>三、项目执行及绩效实现情况</w:t>
      </w:r>
    </w:p>
    <w:p w14:paraId="4326D79E">
      <w:pPr>
        <w:keepNext w:val="0"/>
        <w:keepLines w:val="0"/>
        <w:pageBreakBefore w:val="0"/>
        <w:numPr>
          <w:ilvl w:val="0"/>
          <w:numId w:val="2"/>
        </w:numPr>
        <w:kinsoku/>
        <w:wordWrap/>
        <w:overflowPunct/>
        <w:topLinePunct w:val="0"/>
        <w:autoSpaceDE/>
        <w:autoSpaceDN/>
        <w:bidi w:val="0"/>
        <w:spacing w:line="52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预算执行情况</w:t>
      </w:r>
    </w:p>
    <w:p w14:paraId="416E4915">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该项目年初预算资金</w:t>
      </w:r>
      <w:r>
        <w:rPr>
          <w:rFonts w:hint="eastAsia" w:ascii="仿宋" w:hAnsi="仿宋" w:eastAsia="仿宋"/>
          <w:sz w:val="32"/>
          <w:szCs w:val="32"/>
          <w:lang w:val="en-US" w:eastAsia="zh-CN"/>
        </w:rPr>
        <w:t>7225</w:t>
      </w:r>
      <w:r>
        <w:rPr>
          <w:rFonts w:hint="eastAsia" w:ascii="仿宋" w:hAnsi="仿宋" w:eastAsia="仿宋"/>
          <w:sz w:val="32"/>
          <w:szCs w:val="32"/>
        </w:rPr>
        <w:t>万元，根据项目完成进度，定期支付资金，年终预算支出</w:t>
      </w:r>
      <w:r>
        <w:rPr>
          <w:rFonts w:hint="eastAsia" w:ascii="仿宋" w:hAnsi="仿宋" w:eastAsia="仿宋"/>
          <w:sz w:val="32"/>
          <w:szCs w:val="32"/>
          <w:lang w:val="en-US" w:eastAsia="zh-CN"/>
        </w:rPr>
        <w:t>7225</w:t>
      </w:r>
      <w:r>
        <w:rPr>
          <w:rFonts w:hint="eastAsia" w:ascii="仿宋" w:hAnsi="仿宋" w:eastAsia="仿宋"/>
          <w:sz w:val="32"/>
          <w:szCs w:val="32"/>
        </w:rPr>
        <w:t>万元，</w:t>
      </w:r>
      <w:r>
        <w:rPr>
          <w:rFonts w:hint="eastAsia" w:ascii="仿宋" w:hAnsi="仿宋" w:eastAsia="仿宋"/>
          <w:sz w:val="32"/>
          <w:szCs w:val="32"/>
        </w:rPr>
        <w:t>预算执行进度达到100%</w:t>
      </w:r>
      <w:r>
        <w:rPr>
          <w:rFonts w:hint="eastAsia" w:ascii="仿宋" w:hAnsi="仿宋" w:eastAsia="仿宋"/>
          <w:sz w:val="32"/>
          <w:szCs w:val="32"/>
          <w:lang w:eastAsia="zh-CN"/>
        </w:rPr>
        <w:t>。</w:t>
      </w:r>
    </w:p>
    <w:p w14:paraId="27CAB117">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此项满分10分，自评</w:t>
      </w:r>
      <w:r>
        <w:rPr>
          <w:rFonts w:hint="eastAsia" w:ascii="仿宋" w:hAnsi="仿宋" w:eastAsia="仿宋"/>
          <w:sz w:val="32"/>
          <w:szCs w:val="32"/>
          <w:lang w:eastAsia="zh-CN"/>
        </w:rPr>
        <w:t>得分</w:t>
      </w:r>
      <w:r>
        <w:rPr>
          <w:rFonts w:hint="eastAsia" w:ascii="仿宋" w:hAnsi="仿宋" w:eastAsia="仿宋"/>
          <w:sz w:val="32"/>
          <w:szCs w:val="32"/>
          <w:lang w:val="en-US" w:eastAsia="zh-CN"/>
        </w:rPr>
        <w:t>10分</w:t>
      </w:r>
      <w:r>
        <w:rPr>
          <w:rFonts w:hint="eastAsia" w:ascii="仿宋" w:hAnsi="仿宋" w:eastAsia="仿宋"/>
          <w:sz w:val="32"/>
          <w:szCs w:val="32"/>
          <w:lang w:eastAsia="zh-CN"/>
        </w:rPr>
        <w:t>。</w:t>
      </w:r>
    </w:p>
    <w:p w14:paraId="349AF8A4">
      <w:pPr>
        <w:keepNext w:val="0"/>
        <w:keepLines w:val="0"/>
        <w:pageBreakBefore w:val="0"/>
        <w:kinsoku/>
        <w:wordWrap/>
        <w:overflowPunct/>
        <w:topLinePunct w:val="0"/>
        <w:autoSpaceDE/>
        <w:autoSpaceDN/>
        <w:bidi w:val="0"/>
        <w:spacing w:line="520" w:lineRule="exact"/>
        <w:textAlignment w:val="auto"/>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547C67F1">
      <w:pPr>
        <w:keepNext w:val="0"/>
        <w:keepLines w:val="0"/>
        <w:pageBreakBefore w:val="0"/>
        <w:kinsoku/>
        <w:wordWrap/>
        <w:overflowPunct/>
        <w:topLinePunct w:val="0"/>
        <w:autoSpaceDE/>
        <w:autoSpaceDN/>
        <w:bidi w:val="0"/>
        <w:spacing w:line="52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1.数量指标</w:t>
      </w:r>
    </w:p>
    <w:p w14:paraId="41C873BD">
      <w:pPr>
        <w:keepNext w:val="0"/>
        <w:keepLines w:val="0"/>
        <w:pageBreakBefore w:val="0"/>
        <w:kinsoku/>
        <w:wordWrap/>
        <w:overflowPunct/>
        <w:topLinePunct w:val="0"/>
        <w:autoSpaceDE/>
        <w:autoSpaceDN/>
        <w:bidi w:val="0"/>
        <w:spacing w:line="52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本</w:t>
      </w:r>
      <w:r>
        <w:rPr>
          <w:rFonts w:hint="eastAsia" w:ascii="仿宋" w:hAnsi="仿宋" w:eastAsia="仿宋"/>
          <w:sz w:val="32"/>
          <w:szCs w:val="32"/>
        </w:rPr>
        <w:t>项目经过精心组织，合理安排，按时完成全年任务。实际完成维护灯盏</w:t>
      </w:r>
      <w:r>
        <w:rPr>
          <w:rFonts w:hint="eastAsia" w:ascii="仿宋" w:hAnsi="仿宋" w:eastAsia="仿宋"/>
          <w:sz w:val="32"/>
          <w:szCs w:val="32"/>
          <w:lang w:val="en-US" w:eastAsia="zh-CN"/>
        </w:rPr>
        <w:t>744849</w:t>
      </w:r>
      <w:r>
        <w:rPr>
          <w:rFonts w:hint="eastAsia" w:ascii="仿宋" w:hAnsi="仿宋" w:eastAsia="仿宋"/>
          <w:sz w:val="32"/>
          <w:szCs w:val="32"/>
        </w:rPr>
        <w:t>盏，配电箱</w:t>
      </w:r>
      <w:r>
        <w:rPr>
          <w:rFonts w:hint="eastAsia" w:ascii="仿宋" w:hAnsi="仿宋" w:eastAsia="仿宋"/>
          <w:sz w:val="32"/>
          <w:szCs w:val="32"/>
          <w:lang w:val="en-US" w:eastAsia="zh-CN"/>
        </w:rPr>
        <w:t>555</w:t>
      </w:r>
      <w:r>
        <w:rPr>
          <w:rFonts w:hint="eastAsia" w:ascii="仿宋" w:hAnsi="仿宋" w:eastAsia="仿宋"/>
          <w:sz w:val="32"/>
          <w:szCs w:val="32"/>
        </w:rPr>
        <w:t>个，箱变</w:t>
      </w:r>
      <w:r>
        <w:rPr>
          <w:rFonts w:hint="eastAsia" w:ascii="仿宋" w:hAnsi="仿宋" w:eastAsia="仿宋"/>
          <w:sz w:val="32"/>
          <w:szCs w:val="32"/>
          <w:lang w:val="en-US" w:eastAsia="zh-CN"/>
        </w:rPr>
        <w:t>321</w:t>
      </w:r>
      <w:r>
        <w:rPr>
          <w:rFonts w:hint="eastAsia" w:ascii="仿宋" w:hAnsi="仿宋" w:eastAsia="仿宋"/>
          <w:sz w:val="32"/>
          <w:szCs w:val="32"/>
        </w:rPr>
        <w:t>个，终端</w:t>
      </w:r>
      <w:r>
        <w:rPr>
          <w:rFonts w:hint="eastAsia" w:ascii="仿宋" w:hAnsi="仿宋" w:eastAsia="仿宋"/>
          <w:sz w:val="32"/>
          <w:szCs w:val="32"/>
          <w:lang w:val="en-US" w:eastAsia="zh-CN"/>
        </w:rPr>
        <w:t>719</w:t>
      </w:r>
      <w:r>
        <w:rPr>
          <w:rFonts w:hint="eastAsia" w:ascii="仿宋" w:hAnsi="仿宋" w:eastAsia="仿宋"/>
          <w:sz w:val="32"/>
          <w:szCs w:val="32"/>
        </w:rPr>
        <w:t>个</w:t>
      </w:r>
      <w:r>
        <w:rPr>
          <w:rFonts w:hint="eastAsia" w:ascii="仿宋" w:hAnsi="仿宋" w:eastAsia="仿宋"/>
          <w:sz w:val="32"/>
          <w:szCs w:val="32"/>
          <w:lang w:eastAsia="zh-CN"/>
        </w:rPr>
        <w:t>。</w:t>
      </w:r>
      <w:r>
        <w:rPr>
          <w:rFonts w:hint="eastAsia" w:ascii="仿宋" w:hAnsi="仿宋" w:eastAsia="仿宋"/>
          <w:sz w:val="32"/>
          <w:szCs w:val="32"/>
          <w:lang w:val="en-US" w:eastAsia="zh-CN"/>
        </w:rPr>
        <w:t>在年度绩效目标范围内。</w:t>
      </w:r>
    </w:p>
    <w:p w14:paraId="017E8BA8">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数量指标满分20分，自评得分20分  </w:t>
      </w:r>
    </w:p>
    <w:p w14:paraId="6A4089B7">
      <w:pPr>
        <w:keepNext w:val="0"/>
        <w:keepLines w:val="0"/>
        <w:pageBreakBefore w:val="0"/>
        <w:kinsoku/>
        <w:wordWrap/>
        <w:overflowPunct/>
        <w:topLinePunct w:val="0"/>
        <w:autoSpaceDE/>
        <w:autoSpaceDN/>
        <w:bidi w:val="0"/>
        <w:spacing w:line="52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2.质量指标</w:t>
      </w:r>
    </w:p>
    <w:p w14:paraId="65A38344">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在照明设施维护过程中，严格落实安全防护措施，规范设置施工警示标识，保持作业现场整洁有序，确保施工过程安全文明无事故，安全文明施工100%。</w:t>
      </w:r>
    </w:p>
    <w:p w14:paraId="7A50F867">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根据照明设施维护考核结果，</w:t>
      </w:r>
      <w:r>
        <w:rPr>
          <w:rFonts w:hint="eastAsia" w:ascii="仿宋" w:hAnsi="仿宋" w:eastAsia="仿宋"/>
          <w:sz w:val="32"/>
          <w:szCs w:val="32"/>
        </w:rPr>
        <w:t>设施完好率</w:t>
      </w:r>
      <w:r>
        <w:rPr>
          <w:rFonts w:hint="eastAsia" w:ascii="仿宋" w:hAnsi="仿宋" w:eastAsia="仿宋"/>
          <w:sz w:val="32"/>
          <w:szCs w:val="32"/>
          <w:lang w:eastAsia="zh-CN"/>
        </w:rPr>
        <w:t>达到99.</w:t>
      </w:r>
      <w:r>
        <w:rPr>
          <w:rFonts w:hint="eastAsia" w:ascii="仿宋" w:hAnsi="仿宋" w:eastAsia="仿宋"/>
          <w:sz w:val="32"/>
          <w:szCs w:val="32"/>
          <w:lang w:val="en-US" w:eastAsia="zh-CN"/>
        </w:rPr>
        <w:t>71</w:t>
      </w:r>
      <w:r>
        <w:rPr>
          <w:rFonts w:hint="eastAsia" w:ascii="仿宋" w:hAnsi="仿宋" w:eastAsia="仿宋"/>
          <w:sz w:val="32"/>
          <w:szCs w:val="32"/>
          <w:lang w:eastAsia="zh-CN"/>
        </w:rPr>
        <w:t>%以上，主要街道亮灯率达到99.</w:t>
      </w:r>
      <w:r>
        <w:rPr>
          <w:rFonts w:hint="eastAsia" w:ascii="仿宋" w:hAnsi="仿宋" w:eastAsia="仿宋"/>
          <w:sz w:val="32"/>
          <w:szCs w:val="32"/>
          <w:lang w:val="en-US" w:eastAsia="zh-CN"/>
        </w:rPr>
        <w:t>67</w:t>
      </w:r>
      <w:r>
        <w:rPr>
          <w:rFonts w:hint="eastAsia" w:ascii="仿宋" w:hAnsi="仿宋" w:eastAsia="仿宋"/>
          <w:sz w:val="32"/>
          <w:szCs w:val="32"/>
          <w:lang w:eastAsia="zh-CN"/>
        </w:rPr>
        <w:t>%以上。</w:t>
      </w:r>
    </w:p>
    <w:p w14:paraId="544290CA">
      <w:pPr>
        <w:keepNext w:val="0"/>
        <w:keepLines w:val="0"/>
        <w:pageBreakBefore w:val="0"/>
        <w:kinsoku/>
        <w:wordWrap/>
        <w:overflowPunct/>
        <w:topLinePunct w:val="0"/>
        <w:autoSpaceDE/>
        <w:autoSpaceDN/>
        <w:bidi w:val="0"/>
        <w:spacing w:line="52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质量指标满分12分，自评得分12分。</w:t>
      </w:r>
    </w:p>
    <w:p w14:paraId="753C5BCB">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3.时效指标</w:t>
      </w:r>
    </w:p>
    <w:p w14:paraId="3792FFA2">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预期绩效目标为“抢修人员3天内修复”，根据工单反馈记录，抢修人员均在3天内修复。</w:t>
      </w:r>
    </w:p>
    <w:p w14:paraId="274DD8B7">
      <w:pPr>
        <w:keepNext w:val="0"/>
        <w:keepLines w:val="0"/>
        <w:pageBreakBefore w:val="0"/>
        <w:kinsoku/>
        <w:wordWrap/>
        <w:overflowPunct/>
        <w:topLinePunct w:val="0"/>
        <w:autoSpaceDE/>
        <w:autoSpaceDN/>
        <w:bidi w:val="0"/>
        <w:spacing w:line="52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时效指标满分4分，自评得分4分。    </w:t>
      </w:r>
    </w:p>
    <w:p w14:paraId="619A237A">
      <w:pPr>
        <w:keepNext w:val="0"/>
        <w:keepLines w:val="0"/>
        <w:pageBreakBefore w:val="0"/>
        <w:kinsoku/>
        <w:wordWrap/>
        <w:overflowPunct/>
        <w:topLinePunct w:val="0"/>
        <w:autoSpaceDE/>
        <w:autoSpaceDN/>
        <w:bidi w:val="0"/>
        <w:spacing w:line="52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4.成本指标</w:t>
      </w:r>
    </w:p>
    <w:p w14:paraId="5A079089">
      <w:pPr>
        <w:keepNext w:val="0"/>
        <w:keepLines w:val="0"/>
        <w:pageBreakBefore w:val="0"/>
        <w:kinsoku/>
        <w:wordWrap/>
        <w:overflowPunct/>
        <w:topLinePunct w:val="0"/>
        <w:autoSpaceDE/>
        <w:autoSpaceDN/>
        <w:bidi w:val="0"/>
        <w:spacing w:line="52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预期绩效目标为“维护费支出金额≤7225万元”，2024年实际支付金额7225万元，在成本控制范围内。</w:t>
      </w:r>
    </w:p>
    <w:p w14:paraId="1DA74D2B">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成本指标满分4分，自评得分4分。</w:t>
      </w:r>
    </w:p>
    <w:p w14:paraId="6F65A3C8">
      <w:pPr>
        <w:keepNext w:val="0"/>
        <w:keepLines w:val="0"/>
        <w:pageBreakBefore w:val="0"/>
        <w:kinsoku/>
        <w:wordWrap/>
        <w:overflowPunct/>
        <w:topLinePunct w:val="0"/>
        <w:autoSpaceDE/>
        <w:autoSpaceDN/>
        <w:bidi w:val="0"/>
        <w:spacing w:line="52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（三）项目效益</w:t>
      </w:r>
    </w:p>
    <w:p w14:paraId="2B75EFF0">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照明设施维护经费有效保障了城市亮化工程的持续运行，通过优化照明布局和提升设施完好率，美化了城市夜景环境。同时，完善的照明设施为市民夜间出行提供了安全便利的交通条件，切实增强了公众生活品质和城市宜居性。</w:t>
      </w:r>
    </w:p>
    <w:p w14:paraId="067C2755">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效益指标满分40分，自评得分40分。</w:t>
      </w:r>
    </w:p>
    <w:p w14:paraId="4BCDFB8B">
      <w:pPr>
        <w:keepNext w:val="0"/>
        <w:keepLines w:val="0"/>
        <w:pageBreakBefore w:val="0"/>
        <w:kinsoku/>
        <w:wordWrap/>
        <w:overflowPunct/>
        <w:topLinePunct w:val="0"/>
        <w:autoSpaceDE/>
        <w:autoSpaceDN/>
        <w:bidi w:val="0"/>
        <w:spacing w:line="52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（四）满意度</w:t>
      </w:r>
    </w:p>
    <w:p w14:paraId="244BCF2B">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预期绩效目标为“市民满意度≥90%”，通过问卷调查，市民反馈对维修工作的满意度=90%。</w:t>
      </w:r>
    </w:p>
    <w:p w14:paraId="1DBF5172">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outlineLvl w:val="0"/>
        <w:rPr>
          <w:rFonts w:hint="eastAsia" w:ascii="仿宋" w:hAnsi="仿宋" w:eastAsia="仿宋"/>
          <w:sz w:val="32"/>
          <w:szCs w:val="32"/>
          <w:lang w:eastAsia="zh-CN"/>
        </w:rPr>
      </w:pPr>
      <w:r>
        <w:rPr>
          <w:rFonts w:hint="eastAsia" w:ascii="仿宋" w:hAnsi="仿宋" w:eastAsia="仿宋"/>
          <w:sz w:val="32"/>
          <w:szCs w:val="32"/>
          <w:lang w:val="en-US" w:eastAsia="zh-CN"/>
        </w:rPr>
        <w:t>满意度指标满分10分，自评</w:t>
      </w:r>
      <w:r>
        <w:rPr>
          <w:rFonts w:hint="eastAsia" w:ascii="仿宋" w:hAnsi="仿宋" w:eastAsia="仿宋"/>
          <w:sz w:val="32"/>
          <w:szCs w:val="32"/>
          <w:lang w:eastAsia="zh-CN"/>
        </w:rPr>
        <w:t>得分</w:t>
      </w:r>
      <w:r>
        <w:rPr>
          <w:rFonts w:hint="eastAsia" w:ascii="仿宋" w:hAnsi="仿宋" w:eastAsia="仿宋"/>
          <w:sz w:val="32"/>
          <w:szCs w:val="32"/>
          <w:lang w:val="en-US" w:eastAsia="zh-CN"/>
        </w:rPr>
        <w:t>10分</w:t>
      </w:r>
      <w:r>
        <w:rPr>
          <w:rFonts w:hint="eastAsia" w:ascii="仿宋" w:hAnsi="仿宋" w:eastAsia="仿宋"/>
          <w:sz w:val="32"/>
          <w:szCs w:val="32"/>
          <w:lang w:eastAsia="zh-CN"/>
        </w:rPr>
        <w:t>。</w:t>
      </w:r>
    </w:p>
    <w:p w14:paraId="69D56C7A">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outlineLvl w:val="0"/>
        <w:rPr>
          <w:rFonts w:hint="eastAsia"/>
          <w:lang w:eastAsia="zh-CN"/>
        </w:rPr>
      </w:pPr>
      <w:r>
        <w:rPr>
          <w:rFonts w:hint="eastAsia" w:ascii="仿宋" w:hAnsi="仿宋" w:eastAsia="仿宋"/>
          <w:sz w:val="32"/>
          <w:szCs w:val="32"/>
          <w:lang w:val="en-US" w:eastAsia="zh-CN"/>
        </w:rPr>
        <w:t>自评得分明细如下表：</w:t>
      </w:r>
    </w:p>
    <w:tbl>
      <w:tblPr>
        <w:tblStyle w:val="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36"/>
        <w:gridCol w:w="1251"/>
        <w:gridCol w:w="1097"/>
        <w:gridCol w:w="922"/>
        <w:gridCol w:w="1080"/>
        <w:gridCol w:w="1350"/>
        <w:gridCol w:w="1185"/>
        <w:gridCol w:w="1020"/>
      </w:tblGrid>
      <w:tr w14:paraId="2BC98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041" w:type="dxa"/>
            <w:gridSpan w:val="8"/>
            <w:tcBorders>
              <w:top w:val="nil"/>
              <w:left w:val="nil"/>
              <w:bottom w:val="nil"/>
              <w:right w:val="nil"/>
            </w:tcBorders>
            <w:shd w:val="clear" w:color="auto" w:fill="auto"/>
            <w:noWrap/>
            <w:vAlign w:val="center"/>
          </w:tcPr>
          <w:p w14:paraId="6CBB4686">
            <w:pPr>
              <w:keepNext w:val="0"/>
              <w:keepLines w:val="0"/>
              <w:pageBreakBefore w:val="0"/>
              <w:widowControl/>
              <w:suppressLineNumbers w:val="0"/>
              <w:kinsoku/>
              <w:wordWrap/>
              <w:overflowPunct/>
              <w:topLinePunct w:val="0"/>
              <w:autoSpaceDE/>
              <w:autoSpaceDN/>
              <w:bidi w:val="0"/>
              <w:spacing w:line="520" w:lineRule="exact"/>
              <w:jc w:val="center"/>
              <w:textAlignment w:val="center"/>
              <w:rPr>
                <w:rFonts w:ascii="方正小标宋_GBK" w:hAnsi="方正小标宋_GBK" w:eastAsia="方正小标宋_GBK" w:cs="方正小标宋_GBK"/>
                <w:i w:val="0"/>
                <w:iCs w:val="0"/>
                <w:color w:val="000000"/>
                <w:sz w:val="44"/>
                <w:szCs w:val="44"/>
                <w:u w:val="none"/>
              </w:rPr>
            </w:pPr>
            <w:r>
              <w:rPr>
                <w:rFonts w:hint="default" w:ascii="方正小标宋_GBK" w:hAnsi="方正小标宋_GBK" w:eastAsia="方正小标宋_GBK" w:cs="方正小标宋_GBK"/>
                <w:i w:val="0"/>
                <w:iCs w:val="0"/>
                <w:color w:val="000000"/>
                <w:kern w:val="0"/>
                <w:sz w:val="44"/>
                <w:szCs w:val="44"/>
                <w:u w:val="none"/>
                <w:lang w:val="en-US" w:eastAsia="zh-CN" w:bidi="ar"/>
              </w:rPr>
              <w:t>市级部门预算项目绩效自评表</w:t>
            </w:r>
          </w:p>
        </w:tc>
      </w:tr>
      <w:tr w14:paraId="44DD0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041" w:type="dxa"/>
            <w:gridSpan w:val="8"/>
            <w:tcBorders>
              <w:top w:val="nil"/>
              <w:left w:val="nil"/>
              <w:bottom w:val="nil"/>
              <w:right w:val="nil"/>
            </w:tcBorders>
            <w:shd w:val="clear" w:color="auto" w:fill="auto"/>
            <w:noWrap/>
            <w:vAlign w:val="center"/>
          </w:tcPr>
          <w:p w14:paraId="1B26AEA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w:t>
            </w:r>
            <w:r>
              <w:rPr>
                <w:rFonts w:hint="eastAsia" w:ascii="宋体" w:hAnsi="宋体" w:cs="宋体"/>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年度）</w:t>
            </w:r>
          </w:p>
        </w:tc>
      </w:tr>
      <w:tr w14:paraId="6CAA4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36" w:type="dxa"/>
            <w:tcBorders>
              <w:top w:val="nil"/>
              <w:left w:val="nil"/>
              <w:bottom w:val="nil"/>
              <w:right w:val="nil"/>
            </w:tcBorders>
            <w:shd w:val="clear" w:color="auto" w:fill="auto"/>
            <w:noWrap/>
            <w:vAlign w:val="center"/>
          </w:tcPr>
          <w:p w14:paraId="7B97CA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填报单位：</w:t>
            </w:r>
          </w:p>
        </w:tc>
        <w:tc>
          <w:tcPr>
            <w:tcW w:w="3270" w:type="dxa"/>
            <w:gridSpan w:val="3"/>
            <w:tcBorders>
              <w:top w:val="nil"/>
              <w:left w:val="nil"/>
              <w:bottom w:val="nil"/>
              <w:right w:val="nil"/>
            </w:tcBorders>
            <w:shd w:val="clear" w:color="auto" w:fill="auto"/>
            <w:noWrap/>
            <w:vAlign w:val="center"/>
          </w:tcPr>
          <w:p w14:paraId="34C3E5B6">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石家庄市城市照明管护中心</w:t>
            </w:r>
          </w:p>
        </w:tc>
        <w:tc>
          <w:tcPr>
            <w:tcW w:w="1080" w:type="dxa"/>
            <w:tcBorders>
              <w:top w:val="nil"/>
              <w:left w:val="nil"/>
              <w:bottom w:val="nil"/>
              <w:right w:val="nil"/>
            </w:tcBorders>
            <w:shd w:val="clear" w:color="auto" w:fill="auto"/>
            <w:noWrap/>
            <w:vAlign w:val="center"/>
          </w:tcPr>
          <w:p w14:paraId="1E2B2C18">
            <w:pPr>
              <w:jc w:val="center"/>
              <w:rPr>
                <w:rFonts w:hint="eastAsia" w:ascii="宋体" w:hAnsi="宋体" w:eastAsia="宋体" w:cs="宋体"/>
                <w:i w:val="0"/>
                <w:iCs w:val="0"/>
                <w:color w:val="000000"/>
                <w:sz w:val="20"/>
                <w:szCs w:val="20"/>
                <w:u w:val="none"/>
              </w:rPr>
            </w:pPr>
          </w:p>
        </w:tc>
        <w:tc>
          <w:tcPr>
            <w:tcW w:w="1350" w:type="dxa"/>
            <w:tcBorders>
              <w:top w:val="nil"/>
              <w:left w:val="nil"/>
              <w:bottom w:val="nil"/>
              <w:right w:val="nil"/>
            </w:tcBorders>
            <w:shd w:val="clear" w:color="auto" w:fill="auto"/>
            <w:vAlign w:val="center"/>
          </w:tcPr>
          <w:p w14:paraId="31EE30FD">
            <w:pPr>
              <w:jc w:val="center"/>
              <w:rPr>
                <w:rFonts w:hint="eastAsia" w:ascii="宋体" w:hAnsi="宋体" w:eastAsia="宋体" w:cs="宋体"/>
                <w:i w:val="0"/>
                <w:iCs w:val="0"/>
                <w:color w:val="000000"/>
                <w:sz w:val="20"/>
                <w:szCs w:val="20"/>
                <w:u w:val="none"/>
              </w:rPr>
            </w:pPr>
          </w:p>
        </w:tc>
        <w:tc>
          <w:tcPr>
            <w:tcW w:w="2205" w:type="dxa"/>
            <w:gridSpan w:val="2"/>
            <w:tcBorders>
              <w:top w:val="nil"/>
              <w:left w:val="nil"/>
              <w:bottom w:val="nil"/>
              <w:right w:val="nil"/>
            </w:tcBorders>
            <w:shd w:val="clear" w:color="auto" w:fill="auto"/>
            <w:vAlign w:val="center"/>
          </w:tcPr>
          <w:p w14:paraId="6811C7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14:paraId="7EA48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36" w:type="dxa"/>
            <w:tcBorders>
              <w:top w:val="single" w:color="000000" w:sz="4" w:space="0"/>
              <w:left w:val="single" w:color="000000" w:sz="4" w:space="0"/>
              <w:bottom w:val="nil"/>
              <w:right w:val="single" w:color="000000" w:sz="4" w:space="0"/>
            </w:tcBorders>
            <w:shd w:val="clear" w:color="auto" w:fill="auto"/>
            <w:vAlign w:val="center"/>
          </w:tcPr>
          <w:p w14:paraId="115E26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w:t>
            </w:r>
            <w:r>
              <w:rPr>
                <w:rStyle w:val="9"/>
                <w:rFonts w:eastAsia="宋体"/>
                <w:lang w:val="en-US" w:eastAsia="zh-CN" w:bidi="ar"/>
              </w:rPr>
              <w:t xml:space="preserve"> </w:t>
            </w:r>
            <w:r>
              <w:rPr>
                <w:rStyle w:val="10"/>
                <w:lang w:val="en-US" w:eastAsia="zh-CN" w:bidi="ar"/>
              </w:rPr>
              <w:t>基本情况</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B59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0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8638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照明设施维护经费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1FA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实施(主管）单位</w:t>
            </w:r>
          </w:p>
        </w:tc>
        <w:tc>
          <w:tcPr>
            <w:tcW w:w="35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44FC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石家庄市城市照明管护中心</w:t>
            </w:r>
          </w:p>
        </w:tc>
      </w:tr>
      <w:tr w14:paraId="5ED25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B1E9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二、预算执行情况</w:t>
            </w:r>
          </w:p>
        </w:tc>
        <w:tc>
          <w:tcPr>
            <w:tcW w:w="2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3FF2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预算安排情况（调整后）</w:t>
            </w:r>
          </w:p>
        </w:tc>
        <w:tc>
          <w:tcPr>
            <w:tcW w:w="2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1269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资金到位情况</w:t>
            </w:r>
          </w:p>
        </w:tc>
        <w:tc>
          <w:tcPr>
            <w:tcW w:w="25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6F93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资金执行情况</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9F9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预算执行进度</w:t>
            </w:r>
          </w:p>
        </w:tc>
      </w:tr>
      <w:tr w14:paraId="06986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E2BE0">
            <w:pPr>
              <w:jc w:val="center"/>
              <w:rPr>
                <w:rFonts w:hint="eastAsia" w:ascii="宋体" w:hAnsi="宋体" w:eastAsia="宋体" w:cs="宋体"/>
                <w:i w:val="0"/>
                <w:iCs w:val="0"/>
                <w:color w:val="000000"/>
                <w:sz w:val="20"/>
                <w:szCs w:val="20"/>
                <w:u w:val="none"/>
              </w:rPr>
            </w:pP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876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预算数：</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62D8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7225</w:t>
            </w:r>
            <w:r>
              <w:rPr>
                <w:rFonts w:hint="eastAsia" w:ascii="宋体" w:hAnsi="宋体" w:eastAsia="宋体" w:cs="宋体"/>
                <w:i w:val="0"/>
                <w:iCs w:val="0"/>
                <w:color w:val="000000"/>
                <w:kern w:val="0"/>
                <w:sz w:val="22"/>
                <w:szCs w:val="22"/>
                <w:u w:val="none"/>
                <w:lang w:val="en-US" w:eastAsia="zh-CN" w:bidi="ar"/>
              </w:rPr>
              <w:t xml:space="preserve">.00 </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5DB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到位数：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C167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7225</w:t>
            </w:r>
            <w:r>
              <w:rPr>
                <w:rFonts w:hint="eastAsia" w:ascii="宋体" w:hAnsi="宋体" w:eastAsia="宋体" w:cs="宋体"/>
                <w:i w:val="0"/>
                <w:iCs w:val="0"/>
                <w:color w:val="000000"/>
                <w:kern w:val="0"/>
                <w:sz w:val="22"/>
                <w:szCs w:val="22"/>
                <w:u w:val="none"/>
                <w:lang w:val="en-US" w:eastAsia="zh-CN" w:bidi="ar"/>
              </w:rPr>
              <w:t xml:space="preserve">.00 </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AA6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执行数：</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3682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7225</w:t>
            </w:r>
            <w:r>
              <w:rPr>
                <w:rFonts w:hint="eastAsia" w:ascii="宋体" w:hAnsi="宋体" w:eastAsia="宋体" w:cs="宋体"/>
                <w:i w:val="0"/>
                <w:iCs w:val="0"/>
                <w:color w:val="000000"/>
                <w:kern w:val="0"/>
                <w:sz w:val="22"/>
                <w:szCs w:val="22"/>
                <w:u w:val="none"/>
                <w:lang w:val="en-US" w:eastAsia="zh-CN" w:bidi="ar"/>
              </w:rPr>
              <w:t xml:space="preserve">.00 </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0B2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5C42B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56B27">
            <w:pPr>
              <w:jc w:val="center"/>
              <w:rPr>
                <w:rFonts w:hint="eastAsia" w:ascii="宋体" w:hAnsi="宋体" w:eastAsia="宋体" w:cs="宋体"/>
                <w:i w:val="0"/>
                <w:iCs w:val="0"/>
                <w:color w:val="000000"/>
                <w:sz w:val="20"/>
                <w:szCs w:val="20"/>
                <w:u w:val="none"/>
              </w:rPr>
            </w:pP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50C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                 财政资金</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FC56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7225</w:t>
            </w:r>
            <w:r>
              <w:rPr>
                <w:rFonts w:hint="eastAsia" w:ascii="宋体" w:hAnsi="宋体" w:eastAsia="宋体" w:cs="宋体"/>
                <w:i w:val="0"/>
                <w:iCs w:val="0"/>
                <w:color w:val="000000"/>
                <w:kern w:val="0"/>
                <w:sz w:val="22"/>
                <w:szCs w:val="22"/>
                <w:u w:val="none"/>
                <w:lang w:val="en-US" w:eastAsia="zh-CN" w:bidi="ar"/>
              </w:rPr>
              <w:t xml:space="preserve">.00 </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562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                      财政资金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DCDE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7225</w:t>
            </w:r>
            <w:r>
              <w:rPr>
                <w:rFonts w:hint="eastAsia" w:ascii="宋体" w:hAnsi="宋体" w:eastAsia="宋体" w:cs="宋体"/>
                <w:i w:val="0"/>
                <w:iCs w:val="0"/>
                <w:color w:val="000000"/>
                <w:kern w:val="0"/>
                <w:sz w:val="22"/>
                <w:szCs w:val="22"/>
                <w:u w:val="none"/>
                <w:lang w:val="en-US" w:eastAsia="zh-CN" w:bidi="ar"/>
              </w:rPr>
              <w:t xml:space="preserve">.00 </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8B4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                     财政资金</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3AEB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7225</w:t>
            </w:r>
            <w:r>
              <w:rPr>
                <w:rFonts w:hint="eastAsia" w:ascii="宋体" w:hAnsi="宋体" w:eastAsia="宋体" w:cs="宋体"/>
                <w:i w:val="0"/>
                <w:iCs w:val="0"/>
                <w:color w:val="000000"/>
                <w:kern w:val="0"/>
                <w:sz w:val="22"/>
                <w:szCs w:val="22"/>
                <w:u w:val="none"/>
                <w:lang w:val="en-US" w:eastAsia="zh-CN" w:bidi="ar"/>
              </w:rPr>
              <w:t xml:space="preserve">.00 </w:t>
            </w: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08DDD">
            <w:pPr>
              <w:jc w:val="center"/>
              <w:rPr>
                <w:rFonts w:hint="eastAsia" w:ascii="宋体" w:hAnsi="宋体" w:eastAsia="宋体" w:cs="宋体"/>
                <w:i w:val="0"/>
                <w:iCs w:val="0"/>
                <w:color w:val="000000"/>
                <w:sz w:val="20"/>
                <w:szCs w:val="20"/>
                <w:u w:val="none"/>
              </w:rPr>
            </w:pPr>
          </w:p>
        </w:tc>
      </w:tr>
      <w:tr w14:paraId="0D3A2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05477">
            <w:pPr>
              <w:jc w:val="center"/>
              <w:rPr>
                <w:rFonts w:hint="eastAsia" w:ascii="宋体" w:hAnsi="宋体" w:eastAsia="宋体" w:cs="宋体"/>
                <w:i w:val="0"/>
                <w:iCs w:val="0"/>
                <w:color w:val="000000"/>
                <w:sz w:val="20"/>
                <w:szCs w:val="20"/>
                <w:u w:val="none"/>
              </w:rPr>
            </w:pP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F67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1687C">
            <w:pPr>
              <w:jc w:val="right"/>
              <w:rPr>
                <w:rFonts w:hint="eastAsia" w:ascii="宋体" w:hAnsi="宋体" w:eastAsia="宋体" w:cs="宋体"/>
                <w:i w:val="0"/>
                <w:iCs w:val="0"/>
                <w:color w:val="000000"/>
                <w:sz w:val="22"/>
                <w:szCs w:val="22"/>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E28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AEF6A">
            <w:pPr>
              <w:jc w:val="right"/>
              <w:rPr>
                <w:rFonts w:hint="eastAsia" w:ascii="宋体" w:hAnsi="宋体" w:eastAsia="宋体" w:cs="宋体"/>
                <w:i w:val="0"/>
                <w:iCs w:val="0"/>
                <w:color w:val="000000"/>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7B2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CB473">
            <w:pPr>
              <w:jc w:val="right"/>
              <w:rPr>
                <w:rFonts w:hint="eastAsia" w:ascii="宋体" w:hAnsi="宋体" w:eastAsia="宋体" w:cs="宋体"/>
                <w:i w:val="0"/>
                <w:iCs w:val="0"/>
                <w:color w:val="000000"/>
                <w:sz w:val="22"/>
                <w:szCs w:val="22"/>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17BD43">
            <w:pPr>
              <w:jc w:val="center"/>
              <w:rPr>
                <w:rFonts w:hint="eastAsia" w:ascii="宋体" w:hAnsi="宋体" w:eastAsia="宋体" w:cs="宋体"/>
                <w:i w:val="0"/>
                <w:iCs w:val="0"/>
                <w:color w:val="000000"/>
                <w:sz w:val="20"/>
                <w:szCs w:val="20"/>
                <w:u w:val="none"/>
              </w:rPr>
            </w:pPr>
          </w:p>
        </w:tc>
      </w:tr>
      <w:tr w14:paraId="363D0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08BC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三、目标完成情况</w:t>
            </w:r>
          </w:p>
        </w:tc>
        <w:tc>
          <w:tcPr>
            <w:tcW w:w="32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005A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年度预期目标</w:t>
            </w:r>
          </w:p>
        </w:tc>
        <w:tc>
          <w:tcPr>
            <w:tcW w:w="36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4CF4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具体完成情况</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09E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总体完成率</w:t>
            </w:r>
          </w:p>
        </w:tc>
      </w:tr>
      <w:tr w14:paraId="66587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DAB26">
            <w:pPr>
              <w:jc w:val="center"/>
              <w:rPr>
                <w:rFonts w:hint="eastAsia" w:ascii="宋体" w:hAnsi="宋体" w:eastAsia="宋体" w:cs="宋体"/>
                <w:i w:val="0"/>
                <w:iCs w:val="0"/>
                <w:color w:val="000000"/>
                <w:sz w:val="20"/>
                <w:szCs w:val="20"/>
                <w:u w:val="none"/>
              </w:rPr>
            </w:pPr>
          </w:p>
        </w:tc>
        <w:tc>
          <w:tcPr>
            <w:tcW w:w="3270"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0B0F14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通过对照明设施维护维修，提升景观亮化质量，提升城市照明质量，保障设施安全，促进夜经济发展。</w:t>
            </w:r>
          </w:p>
        </w:tc>
        <w:tc>
          <w:tcPr>
            <w:tcW w:w="3615" w:type="dxa"/>
            <w:gridSpan w:val="3"/>
            <w:vMerge w:val="restart"/>
            <w:tcBorders>
              <w:top w:val="single" w:color="000000" w:sz="4" w:space="0"/>
              <w:left w:val="single" w:color="000000" w:sz="4" w:space="0"/>
              <w:bottom w:val="nil"/>
              <w:right w:val="single" w:color="000000" w:sz="4" w:space="0"/>
            </w:tcBorders>
            <w:shd w:val="clear" w:color="auto" w:fill="auto"/>
            <w:vAlign w:val="center"/>
          </w:tcPr>
          <w:p w14:paraId="1EDFB9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已完成提升城市照明质量，促进夜经济发展的项目目标。</w:t>
            </w:r>
          </w:p>
        </w:tc>
        <w:tc>
          <w:tcPr>
            <w:tcW w:w="1020" w:type="dxa"/>
            <w:vMerge w:val="restart"/>
            <w:tcBorders>
              <w:top w:val="single" w:color="000000" w:sz="4" w:space="0"/>
              <w:left w:val="single" w:color="000000" w:sz="4" w:space="0"/>
              <w:bottom w:val="nil"/>
              <w:right w:val="single" w:color="000000" w:sz="4" w:space="0"/>
            </w:tcBorders>
            <w:shd w:val="clear" w:color="auto" w:fill="auto"/>
            <w:vAlign w:val="center"/>
          </w:tcPr>
          <w:p w14:paraId="27A0F9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25554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13A48">
            <w:pPr>
              <w:jc w:val="center"/>
              <w:rPr>
                <w:rFonts w:hint="eastAsia" w:ascii="宋体" w:hAnsi="宋体" w:eastAsia="宋体" w:cs="宋体"/>
                <w:i w:val="0"/>
                <w:iCs w:val="0"/>
                <w:color w:val="000000"/>
                <w:sz w:val="20"/>
                <w:szCs w:val="20"/>
                <w:u w:val="none"/>
              </w:rPr>
            </w:pPr>
          </w:p>
        </w:tc>
        <w:tc>
          <w:tcPr>
            <w:tcW w:w="3270"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3E202B55">
            <w:pPr>
              <w:jc w:val="center"/>
              <w:rPr>
                <w:rFonts w:hint="eastAsia" w:ascii="宋体" w:hAnsi="宋体" w:eastAsia="宋体" w:cs="宋体"/>
                <w:i w:val="0"/>
                <w:iCs w:val="0"/>
                <w:color w:val="000000"/>
                <w:sz w:val="20"/>
                <w:szCs w:val="20"/>
                <w:u w:val="none"/>
              </w:rPr>
            </w:pPr>
          </w:p>
        </w:tc>
        <w:tc>
          <w:tcPr>
            <w:tcW w:w="3615"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6F251C32">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auto"/>
            <w:vAlign w:val="center"/>
          </w:tcPr>
          <w:p w14:paraId="2FFBEC73">
            <w:pPr>
              <w:jc w:val="center"/>
              <w:rPr>
                <w:rFonts w:hint="eastAsia" w:ascii="宋体" w:hAnsi="宋体" w:eastAsia="宋体" w:cs="宋体"/>
                <w:i w:val="0"/>
                <w:iCs w:val="0"/>
                <w:color w:val="000000"/>
                <w:sz w:val="20"/>
                <w:szCs w:val="20"/>
                <w:u w:val="none"/>
              </w:rPr>
            </w:pPr>
          </w:p>
        </w:tc>
      </w:tr>
      <w:tr w14:paraId="22E90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2817C">
            <w:pPr>
              <w:jc w:val="center"/>
              <w:rPr>
                <w:rFonts w:hint="eastAsia" w:ascii="宋体" w:hAnsi="宋体" w:eastAsia="宋体" w:cs="宋体"/>
                <w:i w:val="0"/>
                <w:iCs w:val="0"/>
                <w:color w:val="000000"/>
                <w:sz w:val="20"/>
                <w:szCs w:val="20"/>
                <w:u w:val="none"/>
              </w:rPr>
            </w:pPr>
          </w:p>
        </w:tc>
        <w:tc>
          <w:tcPr>
            <w:tcW w:w="3270"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1453C1FC">
            <w:pPr>
              <w:jc w:val="center"/>
              <w:rPr>
                <w:rFonts w:hint="eastAsia" w:ascii="宋体" w:hAnsi="宋体" w:eastAsia="宋体" w:cs="宋体"/>
                <w:i w:val="0"/>
                <w:iCs w:val="0"/>
                <w:color w:val="000000"/>
                <w:sz w:val="20"/>
                <w:szCs w:val="20"/>
                <w:u w:val="none"/>
              </w:rPr>
            </w:pPr>
          </w:p>
        </w:tc>
        <w:tc>
          <w:tcPr>
            <w:tcW w:w="3615" w:type="dxa"/>
            <w:gridSpan w:val="3"/>
            <w:vMerge w:val="continue"/>
            <w:tcBorders>
              <w:top w:val="single" w:color="000000" w:sz="4" w:space="0"/>
              <w:left w:val="single" w:color="000000" w:sz="4" w:space="0"/>
              <w:bottom w:val="nil"/>
              <w:right w:val="single" w:color="000000" w:sz="4" w:space="0"/>
            </w:tcBorders>
            <w:shd w:val="clear" w:color="auto" w:fill="auto"/>
            <w:vAlign w:val="center"/>
          </w:tcPr>
          <w:p w14:paraId="2E593C8E">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auto"/>
            <w:vAlign w:val="center"/>
          </w:tcPr>
          <w:p w14:paraId="7DFAE9F7">
            <w:pPr>
              <w:jc w:val="center"/>
              <w:rPr>
                <w:rFonts w:hint="eastAsia" w:ascii="宋体" w:hAnsi="宋体" w:eastAsia="宋体" w:cs="宋体"/>
                <w:i w:val="0"/>
                <w:iCs w:val="0"/>
                <w:color w:val="000000"/>
                <w:sz w:val="20"/>
                <w:szCs w:val="20"/>
                <w:u w:val="none"/>
              </w:rPr>
            </w:pPr>
          </w:p>
        </w:tc>
      </w:tr>
      <w:tr w14:paraId="3DCD5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136" w:type="dxa"/>
            <w:vMerge w:val="restart"/>
            <w:tcBorders>
              <w:top w:val="single" w:color="000000" w:sz="4" w:space="0"/>
              <w:left w:val="single" w:color="000000" w:sz="4" w:space="0"/>
              <w:bottom w:val="single" w:color="000000" w:sz="4" w:space="0"/>
              <w:right w:val="nil"/>
            </w:tcBorders>
            <w:shd w:val="clear" w:color="auto" w:fill="auto"/>
            <w:vAlign w:val="center"/>
          </w:tcPr>
          <w:p w14:paraId="526F77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w:t>
            </w:r>
            <w:r>
              <w:rPr>
                <w:rStyle w:val="9"/>
                <w:rFonts w:eastAsia="宋体"/>
                <w:lang w:val="en-US" w:eastAsia="zh-CN" w:bidi="ar"/>
              </w:rPr>
              <w:t xml:space="preserve"> </w:t>
            </w:r>
            <w:r>
              <w:rPr>
                <w:rStyle w:val="10"/>
                <w:lang w:val="en-US" w:eastAsia="zh-CN" w:bidi="ar"/>
              </w:rPr>
              <w:t>年度绩效指标完成情况</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470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690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6221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8C1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预期指标值</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ED8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FE3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自评得分</w:t>
            </w:r>
          </w:p>
        </w:tc>
      </w:tr>
      <w:tr w14:paraId="08625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36" w:type="dxa"/>
            <w:vMerge w:val="continue"/>
            <w:tcBorders>
              <w:top w:val="single" w:color="000000" w:sz="4" w:space="0"/>
              <w:left w:val="single" w:color="000000" w:sz="4" w:space="0"/>
              <w:bottom w:val="single" w:color="000000" w:sz="4" w:space="0"/>
              <w:right w:val="nil"/>
            </w:tcBorders>
            <w:shd w:val="clear" w:color="auto" w:fill="auto"/>
            <w:vAlign w:val="center"/>
          </w:tcPr>
          <w:p w14:paraId="5ABA2629">
            <w:pPr>
              <w:jc w:val="center"/>
              <w:rPr>
                <w:rFonts w:hint="eastAsia" w:ascii="宋体" w:hAnsi="宋体" w:eastAsia="宋体" w:cs="宋体"/>
                <w:i w:val="0"/>
                <w:iCs w:val="0"/>
                <w:color w:val="000000"/>
                <w:sz w:val="20"/>
                <w:szCs w:val="20"/>
                <w:u w:val="none"/>
              </w:rPr>
            </w:pPr>
          </w:p>
        </w:tc>
        <w:tc>
          <w:tcPr>
            <w:tcW w:w="12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C7FF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产出指标（40分）</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1CF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00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E51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需维护的灯盏数量</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6DC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≥650000盏</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067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650000盏</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6EF3D">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4</w:t>
            </w:r>
          </w:p>
        </w:tc>
      </w:tr>
      <w:tr w14:paraId="32DFB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36" w:type="dxa"/>
            <w:vMerge w:val="continue"/>
            <w:tcBorders>
              <w:top w:val="single" w:color="000000" w:sz="4" w:space="0"/>
              <w:left w:val="single" w:color="000000" w:sz="4" w:space="0"/>
              <w:bottom w:val="single" w:color="000000" w:sz="4" w:space="0"/>
              <w:right w:val="nil"/>
            </w:tcBorders>
            <w:shd w:val="clear" w:color="auto" w:fill="auto"/>
            <w:vAlign w:val="center"/>
          </w:tcPr>
          <w:p w14:paraId="40391E99">
            <w:pPr>
              <w:jc w:val="center"/>
              <w:rPr>
                <w:rFonts w:hint="eastAsia" w:ascii="宋体" w:hAnsi="宋体" w:eastAsia="宋体" w:cs="宋体"/>
                <w:i w:val="0"/>
                <w:iCs w:val="0"/>
                <w:color w:val="000000"/>
                <w:sz w:val="20"/>
                <w:szCs w:val="20"/>
                <w:u w:val="none"/>
              </w:rPr>
            </w:pP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A8861">
            <w:pPr>
              <w:jc w:val="center"/>
              <w:rPr>
                <w:rFonts w:hint="eastAsia" w:ascii="宋体" w:hAnsi="宋体" w:eastAsia="宋体" w:cs="宋体"/>
                <w:i w:val="0"/>
                <w:iCs w:val="0"/>
                <w:color w:val="000000"/>
                <w:sz w:val="20"/>
                <w:szCs w:val="20"/>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DE9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00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8729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需维护的灯盏数量</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E5F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≥94849盏</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F22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94849盏</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2D9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4</w:t>
            </w:r>
          </w:p>
        </w:tc>
      </w:tr>
      <w:tr w14:paraId="74421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36" w:type="dxa"/>
            <w:vMerge w:val="continue"/>
            <w:tcBorders>
              <w:top w:val="single" w:color="000000" w:sz="4" w:space="0"/>
              <w:left w:val="single" w:color="000000" w:sz="4" w:space="0"/>
              <w:bottom w:val="single" w:color="000000" w:sz="4" w:space="0"/>
              <w:right w:val="nil"/>
            </w:tcBorders>
            <w:shd w:val="clear" w:color="auto" w:fill="auto"/>
            <w:vAlign w:val="center"/>
          </w:tcPr>
          <w:p w14:paraId="3DE7FE86">
            <w:pPr>
              <w:jc w:val="center"/>
              <w:rPr>
                <w:rFonts w:hint="eastAsia" w:ascii="宋体" w:hAnsi="宋体" w:eastAsia="宋体" w:cs="宋体"/>
                <w:i w:val="0"/>
                <w:iCs w:val="0"/>
                <w:color w:val="000000"/>
                <w:sz w:val="20"/>
                <w:szCs w:val="20"/>
                <w:u w:val="none"/>
              </w:rPr>
            </w:pP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35644">
            <w:pPr>
              <w:jc w:val="center"/>
              <w:rPr>
                <w:rFonts w:hint="eastAsia" w:ascii="宋体" w:hAnsi="宋体" w:eastAsia="宋体" w:cs="宋体"/>
                <w:i w:val="0"/>
                <w:iCs w:val="0"/>
                <w:color w:val="000000"/>
                <w:sz w:val="20"/>
                <w:szCs w:val="20"/>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CFB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00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192C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需维护配电箱数量</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141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≥555个</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D8B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555</w:t>
            </w:r>
            <w:r>
              <w:rPr>
                <w:rFonts w:hint="eastAsia" w:ascii="宋体" w:hAnsi="宋体" w:eastAsia="宋体" w:cs="宋体"/>
                <w:i w:val="0"/>
                <w:iCs w:val="0"/>
                <w:color w:val="000000"/>
                <w:kern w:val="0"/>
                <w:sz w:val="20"/>
                <w:szCs w:val="20"/>
                <w:u w:val="none"/>
                <w:lang w:val="en-US" w:eastAsia="zh-CN" w:bidi="ar"/>
              </w:rPr>
              <w:t>个</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9B2D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4</w:t>
            </w:r>
          </w:p>
        </w:tc>
      </w:tr>
      <w:tr w14:paraId="3CCAB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136" w:type="dxa"/>
            <w:vMerge w:val="continue"/>
            <w:tcBorders>
              <w:top w:val="single" w:color="000000" w:sz="4" w:space="0"/>
              <w:left w:val="single" w:color="000000" w:sz="4" w:space="0"/>
              <w:bottom w:val="single" w:color="000000" w:sz="4" w:space="0"/>
              <w:right w:val="nil"/>
            </w:tcBorders>
            <w:shd w:val="clear" w:color="auto" w:fill="auto"/>
            <w:vAlign w:val="center"/>
          </w:tcPr>
          <w:p w14:paraId="1A0EB158">
            <w:pPr>
              <w:jc w:val="center"/>
              <w:rPr>
                <w:rFonts w:hint="eastAsia" w:ascii="宋体" w:hAnsi="宋体" w:eastAsia="宋体" w:cs="宋体"/>
                <w:i w:val="0"/>
                <w:iCs w:val="0"/>
                <w:color w:val="000000"/>
                <w:sz w:val="20"/>
                <w:szCs w:val="20"/>
                <w:u w:val="none"/>
              </w:rPr>
            </w:pP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D6C3B">
            <w:pPr>
              <w:jc w:val="center"/>
              <w:rPr>
                <w:rFonts w:hint="eastAsia" w:ascii="宋体" w:hAnsi="宋体" w:eastAsia="宋体" w:cs="宋体"/>
                <w:i w:val="0"/>
                <w:iCs w:val="0"/>
                <w:color w:val="000000"/>
                <w:sz w:val="20"/>
                <w:szCs w:val="20"/>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EF1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00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69B1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需维护的箱变数量</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021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321</w:t>
            </w:r>
            <w:r>
              <w:rPr>
                <w:rFonts w:hint="eastAsia" w:ascii="宋体" w:hAnsi="宋体" w:eastAsia="宋体" w:cs="宋体"/>
                <w:i w:val="0"/>
                <w:iCs w:val="0"/>
                <w:color w:val="000000"/>
                <w:kern w:val="0"/>
                <w:sz w:val="20"/>
                <w:szCs w:val="20"/>
                <w:u w:val="none"/>
                <w:lang w:val="en-US" w:eastAsia="zh-CN" w:bidi="ar"/>
              </w:rPr>
              <w:t>个</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0AD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321</w:t>
            </w:r>
            <w:r>
              <w:rPr>
                <w:rFonts w:hint="eastAsia" w:ascii="宋体" w:hAnsi="宋体" w:eastAsia="宋体" w:cs="宋体"/>
                <w:i w:val="0"/>
                <w:iCs w:val="0"/>
                <w:color w:val="000000"/>
                <w:kern w:val="0"/>
                <w:sz w:val="20"/>
                <w:szCs w:val="20"/>
                <w:u w:val="none"/>
                <w:lang w:val="en-US" w:eastAsia="zh-CN" w:bidi="ar"/>
              </w:rPr>
              <w:t>个</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B29B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4</w:t>
            </w:r>
          </w:p>
        </w:tc>
      </w:tr>
      <w:tr w14:paraId="13332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36" w:type="dxa"/>
            <w:vMerge w:val="continue"/>
            <w:tcBorders>
              <w:top w:val="single" w:color="000000" w:sz="4" w:space="0"/>
              <w:left w:val="single" w:color="000000" w:sz="4" w:space="0"/>
              <w:bottom w:val="single" w:color="000000" w:sz="4" w:space="0"/>
              <w:right w:val="nil"/>
            </w:tcBorders>
            <w:shd w:val="clear" w:color="auto" w:fill="auto"/>
            <w:vAlign w:val="center"/>
          </w:tcPr>
          <w:p w14:paraId="67BB6589">
            <w:pPr>
              <w:jc w:val="center"/>
              <w:rPr>
                <w:rFonts w:hint="eastAsia" w:ascii="宋体" w:hAnsi="宋体" w:eastAsia="宋体" w:cs="宋体"/>
                <w:i w:val="0"/>
                <w:iCs w:val="0"/>
                <w:color w:val="000000"/>
                <w:sz w:val="20"/>
                <w:szCs w:val="20"/>
                <w:u w:val="none"/>
              </w:rPr>
            </w:pP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393AB">
            <w:pPr>
              <w:jc w:val="center"/>
              <w:rPr>
                <w:rFonts w:hint="eastAsia" w:ascii="宋体" w:hAnsi="宋体" w:eastAsia="宋体" w:cs="宋体"/>
                <w:i w:val="0"/>
                <w:iCs w:val="0"/>
                <w:color w:val="000000"/>
                <w:sz w:val="20"/>
                <w:szCs w:val="20"/>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7316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200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8FDE2">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需维护的终端数量</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700D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≥719个</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BF37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719个</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292AD">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4</w:t>
            </w:r>
          </w:p>
        </w:tc>
      </w:tr>
      <w:tr w14:paraId="18B5A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36" w:type="dxa"/>
            <w:vMerge w:val="continue"/>
            <w:tcBorders>
              <w:top w:val="single" w:color="000000" w:sz="4" w:space="0"/>
              <w:left w:val="single" w:color="000000" w:sz="4" w:space="0"/>
              <w:bottom w:val="single" w:color="000000" w:sz="4" w:space="0"/>
              <w:right w:val="nil"/>
            </w:tcBorders>
            <w:shd w:val="clear" w:color="auto" w:fill="auto"/>
            <w:vAlign w:val="center"/>
          </w:tcPr>
          <w:p w14:paraId="72D0745F">
            <w:pPr>
              <w:jc w:val="center"/>
              <w:rPr>
                <w:rFonts w:hint="eastAsia" w:ascii="宋体" w:hAnsi="宋体" w:eastAsia="宋体" w:cs="宋体"/>
                <w:i w:val="0"/>
                <w:iCs w:val="0"/>
                <w:color w:val="000000"/>
                <w:sz w:val="20"/>
                <w:szCs w:val="20"/>
                <w:u w:val="none"/>
              </w:rPr>
            </w:pP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80E09">
            <w:pPr>
              <w:jc w:val="center"/>
              <w:rPr>
                <w:rFonts w:hint="eastAsia" w:ascii="宋体" w:hAnsi="宋体" w:eastAsia="宋体" w:cs="宋体"/>
                <w:i w:val="0"/>
                <w:iCs w:val="0"/>
                <w:color w:val="000000"/>
                <w:sz w:val="20"/>
                <w:szCs w:val="20"/>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008E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200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76376">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安全文明施工</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A499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4345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8B9AB">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4</w:t>
            </w:r>
          </w:p>
        </w:tc>
      </w:tr>
      <w:tr w14:paraId="595B7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36" w:type="dxa"/>
            <w:vMerge w:val="continue"/>
            <w:tcBorders>
              <w:top w:val="single" w:color="000000" w:sz="4" w:space="0"/>
              <w:left w:val="single" w:color="000000" w:sz="4" w:space="0"/>
              <w:bottom w:val="single" w:color="000000" w:sz="4" w:space="0"/>
              <w:right w:val="nil"/>
            </w:tcBorders>
            <w:shd w:val="clear" w:color="auto" w:fill="auto"/>
            <w:vAlign w:val="center"/>
          </w:tcPr>
          <w:p w14:paraId="71952590">
            <w:pPr>
              <w:jc w:val="center"/>
              <w:rPr>
                <w:rFonts w:hint="eastAsia" w:ascii="宋体" w:hAnsi="宋体" w:eastAsia="宋体" w:cs="宋体"/>
                <w:i w:val="0"/>
                <w:iCs w:val="0"/>
                <w:color w:val="000000"/>
                <w:sz w:val="20"/>
                <w:szCs w:val="20"/>
                <w:u w:val="none"/>
              </w:rPr>
            </w:pP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44AFB">
            <w:pPr>
              <w:jc w:val="center"/>
              <w:rPr>
                <w:rFonts w:hint="eastAsia" w:ascii="宋体" w:hAnsi="宋体" w:eastAsia="宋体" w:cs="宋体"/>
                <w:i w:val="0"/>
                <w:iCs w:val="0"/>
                <w:color w:val="000000"/>
                <w:sz w:val="20"/>
                <w:szCs w:val="20"/>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3ED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00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9658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设施完好率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0A4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E18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99.71%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7B0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4</w:t>
            </w:r>
          </w:p>
        </w:tc>
      </w:tr>
      <w:tr w14:paraId="7B800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36" w:type="dxa"/>
            <w:vMerge w:val="continue"/>
            <w:tcBorders>
              <w:top w:val="single" w:color="000000" w:sz="4" w:space="0"/>
              <w:left w:val="single" w:color="000000" w:sz="4" w:space="0"/>
              <w:bottom w:val="single" w:color="000000" w:sz="4" w:space="0"/>
              <w:right w:val="nil"/>
            </w:tcBorders>
            <w:shd w:val="clear" w:color="auto" w:fill="auto"/>
            <w:vAlign w:val="center"/>
          </w:tcPr>
          <w:p w14:paraId="7A46EDE0">
            <w:pPr>
              <w:jc w:val="center"/>
              <w:rPr>
                <w:rFonts w:hint="eastAsia" w:ascii="宋体" w:hAnsi="宋体" w:eastAsia="宋体" w:cs="宋体"/>
                <w:i w:val="0"/>
                <w:iCs w:val="0"/>
                <w:color w:val="000000"/>
                <w:sz w:val="20"/>
                <w:szCs w:val="20"/>
                <w:u w:val="none"/>
              </w:rPr>
            </w:pP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9D3C1">
            <w:pPr>
              <w:jc w:val="center"/>
              <w:rPr>
                <w:rFonts w:hint="eastAsia" w:ascii="宋体" w:hAnsi="宋体" w:eastAsia="宋体" w:cs="宋体"/>
                <w:i w:val="0"/>
                <w:iCs w:val="0"/>
                <w:color w:val="000000"/>
                <w:sz w:val="20"/>
                <w:szCs w:val="20"/>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08D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00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7BF2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亮灯率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314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DB8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99.67%</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BDB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4</w:t>
            </w:r>
          </w:p>
        </w:tc>
      </w:tr>
      <w:tr w14:paraId="62C2E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136" w:type="dxa"/>
            <w:vMerge w:val="continue"/>
            <w:tcBorders>
              <w:top w:val="single" w:color="000000" w:sz="4" w:space="0"/>
              <w:left w:val="single" w:color="000000" w:sz="4" w:space="0"/>
              <w:bottom w:val="single" w:color="000000" w:sz="4" w:space="0"/>
              <w:right w:val="nil"/>
            </w:tcBorders>
            <w:shd w:val="clear" w:color="auto" w:fill="auto"/>
            <w:vAlign w:val="center"/>
          </w:tcPr>
          <w:p w14:paraId="11079DD6">
            <w:pPr>
              <w:jc w:val="center"/>
              <w:rPr>
                <w:rFonts w:hint="eastAsia" w:ascii="宋体" w:hAnsi="宋体" w:eastAsia="宋体" w:cs="宋体"/>
                <w:i w:val="0"/>
                <w:iCs w:val="0"/>
                <w:color w:val="000000"/>
                <w:sz w:val="20"/>
                <w:szCs w:val="20"/>
                <w:u w:val="none"/>
              </w:rPr>
            </w:pP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D570A">
            <w:pPr>
              <w:jc w:val="center"/>
              <w:rPr>
                <w:rFonts w:hint="eastAsia" w:ascii="宋体" w:hAnsi="宋体" w:eastAsia="宋体" w:cs="宋体"/>
                <w:i w:val="0"/>
                <w:iCs w:val="0"/>
                <w:color w:val="000000"/>
                <w:sz w:val="20"/>
                <w:szCs w:val="20"/>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96C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00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B1F2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修复时间</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8F2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抢修人员3天内修复</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5FD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抢修人员3天内</w:t>
            </w:r>
            <w:r>
              <w:rPr>
                <w:rFonts w:hint="eastAsia" w:ascii="宋体" w:hAnsi="宋体" w:cs="宋体"/>
                <w:i w:val="0"/>
                <w:iCs w:val="0"/>
                <w:color w:val="000000"/>
                <w:kern w:val="0"/>
                <w:sz w:val="20"/>
                <w:szCs w:val="20"/>
                <w:u w:val="none"/>
                <w:lang w:val="en-US" w:eastAsia="zh-CN" w:bidi="ar"/>
              </w:rPr>
              <w:t>完成</w:t>
            </w:r>
            <w:r>
              <w:rPr>
                <w:rFonts w:hint="eastAsia" w:ascii="宋体" w:hAnsi="宋体" w:eastAsia="宋体" w:cs="宋体"/>
                <w:i w:val="0"/>
                <w:iCs w:val="0"/>
                <w:color w:val="000000"/>
                <w:kern w:val="0"/>
                <w:sz w:val="20"/>
                <w:szCs w:val="20"/>
                <w:u w:val="none"/>
                <w:lang w:val="en-US" w:eastAsia="zh-CN" w:bidi="ar"/>
              </w:rPr>
              <w:t>修复</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2E2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4</w:t>
            </w:r>
          </w:p>
        </w:tc>
      </w:tr>
      <w:tr w14:paraId="20374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136" w:type="dxa"/>
            <w:vMerge w:val="continue"/>
            <w:tcBorders>
              <w:top w:val="single" w:color="000000" w:sz="4" w:space="0"/>
              <w:left w:val="single" w:color="000000" w:sz="4" w:space="0"/>
              <w:bottom w:val="single" w:color="000000" w:sz="4" w:space="0"/>
              <w:right w:val="nil"/>
            </w:tcBorders>
            <w:shd w:val="clear" w:color="auto" w:fill="auto"/>
            <w:vAlign w:val="center"/>
          </w:tcPr>
          <w:p w14:paraId="4C09A081">
            <w:pPr>
              <w:jc w:val="center"/>
              <w:rPr>
                <w:rFonts w:hint="eastAsia" w:ascii="宋体" w:hAnsi="宋体" w:eastAsia="宋体" w:cs="宋体"/>
                <w:i w:val="0"/>
                <w:iCs w:val="0"/>
                <w:color w:val="000000"/>
                <w:sz w:val="20"/>
                <w:szCs w:val="20"/>
                <w:u w:val="none"/>
              </w:rPr>
            </w:pPr>
          </w:p>
        </w:tc>
        <w:tc>
          <w:tcPr>
            <w:tcW w:w="1251"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8DBBF21">
            <w:pPr>
              <w:jc w:val="center"/>
              <w:rPr>
                <w:rFonts w:hint="eastAsia" w:ascii="宋体" w:hAnsi="宋体" w:eastAsia="宋体" w:cs="宋体"/>
                <w:i w:val="0"/>
                <w:iCs w:val="0"/>
                <w:color w:val="000000"/>
                <w:sz w:val="20"/>
                <w:szCs w:val="20"/>
                <w:u w:val="none"/>
              </w:rPr>
            </w:pPr>
          </w:p>
        </w:tc>
        <w:tc>
          <w:tcPr>
            <w:tcW w:w="1097"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1A4103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200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101B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维护费支出金额</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678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7225</w:t>
            </w:r>
            <w:r>
              <w:rPr>
                <w:rFonts w:hint="eastAsia" w:ascii="宋体" w:hAnsi="宋体" w:eastAsia="宋体" w:cs="宋体"/>
                <w:i w:val="0"/>
                <w:iCs w:val="0"/>
                <w:color w:val="000000"/>
                <w:kern w:val="0"/>
                <w:sz w:val="20"/>
                <w:szCs w:val="20"/>
                <w:u w:val="none"/>
                <w:lang w:val="en-US" w:eastAsia="zh-CN" w:bidi="ar"/>
              </w:rPr>
              <w:t>万元</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4C3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7225</w:t>
            </w:r>
            <w:r>
              <w:rPr>
                <w:rFonts w:hint="eastAsia" w:ascii="宋体" w:hAnsi="宋体" w:eastAsia="宋体" w:cs="宋体"/>
                <w:i w:val="0"/>
                <w:iCs w:val="0"/>
                <w:color w:val="000000"/>
                <w:kern w:val="0"/>
                <w:sz w:val="20"/>
                <w:szCs w:val="20"/>
                <w:u w:val="none"/>
                <w:lang w:val="en-US" w:eastAsia="zh-CN" w:bidi="ar"/>
              </w:rPr>
              <w:t>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3C8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4</w:t>
            </w:r>
          </w:p>
        </w:tc>
      </w:tr>
      <w:tr w14:paraId="19C1C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3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48382F0">
            <w:pPr>
              <w:jc w:val="center"/>
              <w:rPr>
                <w:rFonts w:hint="eastAsia" w:ascii="宋体" w:hAnsi="宋体" w:eastAsia="宋体" w:cs="宋体"/>
                <w:i w:val="0"/>
                <w:iCs w:val="0"/>
                <w:color w:val="000000"/>
                <w:sz w:val="20"/>
                <w:szCs w:val="20"/>
                <w:u w:val="none"/>
              </w:rPr>
            </w:pP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14:paraId="2E37EF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预算执行率指标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（10分）</w:t>
            </w: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14:paraId="575E62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c>
          <w:tcPr>
            <w:tcW w:w="2002"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1F06B8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预算执行进度</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9F1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85" w:type="dxa"/>
            <w:tcBorders>
              <w:top w:val="single" w:color="000000" w:sz="4" w:space="0"/>
              <w:left w:val="single" w:color="000000" w:sz="4" w:space="0"/>
              <w:bottom w:val="single" w:color="auto" w:sz="4" w:space="0"/>
              <w:right w:val="single" w:color="000000" w:sz="4" w:space="0"/>
            </w:tcBorders>
            <w:shd w:val="clear" w:color="auto" w:fill="auto"/>
            <w:vAlign w:val="center"/>
          </w:tcPr>
          <w:p w14:paraId="25E152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20" w:type="dxa"/>
            <w:tcBorders>
              <w:top w:val="single" w:color="000000" w:sz="4" w:space="0"/>
              <w:left w:val="single" w:color="000000" w:sz="4" w:space="0"/>
              <w:bottom w:val="single" w:color="auto" w:sz="4" w:space="0"/>
              <w:right w:val="single" w:color="000000" w:sz="4" w:space="0"/>
            </w:tcBorders>
            <w:shd w:val="clear" w:color="auto" w:fill="auto"/>
            <w:vAlign w:val="center"/>
          </w:tcPr>
          <w:p w14:paraId="124C4A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14:paraId="04292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36" w:type="dxa"/>
            <w:vMerge w:val="continue"/>
            <w:tcBorders>
              <w:top w:val="single" w:color="000000" w:sz="4" w:space="0"/>
              <w:left w:val="single" w:color="000000" w:sz="4" w:space="0"/>
              <w:bottom w:val="single" w:color="000000" w:sz="4" w:space="0"/>
              <w:right w:val="nil"/>
            </w:tcBorders>
            <w:shd w:val="clear" w:color="auto" w:fill="auto"/>
            <w:vAlign w:val="center"/>
          </w:tcPr>
          <w:p w14:paraId="37E3E7EE">
            <w:pPr>
              <w:jc w:val="center"/>
              <w:rPr>
                <w:rFonts w:hint="eastAsia" w:ascii="宋体" w:hAnsi="宋体" w:eastAsia="宋体" w:cs="宋体"/>
                <w:i w:val="0"/>
                <w:iCs w:val="0"/>
                <w:color w:val="000000"/>
                <w:sz w:val="20"/>
                <w:szCs w:val="20"/>
                <w:u w:val="none"/>
              </w:rPr>
            </w:pPr>
          </w:p>
        </w:tc>
        <w:tc>
          <w:tcPr>
            <w:tcW w:w="1251" w:type="dxa"/>
            <w:tcBorders>
              <w:top w:val="single" w:color="auto" w:sz="4" w:space="0"/>
              <w:left w:val="single" w:color="000000" w:sz="4" w:space="0"/>
              <w:bottom w:val="single" w:color="auto" w:sz="4" w:space="0"/>
              <w:right w:val="single" w:color="000000" w:sz="4" w:space="0"/>
            </w:tcBorders>
            <w:shd w:val="clear" w:color="auto" w:fill="auto"/>
            <w:vAlign w:val="center"/>
          </w:tcPr>
          <w:p w14:paraId="0E08CD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效益指标（40分）</w:t>
            </w:r>
          </w:p>
        </w:tc>
        <w:tc>
          <w:tcPr>
            <w:tcW w:w="1097" w:type="dxa"/>
            <w:tcBorders>
              <w:top w:val="single" w:color="auto" w:sz="4" w:space="0"/>
              <w:left w:val="single" w:color="000000" w:sz="4" w:space="0"/>
              <w:bottom w:val="single" w:color="auto" w:sz="4" w:space="0"/>
              <w:right w:val="single" w:color="000000" w:sz="4" w:space="0"/>
            </w:tcBorders>
            <w:shd w:val="clear" w:color="auto" w:fill="auto"/>
            <w:vAlign w:val="center"/>
          </w:tcPr>
          <w:p w14:paraId="72D643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002"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7FC535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美化城市环境</w:t>
            </w:r>
          </w:p>
        </w:tc>
        <w:tc>
          <w:tcPr>
            <w:tcW w:w="1350" w:type="dxa"/>
            <w:tcBorders>
              <w:top w:val="single" w:color="000000" w:sz="4" w:space="0"/>
              <w:left w:val="single" w:color="000000" w:sz="4" w:space="0"/>
              <w:bottom w:val="single" w:color="000000" w:sz="4" w:space="0"/>
              <w:right w:val="single" w:color="auto" w:sz="4" w:space="0"/>
            </w:tcBorders>
            <w:shd w:val="clear" w:color="auto" w:fill="auto"/>
            <w:vAlign w:val="center"/>
          </w:tcPr>
          <w:p w14:paraId="03CB1A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185" w:type="dxa"/>
            <w:tcBorders>
              <w:top w:val="single" w:color="auto" w:sz="4" w:space="0"/>
              <w:left w:val="single" w:color="auto" w:sz="4" w:space="0"/>
              <w:bottom w:val="single" w:color="auto" w:sz="4" w:space="0"/>
              <w:right w:val="single" w:color="auto" w:sz="4" w:space="0"/>
            </w:tcBorders>
            <w:shd w:val="clear" w:color="auto" w:fill="auto"/>
            <w:vAlign w:val="center"/>
          </w:tcPr>
          <w:p w14:paraId="2DE02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r>
              <w:rPr>
                <w:rFonts w:hint="eastAsia" w:ascii="宋体" w:hAnsi="宋体" w:cs="宋体"/>
                <w:i w:val="0"/>
                <w:iCs w:val="0"/>
                <w:color w:val="000000"/>
                <w:kern w:val="0"/>
                <w:sz w:val="20"/>
                <w:szCs w:val="20"/>
                <w:u w:val="none"/>
                <w:lang w:val="en-US" w:eastAsia="zh-CN" w:bidi="ar"/>
              </w:rPr>
              <w:t>0</w:t>
            </w:r>
            <w:r>
              <w:rPr>
                <w:rFonts w:hint="eastAsia" w:ascii="宋体" w:hAnsi="宋体" w:eastAsia="宋体" w:cs="宋体"/>
                <w:i w:val="0"/>
                <w:iCs w:val="0"/>
                <w:color w:val="000000"/>
                <w:kern w:val="0"/>
                <w:sz w:val="20"/>
                <w:szCs w:val="20"/>
                <w:u w:val="none"/>
                <w:lang w:val="en-US" w:eastAsia="zh-CN" w:bidi="ar"/>
              </w:rPr>
              <w:t>%</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3D2E22BA">
            <w:pPr>
              <w:keepNext w:val="0"/>
              <w:keepLines w:val="0"/>
              <w:widowControl/>
              <w:suppressLineNumbers w:val="0"/>
              <w:jc w:val="center"/>
              <w:textAlignment w:val="center"/>
              <w:rPr>
                <w:rFonts w:hint="default" w:ascii="Calibri" w:hAnsi="Calibri" w:eastAsia="宋体" w:cs="Calibri"/>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w:t>
            </w:r>
          </w:p>
        </w:tc>
      </w:tr>
      <w:tr w14:paraId="573E6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113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A78DA84">
            <w:pPr>
              <w:jc w:val="center"/>
              <w:rPr>
                <w:rFonts w:hint="eastAsia" w:ascii="宋体" w:hAnsi="宋体" w:eastAsia="宋体" w:cs="宋体"/>
                <w:i w:val="0"/>
                <w:iCs w:val="0"/>
                <w:color w:val="000000"/>
                <w:sz w:val="20"/>
                <w:szCs w:val="20"/>
                <w:u w:val="none"/>
              </w:rPr>
            </w:pPr>
          </w:p>
        </w:tc>
        <w:tc>
          <w:tcPr>
            <w:tcW w:w="1251" w:type="dxa"/>
            <w:tcBorders>
              <w:top w:val="single" w:color="auto" w:sz="4" w:space="0"/>
              <w:left w:val="single" w:color="auto" w:sz="4" w:space="0"/>
              <w:bottom w:val="single" w:color="auto" w:sz="4" w:space="0"/>
              <w:right w:val="single" w:color="000000" w:sz="4" w:space="0"/>
            </w:tcBorders>
            <w:shd w:val="clear" w:color="auto" w:fill="auto"/>
            <w:vAlign w:val="center"/>
          </w:tcPr>
          <w:p w14:paraId="3AE4E4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（10分）</w:t>
            </w:r>
          </w:p>
        </w:tc>
        <w:tc>
          <w:tcPr>
            <w:tcW w:w="1097" w:type="dxa"/>
            <w:tcBorders>
              <w:top w:val="single" w:color="auto" w:sz="4" w:space="0"/>
              <w:left w:val="nil"/>
              <w:bottom w:val="single" w:color="auto" w:sz="4" w:space="0"/>
              <w:right w:val="single" w:color="000000" w:sz="4" w:space="0"/>
            </w:tcBorders>
            <w:shd w:val="clear" w:color="auto" w:fill="auto"/>
            <w:vAlign w:val="center"/>
          </w:tcPr>
          <w:p w14:paraId="50CE91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2002" w:type="dxa"/>
            <w:gridSpan w:val="2"/>
            <w:tcBorders>
              <w:top w:val="single" w:color="auto" w:sz="4" w:space="0"/>
              <w:left w:val="single" w:color="000000" w:sz="4" w:space="0"/>
              <w:bottom w:val="single" w:color="auto" w:sz="4" w:space="0"/>
              <w:right w:val="single" w:color="auto" w:sz="4" w:space="0"/>
            </w:tcBorders>
            <w:shd w:val="clear" w:color="auto" w:fill="auto"/>
            <w:vAlign w:val="center"/>
          </w:tcPr>
          <w:p w14:paraId="3D93EE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市民满意度</w:t>
            </w:r>
          </w:p>
        </w:tc>
        <w:tc>
          <w:tcPr>
            <w:tcW w:w="1350" w:type="dxa"/>
            <w:tcBorders>
              <w:top w:val="single" w:color="000000" w:sz="4" w:space="0"/>
              <w:left w:val="single" w:color="auto" w:sz="4" w:space="0"/>
              <w:bottom w:val="single" w:color="000000" w:sz="4" w:space="0"/>
              <w:right w:val="single" w:color="000000" w:sz="4" w:space="0"/>
            </w:tcBorders>
            <w:shd w:val="clear" w:color="auto" w:fill="auto"/>
            <w:vAlign w:val="center"/>
          </w:tcPr>
          <w:p w14:paraId="47B9B3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185" w:type="dxa"/>
            <w:tcBorders>
              <w:top w:val="single" w:color="auto" w:sz="4" w:space="0"/>
              <w:left w:val="single" w:color="000000" w:sz="4" w:space="0"/>
              <w:bottom w:val="single" w:color="000000" w:sz="4" w:space="0"/>
              <w:right w:val="single" w:color="000000" w:sz="4" w:space="0"/>
            </w:tcBorders>
            <w:shd w:val="clear" w:color="auto" w:fill="auto"/>
            <w:vAlign w:val="center"/>
          </w:tcPr>
          <w:p w14:paraId="26F7E3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020" w:type="dxa"/>
            <w:tcBorders>
              <w:top w:val="single" w:color="auto" w:sz="4" w:space="0"/>
              <w:left w:val="single" w:color="000000" w:sz="4" w:space="0"/>
              <w:bottom w:val="single" w:color="000000" w:sz="4" w:space="0"/>
              <w:right w:val="single" w:color="000000" w:sz="4" w:space="0"/>
            </w:tcBorders>
            <w:shd w:val="clear" w:color="auto" w:fill="auto"/>
            <w:vAlign w:val="center"/>
          </w:tcPr>
          <w:p w14:paraId="5A239AB9">
            <w:pPr>
              <w:keepNext w:val="0"/>
              <w:keepLines w:val="0"/>
              <w:widowControl/>
              <w:suppressLineNumbers w:val="0"/>
              <w:jc w:val="center"/>
              <w:textAlignment w:val="center"/>
              <w:rPr>
                <w:rFonts w:hint="default" w:ascii="Calibri" w:hAnsi="Calibri" w:eastAsia="宋体" w:cs="Calibri"/>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r>
      <w:tr w14:paraId="6B2A4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36" w:type="dxa"/>
            <w:vMerge w:val="continue"/>
            <w:tcBorders>
              <w:top w:val="single" w:color="000000" w:sz="4" w:space="0"/>
              <w:left w:val="single" w:color="000000" w:sz="4" w:space="0"/>
              <w:bottom w:val="single" w:color="000000" w:sz="4" w:space="0"/>
              <w:right w:val="nil"/>
            </w:tcBorders>
            <w:shd w:val="clear" w:color="auto" w:fill="auto"/>
            <w:vAlign w:val="center"/>
          </w:tcPr>
          <w:p w14:paraId="522A2BE1">
            <w:pPr>
              <w:jc w:val="center"/>
              <w:rPr>
                <w:rFonts w:hint="eastAsia" w:ascii="宋体" w:hAnsi="宋体" w:eastAsia="宋体" w:cs="宋体"/>
                <w:i w:val="0"/>
                <w:iCs w:val="0"/>
                <w:color w:val="000000"/>
                <w:sz w:val="20"/>
                <w:szCs w:val="20"/>
                <w:u w:val="none"/>
              </w:rPr>
            </w:pPr>
          </w:p>
        </w:tc>
        <w:tc>
          <w:tcPr>
            <w:tcW w:w="68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5D6C9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6DED9">
            <w:pPr>
              <w:keepNext w:val="0"/>
              <w:keepLines w:val="0"/>
              <w:widowControl/>
              <w:suppressLineNumbers w:val="0"/>
              <w:jc w:val="center"/>
              <w:textAlignment w:val="center"/>
              <w:rPr>
                <w:rFonts w:hint="default" w:ascii="Calibri" w:hAnsi="Calibri" w:eastAsia="宋体" w:cs="Calibri"/>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r>
      <w:tr w14:paraId="2C6DB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136" w:type="dxa"/>
            <w:tcBorders>
              <w:top w:val="nil"/>
              <w:left w:val="single" w:color="000000" w:sz="4" w:space="0"/>
              <w:bottom w:val="single" w:color="000000" w:sz="4" w:space="0"/>
              <w:right w:val="single" w:color="000000" w:sz="4" w:space="0"/>
            </w:tcBorders>
            <w:shd w:val="clear" w:color="auto" w:fill="auto"/>
            <w:vAlign w:val="center"/>
          </w:tcPr>
          <w:p w14:paraId="298065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w:t>
            </w:r>
            <w:r>
              <w:rPr>
                <w:rStyle w:val="9"/>
                <w:rFonts w:eastAsia="宋体"/>
                <w:lang w:val="en-US" w:eastAsia="zh-CN" w:bidi="ar"/>
              </w:rPr>
              <w:t xml:space="preserve"> </w:t>
            </w:r>
            <w:r>
              <w:rPr>
                <w:rStyle w:val="10"/>
                <w:lang w:val="en-US" w:eastAsia="zh-CN" w:bidi="ar"/>
              </w:rPr>
              <w:t>存在问题、原因及下一步整改措施</w:t>
            </w:r>
          </w:p>
        </w:tc>
        <w:tc>
          <w:tcPr>
            <w:tcW w:w="790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61AD9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bl>
    <w:p w14:paraId="68A843B5">
      <w:pPr>
        <w:pStyle w:val="2"/>
        <w:ind w:left="0" w:leftChars="0" w:firstLine="0" w:firstLineChars="0"/>
        <w:rPr>
          <w:rFonts w:hint="eastAsia"/>
          <w:lang w:eastAsia="zh-CN"/>
        </w:rPr>
      </w:pPr>
    </w:p>
    <w:p w14:paraId="098CCD87">
      <w:pPr>
        <w:keepNext w:val="0"/>
        <w:keepLines w:val="0"/>
        <w:pageBreakBefore w:val="0"/>
        <w:kinsoku/>
        <w:wordWrap/>
        <w:overflowPunct/>
        <w:topLinePunct w:val="0"/>
        <w:autoSpaceDE/>
        <w:autoSpaceDN/>
        <w:bidi w:val="0"/>
        <w:spacing w:line="520" w:lineRule="exact"/>
        <w:ind w:firstLine="640" w:firstLineChars="200"/>
        <w:textAlignment w:val="auto"/>
        <w:rPr>
          <w:rFonts w:ascii="黑体" w:hAnsi="黑体" w:eastAsia="黑体"/>
          <w:sz w:val="32"/>
          <w:szCs w:val="32"/>
        </w:rPr>
      </w:pPr>
      <w:r>
        <w:rPr>
          <w:rFonts w:hint="eastAsia" w:ascii="黑体" w:hAnsi="黑体" w:eastAsia="黑体"/>
          <w:sz w:val="32"/>
          <w:szCs w:val="32"/>
        </w:rPr>
        <w:t>四、项目综合评价结论和评价等级</w:t>
      </w:r>
    </w:p>
    <w:p w14:paraId="0E2BE240">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根据项目执行情况和项目绩效情况，给出总得分100分。</w:t>
      </w:r>
    </w:p>
    <w:p w14:paraId="0F8FA6CA">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评价结论：该项目实施期间多措并举，落实到位，各项指标控制较好，完成情况优质、高效。</w:t>
      </w:r>
    </w:p>
    <w:p w14:paraId="625BC00E">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项目综合绩效评价为优秀。</w:t>
      </w:r>
    </w:p>
    <w:p w14:paraId="78D34734">
      <w:pPr>
        <w:keepNext w:val="0"/>
        <w:keepLines w:val="0"/>
        <w:pageBreakBefore w:val="0"/>
        <w:kinsoku/>
        <w:wordWrap/>
        <w:overflowPunct/>
        <w:topLinePunct w:val="0"/>
        <w:autoSpaceDE/>
        <w:autoSpaceDN/>
        <w:bidi w:val="0"/>
        <w:spacing w:line="520" w:lineRule="exact"/>
        <w:ind w:firstLine="640" w:firstLineChars="200"/>
        <w:textAlignment w:val="auto"/>
        <w:rPr>
          <w:rFonts w:ascii="黑体" w:hAnsi="黑体" w:eastAsia="黑体"/>
          <w:sz w:val="32"/>
          <w:szCs w:val="32"/>
        </w:rPr>
      </w:pPr>
      <w:r>
        <w:rPr>
          <w:rFonts w:hint="eastAsia" w:ascii="黑体" w:hAnsi="黑体" w:eastAsia="黑体"/>
          <w:sz w:val="32"/>
          <w:szCs w:val="32"/>
        </w:rPr>
        <w:t>五、存在的问题及改进措施</w:t>
      </w:r>
    </w:p>
    <w:p w14:paraId="701EEE4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520" w:lineRule="exact"/>
        <w:ind w:right="0" w:firstLine="640" w:firstLineChars="200"/>
        <w:textAlignment w:val="auto"/>
        <w:rPr>
          <w:rFonts w:hint="eastAsia" w:ascii="楷体" w:hAnsi="楷体" w:eastAsia="楷体"/>
          <w:bCs/>
          <w:sz w:val="32"/>
          <w:szCs w:val="32"/>
        </w:rPr>
      </w:pPr>
      <w:r>
        <w:rPr>
          <w:rFonts w:hint="eastAsia" w:ascii="楷体" w:hAnsi="楷体" w:eastAsia="楷体"/>
          <w:bCs/>
          <w:sz w:val="32"/>
          <w:szCs w:val="32"/>
        </w:rPr>
        <w:t>（一）项目存在的主要问题</w:t>
      </w:r>
    </w:p>
    <w:p w14:paraId="5C6E1C69">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1.项目台账资料不齐全，给考核评价及评分工作带来一定困难。</w:t>
      </w:r>
    </w:p>
    <w:p w14:paraId="2F1A05B6">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2.各项目相关制度不够完善。</w:t>
      </w:r>
    </w:p>
    <w:p w14:paraId="5414E74D">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楷体" w:hAnsi="楷体" w:eastAsia="楷体"/>
          <w:bCs/>
          <w:sz w:val="32"/>
          <w:szCs w:val="32"/>
        </w:rPr>
      </w:pPr>
      <w:r>
        <w:rPr>
          <w:rFonts w:hint="eastAsia" w:ascii="楷体" w:hAnsi="楷体" w:eastAsia="楷体"/>
          <w:bCs/>
          <w:sz w:val="32"/>
          <w:szCs w:val="32"/>
        </w:rPr>
        <w:t>（二）针对问题提出具体的改进措施或建议</w:t>
      </w:r>
    </w:p>
    <w:p w14:paraId="62118236">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1.项目台账资料及时留存备案，健全档案管理标准。</w:t>
      </w:r>
    </w:p>
    <w:p w14:paraId="0B22127D">
      <w:pPr>
        <w:keepNext w:val="0"/>
        <w:keepLines w:val="0"/>
        <w:pageBreakBefore w:val="0"/>
        <w:kinsoku/>
        <w:wordWrap/>
        <w:overflowPunct/>
        <w:topLinePunct w:val="0"/>
        <w:autoSpaceDE/>
        <w:autoSpaceDN/>
        <w:bidi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2.需要落实项目责任制，牵头科室及责任人要定期对项目进行追踪，对资金拨付及使用情况进行督促落实，确保项目落地见效。</w:t>
      </w:r>
    </w:p>
    <w:p w14:paraId="20943E0E">
      <w:pPr>
        <w:pStyle w:val="12"/>
        <w:keepNext w:val="0"/>
        <w:keepLines w:val="0"/>
        <w:pageBreakBefore w:val="0"/>
        <w:widowControl w:val="0"/>
        <w:shd w:val="clear" w:color="auto" w:fill="auto"/>
        <w:tabs>
          <w:tab w:val="left" w:pos="1312"/>
        </w:tabs>
        <w:kinsoku/>
        <w:wordWrap/>
        <w:overflowPunct/>
        <w:topLinePunct w:val="0"/>
        <w:autoSpaceDE/>
        <w:autoSpaceDN/>
        <w:bidi w:val="0"/>
        <w:spacing w:before="0" w:after="0" w:line="520" w:lineRule="exact"/>
        <w:ind w:left="0" w:right="0" w:firstLine="640"/>
        <w:jc w:val="both"/>
        <w:textAlignment w:val="auto"/>
        <w:rPr>
          <w:rFonts w:hint="eastAsia" w:ascii="仿宋_GB2312" w:hAnsi="仿宋_GB2312" w:eastAsia="仿宋_GB2312" w:cs="仿宋_GB2312"/>
          <w:color w:val="000000"/>
          <w:spacing w:val="0"/>
          <w:w w:val="100"/>
          <w:position w:val="0"/>
          <w:sz w:val="32"/>
          <w:szCs w:val="32"/>
          <w:highlight w:val="none"/>
          <w:lang w:val="en-US" w:eastAsia="zh-CN" w:bidi="en-US"/>
        </w:rPr>
      </w:pPr>
    </w:p>
    <w:p w14:paraId="2AD557CC">
      <w:pPr>
        <w:pStyle w:val="12"/>
        <w:keepNext w:val="0"/>
        <w:keepLines w:val="0"/>
        <w:pageBreakBefore w:val="0"/>
        <w:widowControl w:val="0"/>
        <w:shd w:val="clear" w:color="auto" w:fill="auto"/>
        <w:tabs>
          <w:tab w:val="left" w:pos="1312"/>
        </w:tabs>
        <w:kinsoku/>
        <w:wordWrap/>
        <w:overflowPunct/>
        <w:topLinePunct w:val="0"/>
        <w:autoSpaceDE/>
        <w:autoSpaceDN/>
        <w:bidi w:val="0"/>
        <w:spacing w:before="0" w:after="0" w:line="520" w:lineRule="exact"/>
        <w:ind w:left="0" w:right="0" w:firstLine="640"/>
        <w:jc w:val="both"/>
        <w:textAlignment w:val="auto"/>
        <w:rPr>
          <w:rFonts w:hint="eastAsia" w:ascii="仿宋_GB2312" w:hAnsi="仿宋_GB2312" w:eastAsia="仿宋_GB2312" w:cs="仿宋_GB2312"/>
          <w:color w:val="000000"/>
          <w:spacing w:val="0"/>
          <w:w w:val="100"/>
          <w:position w:val="0"/>
          <w:sz w:val="32"/>
          <w:szCs w:val="32"/>
          <w:highlight w:val="none"/>
          <w:lang w:val="en-US" w:eastAsia="zh-CN" w:bidi="en-US"/>
        </w:rPr>
      </w:pPr>
    </w:p>
    <w:p w14:paraId="340FD053">
      <w:pPr>
        <w:pStyle w:val="12"/>
        <w:keepNext w:val="0"/>
        <w:keepLines w:val="0"/>
        <w:pageBreakBefore w:val="0"/>
        <w:widowControl w:val="0"/>
        <w:shd w:val="clear" w:color="auto" w:fill="auto"/>
        <w:tabs>
          <w:tab w:val="left" w:pos="1312"/>
        </w:tabs>
        <w:kinsoku/>
        <w:wordWrap/>
        <w:overflowPunct/>
        <w:topLinePunct w:val="0"/>
        <w:autoSpaceDE/>
        <w:autoSpaceDN/>
        <w:bidi w:val="0"/>
        <w:spacing w:before="0" w:after="0" w:line="520" w:lineRule="exact"/>
        <w:ind w:left="0" w:right="0" w:firstLine="640"/>
        <w:jc w:val="right"/>
        <w:textAlignment w:val="auto"/>
        <w:rPr>
          <w:rFonts w:hint="eastAsia" w:ascii="仿宋" w:hAnsi="仿宋" w:eastAsia="仿宋" w:cs="黑体"/>
          <w:kern w:val="2"/>
          <w:sz w:val="32"/>
          <w:szCs w:val="32"/>
          <w:u w:val="none"/>
          <w:shd w:val="clear"/>
          <w:lang w:val="en-US" w:eastAsia="zh-CN" w:bidi="ar-SA"/>
        </w:rPr>
      </w:pPr>
      <w:r>
        <w:rPr>
          <w:rFonts w:hint="eastAsia" w:ascii="仿宋" w:hAnsi="仿宋" w:eastAsia="仿宋" w:cs="黑体"/>
          <w:kern w:val="2"/>
          <w:sz w:val="32"/>
          <w:szCs w:val="32"/>
          <w:u w:val="none"/>
          <w:shd w:val="clear"/>
          <w:lang w:val="en-US" w:eastAsia="zh-CN" w:bidi="ar-SA"/>
        </w:rPr>
        <w:t>石家庄市城市照明管护中心</w:t>
      </w:r>
    </w:p>
    <w:p w14:paraId="4AD5739A">
      <w:pPr>
        <w:pStyle w:val="12"/>
        <w:keepNext w:val="0"/>
        <w:keepLines w:val="0"/>
        <w:pageBreakBefore w:val="0"/>
        <w:widowControl w:val="0"/>
        <w:shd w:val="clear" w:color="auto" w:fill="auto"/>
        <w:tabs>
          <w:tab w:val="left" w:pos="1312"/>
        </w:tabs>
        <w:kinsoku/>
        <w:wordWrap/>
        <w:overflowPunct/>
        <w:topLinePunct w:val="0"/>
        <w:autoSpaceDE/>
        <w:autoSpaceDN/>
        <w:bidi w:val="0"/>
        <w:spacing w:before="0" w:after="0" w:line="520" w:lineRule="exact"/>
        <w:ind w:left="0" w:right="0" w:firstLine="640"/>
        <w:jc w:val="center"/>
        <w:textAlignment w:val="auto"/>
        <w:rPr>
          <w:rFonts w:hint="default" w:ascii="仿宋_GB2312" w:hAnsi="仿宋_GB2312" w:eastAsia="仿宋_GB2312" w:cs="仿宋_GB2312"/>
          <w:color w:val="000000"/>
          <w:spacing w:val="0"/>
          <w:w w:val="100"/>
          <w:position w:val="0"/>
          <w:sz w:val="32"/>
          <w:szCs w:val="32"/>
          <w:highlight w:val="none"/>
          <w:lang w:val="en-US" w:eastAsia="zh-CN" w:bidi="en-US"/>
        </w:rPr>
      </w:pPr>
      <w:r>
        <w:rPr>
          <w:rFonts w:hint="eastAsia" w:ascii="仿宋_GB2312" w:hAnsi="仿宋_GB2312" w:eastAsia="仿宋_GB2312" w:cs="仿宋_GB2312"/>
          <w:color w:val="000000"/>
          <w:spacing w:val="0"/>
          <w:w w:val="100"/>
          <w:position w:val="0"/>
          <w:sz w:val="32"/>
          <w:szCs w:val="32"/>
          <w:highlight w:val="none"/>
          <w:lang w:val="en-US" w:eastAsia="zh-CN" w:bidi="en-US"/>
        </w:rPr>
        <w:t xml:space="preserve">                          2025年3月13日</w:t>
      </w:r>
    </w:p>
    <w:p w14:paraId="19ED7B94">
      <w:pPr>
        <w:spacing w:line="560" w:lineRule="exact"/>
        <w:rPr>
          <w:rFonts w:ascii="仿宋" w:hAnsi="仿宋" w:eastAsia="仿宋"/>
        </w:rPr>
      </w:pPr>
      <w:bookmarkStart w:id="0" w:name="_GoBack"/>
      <w:bookmarkEnd w:id="0"/>
    </w:p>
    <w:sectPr>
      <w:footerReference r:id="rId3" w:type="default"/>
      <w:pgSz w:w="11906" w:h="16838"/>
      <w:pgMar w:top="1327" w:right="1474" w:bottom="1474"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1D371">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AC4AB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DLZp0PwAEAAJ0DAAAOAAAAAAAAAAEAIAAAAB4BAABkcnMvZTJvRG9jLnhtbFBLBQYA&#10;AAAABgAGAFkBAABQBQAAAAA=&#10;">
              <v:fill on="f" focussize="0,0"/>
              <v:stroke on="f"/>
              <v:imagedata o:title=""/>
              <o:lock v:ext="edit" aspectratio="f"/>
              <v:textbox inset="0mm,0mm,0mm,0mm" style="mso-fit-shape-to-text:t;">
                <w:txbxContent>
                  <w:p w14:paraId="74AC4AB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AC0AD0"/>
    <w:multiLevelType w:val="singleLevel"/>
    <w:tmpl w:val="8EAC0AD0"/>
    <w:lvl w:ilvl="0" w:tentative="0">
      <w:start w:val="2"/>
      <w:numFmt w:val="chineseCounting"/>
      <w:suff w:val="nothing"/>
      <w:lvlText w:val="（%1）"/>
      <w:lvlJc w:val="left"/>
      <w:rPr>
        <w:rFonts w:hint="eastAsia"/>
      </w:rPr>
    </w:lvl>
  </w:abstractNum>
  <w:abstractNum w:abstractNumId="1">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5OTg1MjcyZjZiMmFhNmY1MzJmYzdlMjljMjk0ZWM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1046B36"/>
    <w:rsid w:val="02B43A28"/>
    <w:rsid w:val="075A5FB7"/>
    <w:rsid w:val="0CFC2ACB"/>
    <w:rsid w:val="0EB97A43"/>
    <w:rsid w:val="0EBD2122"/>
    <w:rsid w:val="11B71E6A"/>
    <w:rsid w:val="1510411E"/>
    <w:rsid w:val="1AAF0063"/>
    <w:rsid w:val="1BE140DE"/>
    <w:rsid w:val="248C197D"/>
    <w:rsid w:val="252959AF"/>
    <w:rsid w:val="277A6671"/>
    <w:rsid w:val="292D35B7"/>
    <w:rsid w:val="33EB6CFF"/>
    <w:rsid w:val="38DF5371"/>
    <w:rsid w:val="3B0D6EA8"/>
    <w:rsid w:val="3B625C0A"/>
    <w:rsid w:val="3CEE1963"/>
    <w:rsid w:val="3D952189"/>
    <w:rsid w:val="499F1A2E"/>
    <w:rsid w:val="512260B4"/>
    <w:rsid w:val="522E7F96"/>
    <w:rsid w:val="54F95CDF"/>
    <w:rsid w:val="576F7261"/>
    <w:rsid w:val="597244E8"/>
    <w:rsid w:val="59EFF383"/>
    <w:rsid w:val="5AFFCB56"/>
    <w:rsid w:val="5DA62BB3"/>
    <w:rsid w:val="63615561"/>
    <w:rsid w:val="66AF0CE5"/>
    <w:rsid w:val="68025E5D"/>
    <w:rsid w:val="6E5B14A6"/>
    <w:rsid w:val="7491586B"/>
    <w:rsid w:val="74BC5010"/>
    <w:rsid w:val="7BB51E06"/>
    <w:rsid w:val="7C387F7C"/>
    <w:rsid w:val="7D4F5D82"/>
    <w:rsid w:val="7E6FF87F"/>
    <w:rsid w:val="7EFBB0AB"/>
    <w:rsid w:val="8F7A62DC"/>
    <w:rsid w:val="BF7E1DAB"/>
    <w:rsid w:val="DCE8138A"/>
    <w:rsid w:val="DFD9D73B"/>
    <w:rsid w:val="EFAE5DFC"/>
    <w:rsid w:val="F577724C"/>
    <w:rsid w:val="F8FDA038"/>
    <w:rsid w:val="FB699CBF"/>
    <w:rsid w:val="FCE989C6"/>
    <w:rsid w:val="FEEE916A"/>
    <w:rsid w:val="FFB50C50"/>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3"/>
    <w:basedOn w:val="1"/>
    <w:next w:val="1"/>
    <w:qFormat/>
    <w:uiPriority w:val="0"/>
    <w:pPr>
      <w:ind w:left="420"/>
    </w:pPr>
    <w:rPr>
      <w:rFonts w:ascii="Times New Roman" w:hAnsi="Times New Roman"/>
      <w:i/>
      <w:iCs/>
      <w:sz w:val="20"/>
    </w:rPr>
  </w:style>
  <w:style w:type="paragraph" w:styleId="3">
    <w:name w:val="Normal Indent"/>
    <w:basedOn w:val="1"/>
    <w:qFormat/>
    <w:uiPriority w:val="0"/>
    <w:pPr>
      <w:ind w:firstLine="420"/>
    </w:pPr>
    <w:rPr>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rPr>
  </w:style>
  <w:style w:type="character" w:customStyle="1" w:styleId="9">
    <w:name w:val="font41"/>
    <w:basedOn w:val="8"/>
    <w:qFormat/>
    <w:uiPriority w:val="0"/>
    <w:rPr>
      <w:rFonts w:ascii="Calibri" w:hAnsi="Calibri" w:cs="Calibri"/>
      <w:color w:val="000000"/>
      <w:sz w:val="20"/>
      <w:szCs w:val="20"/>
      <w:u w:val="none"/>
    </w:rPr>
  </w:style>
  <w:style w:type="character" w:customStyle="1" w:styleId="10">
    <w:name w:val="font31"/>
    <w:basedOn w:val="8"/>
    <w:qFormat/>
    <w:uiPriority w:val="0"/>
    <w:rPr>
      <w:rFonts w:hint="eastAsia" w:ascii="宋体" w:hAnsi="宋体" w:eastAsia="宋体" w:cs="宋体"/>
      <w:color w:val="000000"/>
      <w:sz w:val="20"/>
      <w:szCs w:val="20"/>
      <w:u w:val="none"/>
    </w:rPr>
  </w:style>
  <w:style w:type="character" w:customStyle="1" w:styleId="11">
    <w:name w:val="font81"/>
    <w:basedOn w:val="8"/>
    <w:qFormat/>
    <w:uiPriority w:val="0"/>
    <w:rPr>
      <w:rFonts w:hint="eastAsia" w:ascii="宋体" w:hAnsi="宋体" w:eastAsia="宋体" w:cs="宋体"/>
      <w:color w:val="000000"/>
      <w:sz w:val="20"/>
      <w:szCs w:val="20"/>
      <w:u w:val="none"/>
    </w:rPr>
  </w:style>
  <w:style w:type="paragraph" w:customStyle="1" w:styleId="12">
    <w:name w:val="Body text|1"/>
    <w:basedOn w:val="1"/>
    <w:qFormat/>
    <w:uiPriority w:val="0"/>
    <w:pPr>
      <w:widowControl w:val="0"/>
      <w:shd w:val="clear" w:color="auto" w:fill="auto"/>
      <w:spacing w:line="473" w:lineRule="auto"/>
      <w:ind w:firstLine="400"/>
    </w:pPr>
    <w:rPr>
      <w:rFonts w:ascii="宋体" w:hAnsi="宋体" w:eastAsia="宋体" w:cs="宋体"/>
      <w:sz w:val="26"/>
      <w:szCs w:val="26"/>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3103</Words>
  <Characters>3384</Characters>
  <Lines>7</Lines>
  <Paragraphs>2</Paragraphs>
  <TotalTime>15</TotalTime>
  <ScaleCrop>false</ScaleCrop>
  <LinksUpToDate>false</LinksUpToDate>
  <CharactersWithSpaces>3601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2020-02-07T03:46:00Z</dcterms:created>
  <dc:creator>欣欣大人</dc:creator>
  <cp:lastModifiedBy>。。。</cp:lastModifiedBy>
  <cp:lastPrinted>2025-03-15T13:58:00Z</cp:lastPrinted>
  <dcterms:modified xsi:type="dcterms:W3CDTF">2025-03-25T02:47:24Z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D184F3EE5B1A4AA4A1CD7C7C6FB042D0_13</vt:lpwstr>
  </property>
  <property fmtid="{D5CDD505-2E9C-101B-9397-08002B2CF9AE}" pid="4" name="KSOTemplateDocerSaveRecord">
    <vt:lpwstr>eyJoZGlkIjoiYjg3YjZkMDZiMTdkMmI2NjRlZDc4NzhjNTZmMTc0YzgiLCJ1c2VySWQiOiI0MDA1Mzk4NDcifQ==</vt:lpwstr>
  </property>
</Properties>
</file>