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6FAE5">
      <w:pPr>
        <w:rPr>
          <w:rFonts w:hint="eastAsia"/>
        </w:rPr>
      </w:pPr>
    </w:p>
    <w:p w14:paraId="6E7EB6F5">
      <w:pPr>
        <w:spacing w:line="560" w:lineRule="exact"/>
        <w:jc w:val="center"/>
        <w:rPr>
          <w:rFonts w:hint="eastAsia" w:asci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cs="宋体"/>
          <w:b/>
          <w:bCs/>
          <w:sz w:val="44"/>
          <w:szCs w:val="44"/>
          <w:lang w:val="en-US" w:eastAsia="zh-CN"/>
        </w:rPr>
        <w:t>2024年度</w:t>
      </w:r>
      <w:r>
        <w:rPr>
          <w:rFonts w:hint="eastAsia" w:ascii="宋体" w:cs="宋体"/>
          <w:b/>
          <w:bCs/>
          <w:sz w:val="44"/>
          <w:szCs w:val="44"/>
        </w:rPr>
        <w:t>二环路设施维护费</w:t>
      </w:r>
      <w:r>
        <w:rPr>
          <w:rFonts w:hint="eastAsia" w:ascii="宋体" w:cs="宋体"/>
          <w:b/>
          <w:bCs/>
          <w:sz w:val="44"/>
          <w:szCs w:val="44"/>
          <w:lang w:val="en-US" w:eastAsia="zh-CN"/>
        </w:rPr>
        <w:t>项目</w:t>
      </w:r>
    </w:p>
    <w:p w14:paraId="17CBE8A3">
      <w:pPr>
        <w:spacing w:line="560" w:lineRule="exact"/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cs="宋体"/>
          <w:b/>
          <w:bCs/>
          <w:sz w:val="44"/>
          <w:szCs w:val="44"/>
        </w:rPr>
        <w:t>自评报告</w:t>
      </w:r>
    </w:p>
    <w:p w14:paraId="14BAB2C0"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</w:rPr>
      </w:pPr>
    </w:p>
    <w:p w14:paraId="5ED6F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根据《石家庄市市级部门项目绩效自评管理办法》（石财绩〔2020〕5号），遵循全面覆盖、程序简便、客观公正、公开透明的原则，对二环路设施维护经费项目实施了财政绩效自评价，形成本评价报告。</w:t>
      </w:r>
    </w:p>
    <w:p w14:paraId="4D205B63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ascii="黑体" w:eastAsia="黑体"/>
          <w:b/>
          <w:bCs/>
          <w:szCs w:val="36"/>
        </w:rPr>
      </w:pPr>
      <w:r>
        <w:rPr>
          <w:rFonts w:hint="eastAsia"/>
        </w:rPr>
        <w:t>一、项目基本情况</w:t>
      </w:r>
    </w:p>
    <w:p w14:paraId="155BA47D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  <w:r>
        <w:rPr>
          <w:rFonts w:hint="eastAsia"/>
        </w:rPr>
        <w:t>（一）项目概况</w:t>
      </w:r>
    </w:p>
    <w:p w14:paraId="7975E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eastAsia="仿宋"/>
          <w:sz w:val="32"/>
          <w:szCs w:val="32"/>
        </w:rPr>
      </w:pPr>
      <w:r>
        <w:rPr>
          <w:rStyle w:val="22"/>
          <w:rFonts w:hint="eastAsia"/>
        </w:rPr>
        <w:t>1、项目实施单位及项目立项等基本情况</w:t>
      </w:r>
      <w:r>
        <w:rPr>
          <w:rFonts w:hint="eastAsia" w:ascii="仿宋" w:eastAsia="仿宋"/>
          <w:sz w:val="32"/>
          <w:szCs w:val="32"/>
        </w:rPr>
        <w:t>；</w:t>
      </w:r>
    </w:p>
    <w:p w14:paraId="1E729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石家庄市二环路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管护中心</w:t>
      </w:r>
      <w:r>
        <w:rPr>
          <w:rFonts w:hint="eastAsia" w:ascii="仿宋" w:hAnsi="仿宋" w:eastAsia="仿宋" w:cs="仿宋"/>
          <w:sz w:val="32"/>
          <w:szCs w:val="32"/>
        </w:rPr>
        <w:t>为正县级公益一类事业单位，机关核定编制数50人，内部设有办公室、劳动人事科、维修管理科、绿化保洁科、排水管理科、财务科、路政管理科、应急设备管理科。主要工作职责：负责二环路规划红线内的道路、桥梁、排水设施的维修养护；绿化管护；道路清扫保洁；部分园林绿地的保洁及路政管理。</w:t>
      </w:r>
    </w:p>
    <w:p w14:paraId="6116D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22"/>
          <w:rFonts w:hint="eastAsia" w:ascii="仿宋" w:hAnsi="仿宋" w:eastAsia="仿宋" w:cs="仿宋"/>
        </w:rPr>
        <w:t>2、项目主要实施内容和范围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；</w:t>
      </w:r>
    </w:p>
    <w:p w14:paraId="7B219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二环路</w:t>
      </w:r>
      <w:r>
        <w:rPr>
          <w:rFonts w:hint="eastAsia" w:ascii="仿宋" w:hAnsi="仿宋" w:eastAsia="仿宋" w:cs="仿宋"/>
          <w:sz w:val="32"/>
          <w:szCs w:val="32"/>
        </w:rPr>
        <w:t>设施维护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工作主要实施内容：</w:t>
      </w:r>
      <w:r>
        <w:rPr>
          <w:rFonts w:hint="eastAsia" w:ascii="仿宋" w:hAnsi="仿宋" w:eastAsia="仿宋" w:cs="仿宋"/>
          <w:sz w:val="32"/>
          <w:szCs w:val="32"/>
        </w:rPr>
        <w:t>二环路规划红线内的道路、桥梁、排水设施的维修养护；绿化管护；道路清扫保洁；部分园林绿地的保洁及路政管理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。</w:t>
      </w:r>
    </w:p>
    <w:p w14:paraId="471B6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eastAsia="仿宋" w:cs="宋体"/>
          <w:b/>
          <w:bCs/>
          <w:kern w:val="0"/>
          <w:sz w:val="24"/>
          <w:szCs w:val="24"/>
        </w:rPr>
      </w:pPr>
      <w:r>
        <w:rPr>
          <w:rStyle w:val="22"/>
          <w:rFonts w:hint="eastAsia" w:ascii="仿宋" w:hAnsi="仿宋" w:eastAsia="仿宋" w:cs="仿宋"/>
          <w:lang w:val="en-US" w:eastAsia="zh-CN"/>
        </w:rPr>
        <w:t>3、</w:t>
      </w:r>
      <w:r>
        <w:rPr>
          <w:rStyle w:val="22"/>
          <w:rFonts w:hint="eastAsia" w:ascii="仿宋" w:hAnsi="仿宋" w:eastAsia="仿宋" w:cs="仿宋"/>
        </w:rPr>
        <w:t>项目资金投入情况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（资金</w:t>
      </w:r>
      <w:r>
        <w:rPr>
          <w:rFonts w:hint="eastAsia" w:ascii="仿宋" w:hAnsi="仿宋" w:eastAsia="仿宋" w:cs="仿宋"/>
          <w:sz w:val="32"/>
          <w:szCs w:val="32"/>
        </w:rPr>
        <w:t>数量、资金结构、资金来源渠道等）。</w:t>
      </w:r>
    </w:p>
    <w:p w14:paraId="2AD91281">
      <w:pPr>
        <w:pStyle w:val="2"/>
        <w:rPr>
          <w:rFonts w:hint="eastAsia"/>
          <w:lang w:val="en-US" w:eastAsia="zh-CN"/>
        </w:rPr>
      </w:pPr>
    </w:p>
    <w:tbl>
      <w:tblPr>
        <w:tblStyle w:val="12"/>
        <w:tblW w:w="866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61"/>
        <w:gridCol w:w="1096"/>
        <w:gridCol w:w="2010"/>
        <w:gridCol w:w="1524"/>
      </w:tblGrid>
      <w:tr w14:paraId="53D8B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6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1CA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仿宋_GB2312" w:eastAsia="仿宋_GB2312" w:cs="仿宋_GB2312"/>
                <w:b/>
                <w:sz w:val="28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sz w:val="28"/>
                <w:szCs w:val="32"/>
              </w:rPr>
              <w:t>项目资金投入情况</w:t>
            </w:r>
          </w:p>
          <w:p w14:paraId="6041F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ascii="仿宋" w:eastAsia="仿宋" w:cs="宋体"/>
                <w:b/>
                <w:bCs/>
                <w:kern w:val="0"/>
                <w:sz w:val="16"/>
                <w:szCs w:val="24"/>
              </w:rPr>
            </w:pPr>
          </w:p>
        </w:tc>
      </w:tr>
      <w:tr w14:paraId="4D995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B7E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asci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</w:rPr>
              <w:t>项目名称</w:t>
            </w:r>
          </w:p>
        </w:tc>
        <w:tc>
          <w:tcPr>
            <w:tcW w:w="4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123F4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仿宋_GB2312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</w:rPr>
              <w:t>二环</w:t>
            </w:r>
            <w:r>
              <w:rPr>
                <w:rFonts w:hint="eastAsia" w:ascii="仿宋_GB2312" w:eastAsia="仿宋_GB2312" w:cs="仿宋_GB2312"/>
                <w:sz w:val="24"/>
                <w:szCs w:val="20"/>
                <w:lang w:val="en-US" w:eastAsia="zh-CN"/>
              </w:rPr>
              <w:t>路设施维护费</w:t>
            </w:r>
          </w:p>
        </w:tc>
        <w:tc>
          <w:tcPr>
            <w:tcW w:w="20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E0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asci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</w:rPr>
              <w:t>到位资金（万元）</w:t>
            </w:r>
          </w:p>
        </w:tc>
        <w:tc>
          <w:tcPr>
            <w:tcW w:w="1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9B9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仿宋_GB2312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文泉驿正黑" w:hAnsi="文泉驿正黑" w:eastAsia="仿宋_GB2312" w:cs="仿宋_GB2312"/>
                <w:sz w:val="24"/>
                <w:szCs w:val="20"/>
                <w:lang w:val="en-US" w:eastAsia="zh-CN"/>
              </w:rPr>
              <w:t>7405.13</w:t>
            </w:r>
          </w:p>
        </w:tc>
      </w:tr>
      <w:tr w14:paraId="6CFF7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0D6A5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asci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</w:rPr>
              <w:t>资金来源</w:t>
            </w:r>
          </w:p>
        </w:tc>
        <w:tc>
          <w:tcPr>
            <w:tcW w:w="3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F79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仿宋_GB2312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  <w:lang w:val="en-US" w:eastAsia="zh-CN"/>
              </w:rPr>
              <w:t>一般公共预算（万元）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09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文泉驿正黑" w:hAnsi="文泉驿正黑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文泉驿正黑" w:hAnsi="文泉驿正黑" w:eastAsia="仿宋_GB2312" w:cs="仿宋_GB2312"/>
                <w:sz w:val="24"/>
                <w:szCs w:val="20"/>
                <w:lang w:val="en-US" w:eastAsia="zh-CN"/>
              </w:rPr>
              <w:t>3150.09</w:t>
            </w:r>
          </w:p>
        </w:tc>
        <w:tc>
          <w:tcPr>
            <w:tcW w:w="20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0A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</w:rPr>
              <w:t>实际使用资金（万元）</w:t>
            </w:r>
          </w:p>
        </w:tc>
        <w:tc>
          <w:tcPr>
            <w:tcW w:w="1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D90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文泉驿正黑" w:hAnsi="文泉驿正黑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文泉驿正黑" w:hAnsi="文泉驿正黑" w:eastAsia="仿宋_GB2312" w:cs="仿宋_GB2312"/>
                <w:sz w:val="24"/>
                <w:szCs w:val="20"/>
                <w:lang w:val="en-US" w:eastAsia="zh-CN"/>
              </w:rPr>
              <w:t>3150.09</w:t>
            </w:r>
          </w:p>
        </w:tc>
      </w:tr>
      <w:tr w14:paraId="72BB4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7C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ascii="仿宋_GB2312" w:eastAsia="仿宋_GB2312" w:cs="仿宋_GB2312"/>
                <w:sz w:val="24"/>
                <w:szCs w:val="20"/>
              </w:rPr>
            </w:pPr>
          </w:p>
        </w:tc>
        <w:tc>
          <w:tcPr>
            <w:tcW w:w="3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8C0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asci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  <w:lang w:val="en-US" w:eastAsia="zh-CN"/>
              </w:rPr>
              <w:t>政府性基金</w:t>
            </w:r>
            <w:r>
              <w:rPr>
                <w:rFonts w:hint="eastAsia" w:ascii="仿宋_GB2312" w:eastAsia="仿宋_GB2312" w:cs="仿宋_GB2312"/>
                <w:sz w:val="24"/>
                <w:szCs w:val="20"/>
              </w:rPr>
              <w:t>（万元）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19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 w:ascii="仿宋_GB2312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文泉驿正黑" w:hAnsi="文泉驿正黑" w:eastAsia="仿宋_GB2312" w:cs="仿宋_GB2312"/>
                <w:sz w:val="24"/>
                <w:szCs w:val="20"/>
                <w:lang w:val="en-US" w:eastAsia="zh-CN"/>
              </w:rPr>
              <w:t>4255.04</w:t>
            </w:r>
          </w:p>
        </w:tc>
        <w:tc>
          <w:tcPr>
            <w:tcW w:w="20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766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ascii="仿宋_GB2312" w:eastAsia="仿宋_GB2312" w:cs="仿宋_GB2312"/>
                <w:sz w:val="24"/>
                <w:szCs w:val="20"/>
              </w:rPr>
            </w:pPr>
            <w:r>
              <w:rPr>
                <w:rFonts w:hint="eastAsia" w:ascii="仿宋_GB2312" w:eastAsia="仿宋_GB2312" w:cs="仿宋_GB2312"/>
                <w:sz w:val="24"/>
                <w:szCs w:val="20"/>
              </w:rPr>
              <w:t>实际使用资金（万元）</w:t>
            </w:r>
          </w:p>
        </w:tc>
        <w:tc>
          <w:tcPr>
            <w:tcW w:w="15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21B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default" w:ascii="仿宋_GB2312" w:eastAsia="仿宋_GB2312" w:cs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文泉驿正黑" w:hAnsi="文泉驿正黑" w:eastAsia="仿宋_GB2312" w:cs="仿宋_GB2312"/>
                <w:sz w:val="24"/>
                <w:szCs w:val="20"/>
                <w:lang w:val="en-US" w:eastAsia="zh-CN"/>
              </w:rPr>
              <w:t>4255.04</w:t>
            </w:r>
          </w:p>
        </w:tc>
      </w:tr>
    </w:tbl>
    <w:p w14:paraId="19286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eastAsia="仿宋"/>
          <w:sz w:val="32"/>
          <w:szCs w:val="32"/>
          <w:lang w:val="en-US" w:eastAsia="zh-CN"/>
        </w:rPr>
      </w:pPr>
    </w:p>
    <w:p w14:paraId="687390E9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  <w:r>
        <w:rPr>
          <w:rFonts w:hint="eastAsia"/>
        </w:rPr>
        <w:t>（二）项目预期绩效目标</w:t>
      </w:r>
    </w:p>
    <w:p w14:paraId="0807D6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1.预期绩效总目标</w:t>
      </w:r>
    </w:p>
    <w:p w14:paraId="50F1E9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依据二环路设施维护经费预算，科学计划、规范实施、精细管理，确保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道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路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平坦、安全、干净整洁、美观畅通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C8A96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2.年度绩效指标</w:t>
      </w:r>
    </w:p>
    <w:p w14:paraId="7AB861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（1）产出指标</w:t>
      </w:r>
    </w:p>
    <w:p w14:paraId="008AB6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1）数量指标</w:t>
      </w:r>
    </w:p>
    <w:p w14:paraId="064E6B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道路维修数量≥8.5万平方米/年；便道维修数量≥7千平方米/年；清掏收、检井数量≥7500座/年；泵站运行数量=9座/年；疏通雨、污水管道数量≥2.1万延米/年；道路清扫数量=407.09万平方米/天；环卫工人休息用房维修数量=29座/年；融雪池设备设施维修数量=1座/年；防抛网数量=170米；养护绿化数量=77.91万平方米/年。</w:t>
      </w:r>
    </w:p>
    <w:p w14:paraId="22B3BC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2）质量指标</w:t>
      </w:r>
    </w:p>
    <w:p w14:paraId="215BE1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验收合格率=100%；泵站运行率=100%；环卫工人休息用房正常使用率=100%；融雪池运行率=100%；绿化养护覆盖率=100%；防抛网验收合格率=100%。</w:t>
      </w:r>
    </w:p>
    <w:p w14:paraId="5D0D2A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3）时效指标</w:t>
      </w:r>
    </w:p>
    <w:p w14:paraId="256E8F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完成及时率≥90%；清扫及时率≥95%；融雪及时率≥95%；完成及时率≥95%。</w:t>
      </w:r>
    </w:p>
    <w:p w14:paraId="60E166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4）成本指标</w:t>
      </w:r>
    </w:p>
    <w:p w14:paraId="28CB89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项目运行成本≤7405.13万元。</w:t>
      </w:r>
    </w:p>
    <w:p w14:paraId="264901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（2）效益指标</w:t>
      </w:r>
    </w:p>
    <w:p w14:paraId="56E313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1）社会效益</w:t>
      </w:r>
    </w:p>
    <w:p w14:paraId="451893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维修后的市政设施完好率达到相关标准，提高行车舒适度，保障市民出行安全≥85%；融雪池完好率=100%；环卫工人休息用房维修完好率=100%；防抛网设施完好率=100%。</w:t>
      </w:r>
    </w:p>
    <w:p w14:paraId="342FE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2）可持续影响</w:t>
      </w:r>
    </w:p>
    <w:p w14:paraId="661E76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确保维修范围内市政设施完好，延长设施使用寿命，减少设施大修周期≥2年；确保融雪池设备完好，延长设备使用寿命，减少设备大修周期≥1年；确保环卫工人休息用房完好，延长其使用寿命≥1年。</w:t>
      </w:r>
    </w:p>
    <w:p w14:paraId="1D634C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3）生态效益</w:t>
      </w:r>
    </w:p>
    <w:p w14:paraId="0D5B9A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通过清扫、种植养护等一系列工作，有效降低噪声污染、粉尘污染，提高环境质量，较上年显著提高。</w:t>
      </w:r>
    </w:p>
    <w:p w14:paraId="629AB2B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</w:t>
      </w:r>
    </w:p>
    <w:p w14:paraId="0F7C3911">
      <w:pPr>
        <w:pStyle w:val="2"/>
        <w:numPr>
          <w:ilvl w:val="0"/>
          <w:numId w:val="0"/>
        </w:numPr>
        <w:ind w:right="1470" w:rightChars="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   市民对二环路维护工作的满意度≥85%。</w:t>
      </w:r>
    </w:p>
    <w:p w14:paraId="6D835ABC"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</w:pPr>
      <w:r>
        <w:rPr>
          <w:rFonts w:hint="eastAsia"/>
        </w:rPr>
        <w:t>二、自评工作情况</w:t>
      </w:r>
    </w:p>
    <w:p w14:paraId="7180CAF2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（一）自评的组织工作</w:t>
      </w:r>
    </w:p>
    <w:p w14:paraId="687D3538"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</w:rPr>
      </w:pPr>
      <w:r>
        <w:rPr>
          <w:rFonts w:hint="eastAsia"/>
        </w:rPr>
        <w:t>1、绩效评价管理组织</w:t>
      </w:r>
    </w:p>
    <w:p w14:paraId="5A19FFEB">
      <w:pPr>
        <w:spacing w:line="360" w:lineRule="auto"/>
        <w:ind w:firstLine="640" w:firstLineChars="200"/>
        <w:rPr>
          <w:rFonts w:hint="eastAsia" w:ascii="仿宋" w:eastAsia="仿宋" w:cs="仿宋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我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中心</w:t>
      </w:r>
      <w:r>
        <w:rPr>
          <w:rFonts w:hint="eastAsia" w:ascii="仿宋" w:eastAsia="仿宋" w:cs="仿宋"/>
          <w:sz w:val="32"/>
          <w:szCs w:val="32"/>
        </w:rPr>
        <w:t>成立由主任为组长、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保洁二科、养护二科、排水二科、绿地管护二科</w:t>
      </w:r>
      <w:r>
        <w:rPr>
          <w:rFonts w:hint="eastAsia" w:asci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eastAsia="仿宋" w:cs="仿宋"/>
          <w:sz w:val="32"/>
          <w:szCs w:val="32"/>
        </w:rPr>
        <w:t>财务科等相关科室人员组成的绩效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自评</w:t>
      </w:r>
      <w:r>
        <w:rPr>
          <w:rFonts w:hint="eastAsia" w:ascii="仿宋" w:eastAsia="仿宋" w:cs="仿宋"/>
          <w:sz w:val="32"/>
          <w:szCs w:val="32"/>
        </w:rPr>
        <w:t>小组，开展202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eastAsia="仿宋" w:cs="仿宋"/>
          <w:sz w:val="32"/>
          <w:szCs w:val="32"/>
        </w:rPr>
        <w:t>年度二环路专项项目绩效评价工作。</w:t>
      </w:r>
    </w:p>
    <w:p w14:paraId="71E0756E">
      <w:pPr>
        <w:pStyle w:val="16"/>
        <w:ind w:left="1" w:firstLine="720" w:firstLineChars="225"/>
        <w:jc w:val="center"/>
        <w:rPr>
          <w:rFonts w:hint="eastAsia" w:ascii="仿宋" w:eastAsia="仿宋" w:cs="仿宋"/>
          <w:color w:val="000000"/>
          <w:sz w:val="32"/>
          <w:szCs w:val="32"/>
        </w:rPr>
      </w:pPr>
      <w:r>
        <w:rPr>
          <w:rFonts w:hint="eastAsia" w:ascii="仿宋" w:eastAsia="仿宋" w:cs="仿宋"/>
          <w:color w:val="000000"/>
          <w:sz w:val="32"/>
          <w:szCs w:val="32"/>
        </w:rPr>
        <w:t>项目绩效自评小组名单</w:t>
      </w:r>
    </w:p>
    <w:tbl>
      <w:tblPr>
        <w:tblStyle w:val="12"/>
        <w:tblW w:w="8478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2056"/>
        <w:gridCol w:w="5201"/>
      </w:tblGrid>
      <w:tr w14:paraId="3B159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4E9FCC6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3FC079CE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1C69284D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工作单位</w:t>
            </w:r>
          </w:p>
        </w:tc>
      </w:tr>
      <w:tr w14:paraId="57DD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1EAE8CFB"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张世武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63B25E9A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主任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4E307D99">
            <w:pPr>
              <w:widowControl/>
              <w:jc w:val="center"/>
              <w:rPr>
                <w:rFonts w:hint="default" w:asci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</w:t>
            </w:r>
          </w:p>
        </w:tc>
      </w:tr>
      <w:tr w14:paraId="7F602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3E7CC40C">
            <w:pPr>
              <w:widowControl/>
              <w:jc w:val="center"/>
              <w:rPr>
                <w:rFonts w:ascii="宋体" w:hAnsi="Calibri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凌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0E2A6B70">
            <w:pPr>
              <w:widowControl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科长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398C055D">
            <w:pPr>
              <w:spacing w:line="560" w:lineRule="exact"/>
              <w:jc w:val="center"/>
              <w:rPr>
                <w:rFonts w:hint="eastAsia" w:ascii="宋体" w:hAnsi="Calibri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道桥设施管护中心财务科</w:t>
            </w:r>
          </w:p>
        </w:tc>
      </w:tr>
      <w:tr w14:paraId="05D3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6D1DD4E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唐</w:t>
            </w: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>迪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5B74279C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副科长、</w:t>
            </w:r>
            <w:r>
              <w:rPr>
                <w:rFonts w:ascii="宋体" w:cs="宋体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7A19C37A">
            <w:pPr>
              <w:widowControl/>
              <w:jc w:val="center"/>
              <w:rPr>
                <w:rFonts w:hint="default" w:asci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道桥设施管护中心保洁二科</w:t>
            </w:r>
          </w:p>
        </w:tc>
      </w:tr>
      <w:tr w14:paraId="04117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766B002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kern w:val="0"/>
                <w:sz w:val="24"/>
                <w:szCs w:val="24"/>
              </w:rPr>
              <w:t>李  菁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6F19B2D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科长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49393C6E">
            <w:pPr>
              <w:widowControl/>
              <w:jc w:val="center"/>
              <w:rPr>
                <w:rFonts w:hint="default" w:asci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道桥设施管护中心养护二科</w:t>
            </w:r>
          </w:p>
        </w:tc>
      </w:tr>
      <w:tr w14:paraId="4DB3B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0B9AE26E">
            <w:pPr>
              <w:widowControl/>
              <w:jc w:val="center"/>
              <w:rPr>
                <w:rFonts w:hint="default" w:asci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杨  萍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0E3DEBFE"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科长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3F7B7B86">
            <w:pPr>
              <w:widowControl/>
              <w:jc w:val="center"/>
              <w:rPr>
                <w:rFonts w:hint="default" w:ascii="宋体" w:cs="宋体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道桥设施管护中心绿地管护二科</w:t>
            </w:r>
          </w:p>
        </w:tc>
      </w:tr>
      <w:tr w14:paraId="433C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387A96DB"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杨绍英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4CA8AC38"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>科长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78340BF5">
            <w:pPr>
              <w:widowControl/>
              <w:jc w:val="center"/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道桥设施管护中心排水二科</w:t>
            </w:r>
          </w:p>
        </w:tc>
      </w:tr>
      <w:tr w14:paraId="03F2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522BF0FF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李</w:t>
            </w: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cs="宋体"/>
                <w:kern w:val="0"/>
                <w:sz w:val="24"/>
                <w:szCs w:val="24"/>
              </w:rPr>
              <w:t xml:space="preserve"> 炜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78805BA6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副科长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5DAC1B85">
            <w:pPr>
              <w:widowControl/>
              <w:jc w:val="center"/>
              <w:rPr>
                <w:rFonts w:hint="default" w:asci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道桥设施管护中心排水二科</w:t>
            </w:r>
          </w:p>
        </w:tc>
      </w:tr>
      <w:tr w14:paraId="6EBE4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221" w:type="dxa"/>
            <w:tcBorders>
              <w:tl2br w:val="nil"/>
              <w:tr2bl w:val="nil"/>
            </w:tcBorders>
            <w:noWrap/>
            <w:vAlign w:val="center"/>
          </w:tcPr>
          <w:p w14:paraId="20F5E7D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郭宏立</w:t>
            </w:r>
          </w:p>
        </w:tc>
        <w:tc>
          <w:tcPr>
            <w:tcW w:w="2056" w:type="dxa"/>
            <w:tcBorders>
              <w:tl2br w:val="nil"/>
              <w:tr2bl w:val="nil"/>
            </w:tcBorders>
            <w:noWrap/>
            <w:vAlign w:val="center"/>
          </w:tcPr>
          <w:p w14:paraId="24D43182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>副科长</w:t>
            </w:r>
          </w:p>
        </w:tc>
        <w:tc>
          <w:tcPr>
            <w:tcW w:w="5201" w:type="dxa"/>
            <w:tcBorders>
              <w:tl2br w:val="nil"/>
              <w:tr2bl w:val="nil"/>
            </w:tcBorders>
            <w:noWrap/>
            <w:vAlign w:val="center"/>
          </w:tcPr>
          <w:p w14:paraId="3BA8D7B4">
            <w:pPr>
              <w:widowControl/>
              <w:jc w:val="center"/>
              <w:rPr>
                <w:rFonts w:hint="default" w:asci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</w:rPr>
              <w:t>石家庄市</w:t>
            </w:r>
            <w:r>
              <w:rPr>
                <w:rFonts w:hint="eastAsia" w:ascii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道桥设施管护中心养护二科</w:t>
            </w:r>
          </w:p>
        </w:tc>
      </w:tr>
    </w:tbl>
    <w:p w14:paraId="7EACBAB7">
      <w:pPr>
        <w:pStyle w:val="2"/>
        <w:ind w:left="0" w:leftChars="0" w:firstLine="0" w:firstLineChars="0"/>
        <w:rPr>
          <w:rFonts w:hint="eastAsia"/>
        </w:rPr>
      </w:pPr>
    </w:p>
    <w:p w14:paraId="0E130E8A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2、评价</w:t>
      </w:r>
      <w:r>
        <w:rPr>
          <w:rFonts w:hint="eastAsia"/>
          <w:lang w:val="en-US" w:eastAsia="zh-CN"/>
        </w:rPr>
        <w:t>过程</w:t>
      </w:r>
    </w:p>
    <w:p w14:paraId="67FB5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eastAsia="仿宋" w:cs="仿宋"/>
          <w:sz w:val="32"/>
          <w:szCs w:val="32"/>
          <w:lang w:eastAsia="zh-CN"/>
        </w:rPr>
      </w:pPr>
      <w:r>
        <w:rPr>
          <w:rFonts w:hint="eastAsia" w:ascii="仿宋" w:eastAsia="仿宋" w:cs="仿宋"/>
          <w:sz w:val="32"/>
          <w:szCs w:val="32"/>
        </w:rPr>
        <w:t>依据202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eastAsia="仿宋" w:cs="仿宋"/>
          <w:sz w:val="32"/>
          <w:szCs w:val="32"/>
        </w:rPr>
        <w:t>财政预算科目，全面覆盖二环路维护工作实际情况，按照年初设定的绩效目标，客观、公正、公开、透明地进行对标评价。</w:t>
      </w:r>
      <w:r>
        <w:rPr>
          <w:rFonts w:hint="eastAsia" w:ascii="仿宋" w:eastAsia="仿宋" w:cs="仿宋"/>
          <w:sz w:val="32"/>
          <w:szCs w:val="32"/>
          <w:lang w:val="en-US" w:eastAsia="zh-CN"/>
        </w:rPr>
        <w:t>具体安排如下：3</w:t>
      </w:r>
      <w:r>
        <w:rPr>
          <w:rFonts w:hint="eastAsia" w:ascii="仿宋" w:eastAsia="仿宋" w:cs="仿宋"/>
          <w:bCs/>
          <w:color w:val="000000"/>
          <w:sz w:val="32"/>
          <w:szCs w:val="32"/>
        </w:rPr>
        <w:t>月</w:t>
      </w:r>
      <w:r>
        <w:rPr>
          <w:rFonts w:hint="eastAsia" w:ascii="仿宋" w:eastAsia="仿宋" w:cs="仿宋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eastAsia="仿宋" w:cs="仿宋"/>
          <w:bCs/>
          <w:color w:val="000000"/>
          <w:sz w:val="32"/>
          <w:szCs w:val="32"/>
        </w:rPr>
        <w:t>日，前期政策文件，相关资料收集初审，</w:t>
      </w:r>
      <w:r>
        <w:rPr>
          <w:rFonts w:hint="eastAsia" w:ascii="仿宋" w:eastAsia="仿宋" w:cs="仿宋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eastAsia="仿宋" w:cs="仿宋"/>
          <w:bCs/>
          <w:color w:val="000000"/>
          <w:sz w:val="32"/>
          <w:szCs w:val="32"/>
        </w:rPr>
        <w:t>月</w:t>
      </w:r>
      <w:r>
        <w:rPr>
          <w:rFonts w:hint="eastAsia" w:ascii="仿宋" w:eastAsia="仿宋" w:cs="仿宋"/>
          <w:bCs/>
          <w:sz w:val="32"/>
          <w:szCs w:val="32"/>
          <w:lang w:val="en-US" w:eastAsia="zh-CN"/>
        </w:rPr>
        <w:t>10</w:t>
      </w:r>
      <w:r>
        <w:rPr>
          <w:rFonts w:hint="eastAsia" w:ascii="仿宋" w:eastAsia="仿宋" w:cs="仿宋"/>
          <w:bCs/>
          <w:color w:val="000000"/>
          <w:sz w:val="32"/>
          <w:szCs w:val="32"/>
        </w:rPr>
        <w:t>日，现场核查走访，</w:t>
      </w:r>
      <w:r>
        <w:rPr>
          <w:rFonts w:hint="eastAsia" w:ascii="仿宋" w:eastAsia="仿宋" w:cs="仿宋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eastAsia="仿宋" w:cs="仿宋"/>
          <w:bCs/>
          <w:color w:val="000000"/>
          <w:sz w:val="32"/>
          <w:szCs w:val="32"/>
        </w:rPr>
        <w:t>月</w:t>
      </w:r>
      <w:r>
        <w:rPr>
          <w:rFonts w:hint="eastAsia" w:ascii="仿宋" w:eastAsia="仿宋" w:cs="仿宋"/>
          <w:bCs/>
          <w:sz w:val="32"/>
          <w:szCs w:val="32"/>
          <w:lang w:val="en-US" w:eastAsia="zh-CN"/>
        </w:rPr>
        <w:t>12</w:t>
      </w:r>
      <w:r>
        <w:rPr>
          <w:rFonts w:hint="eastAsia" w:ascii="仿宋" w:eastAsia="仿宋" w:cs="仿宋"/>
          <w:bCs/>
          <w:color w:val="000000"/>
          <w:sz w:val="32"/>
          <w:szCs w:val="32"/>
        </w:rPr>
        <w:t>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自评小</w:t>
      </w:r>
      <w:r>
        <w:rPr>
          <w:rFonts w:hint="eastAsia" w:ascii="仿宋" w:hAnsi="仿宋" w:eastAsia="仿宋" w:cs="仿宋"/>
          <w:sz w:val="32"/>
          <w:szCs w:val="32"/>
        </w:rPr>
        <w:t>组在全面分析整理相关数据资料的基础上，对照评价指标和标准，进行综合评议打分，得出评价结论，撰写评价报告</w:t>
      </w:r>
      <w:r>
        <w:rPr>
          <w:rFonts w:hint="eastAsia" w:ascii="仿宋" w:eastAsia="仿宋" w:cs="仿宋"/>
          <w:bCs/>
          <w:color w:val="000000"/>
          <w:sz w:val="32"/>
          <w:szCs w:val="32"/>
          <w:lang w:eastAsia="zh-CN"/>
        </w:rPr>
        <w:t>。</w:t>
      </w:r>
    </w:p>
    <w:p w14:paraId="3C743CA8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_GB2312" w:eastAsia="仿宋_GB2312" w:cs="仿宋_GB2312"/>
          <w:b/>
          <w:bCs/>
          <w:color w:val="000000"/>
          <w:szCs w:val="32"/>
        </w:rPr>
      </w:pPr>
      <w:r>
        <w:rPr>
          <w:rFonts w:hint="eastAsia"/>
        </w:rPr>
        <w:t>3、资料收集</w:t>
      </w:r>
    </w:p>
    <w:p w14:paraId="6A7FE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548DD4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项目执行过程中妥善保管有关资料，做好材料存档工作，便于日后查找与检查。及时通过网络等方式公开有关事项。</w:t>
      </w:r>
    </w:p>
    <w:p w14:paraId="399144A9">
      <w:pPr>
        <w:pStyle w:val="19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Chars="0"/>
        <w:textAlignment w:val="auto"/>
        <w:rPr>
          <w:rFonts w:hint="eastAsia"/>
        </w:rPr>
      </w:pPr>
      <w:r>
        <w:rPr>
          <w:rFonts w:hint="eastAsia"/>
        </w:rPr>
        <w:t>自评的方法和过程</w:t>
      </w:r>
    </w:p>
    <w:p w14:paraId="7CEFE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通过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对项目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的招投标文件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合同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工程量清单、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工作台账、质量验收单、支付凭证</w:t>
      </w:r>
      <w:r>
        <w:rPr>
          <w:rFonts w:hint="eastAsia" w:ascii="仿宋" w:hAnsi="仿宋" w:eastAsia="仿宋" w:cs="仿宋"/>
          <w:sz w:val="32"/>
          <w:szCs w:val="32"/>
        </w:rPr>
        <w:t>等资料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相关管理制度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的查阅，</w:t>
      </w:r>
      <w:r>
        <w:rPr>
          <w:rFonts w:hint="eastAsia" w:ascii="仿宋" w:hAnsi="仿宋" w:eastAsia="仿宋" w:cs="仿宋"/>
          <w:sz w:val="32"/>
          <w:szCs w:val="32"/>
        </w:rPr>
        <w:t>分析资金使用是否规范，安排是否合理，项目手续是否完整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对二环路整体的道路桥梁养护效果、路面清洁程度、泵站运行情况、环卫工人休息用房正常使用情况、融雪池正常安全运行情况、绿植成活情况进行了现场勘察，通过调查问卷的形式获取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市民</w:t>
      </w:r>
      <w:r>
        <w:rPr>
          <w:rFonts w:hint="eastAsia" w:ascii="仿宋" w:hAnsi="仿宋" w:eastAsia="仿宋" w:cs="仿宋"/>
          <w:sz w:val="32"/>
          <w:szCs w:val="32"/>
        </w:rPr>
        <w:t>对管护效果的意见及建议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；采用直接对比和量化评分法，将以上调查得出的实际工作完成值与年初设定的绩效指标进行对比、分析，在此基础上进行整体项目绩效评价，形成自评报告。</w:t>
      </w:r>
    </w:p>
    <w:p w14:paraId="6FF19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仿宋" w:eastAsia="仿宋"/>
          <w:b/>
          <w:bCs/>
          <w:sz w:val="32"/>
          <w:szCs w:val="32"/>
        </w:rPr>
      </w:pPr>
      <w:r>
        <w:rPr>
          <w:rFonts w:hint="eastAsia" w:ascii="楷体" w:eastAsia="楷体" w:cs="楷体_GB2312"/>
          <w:bCs/>
          <w:sz w:val="32"/>
          <w:szCs w:val="32"/>
        </w:rPr>
        <w:t>（三）</w:t>
      </w:r>
      <w:r>
        <w:rPr>
          <w:rStyle w:val="20"/>
          <w:rFonts w:hint="eastAsia"/>
        </w:rPr>
        <w:t>建立绩效评价指标体系</w:t>
      </w:r>
    </w:p>
    <w:p w14:paraId="7C3C17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评价指标设置及分值以《石家庄市市级预算绩效重点评价管理办法》为基础，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依据</w:t>
      </w:r>
      <w:r>
        <w:rPr>
          <w:rFonts w:hint="eastAsia" w:ascii="仿宋" w:hAnsi="仿宋" w:eastAsia="仿宋" w:cs="仿宋"/>
          <w:sz w:val="32"/>
          <w:szCs w:val="32"/>
        </w:rPr>
        <w:t>《城镇道路养护技术规范》（CJJ36-2016）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《城市桥梁养护技术标准》（CJJ99-2017)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、《石家庄市园林绿化养护管理标准》、《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石家庄市环境卫生事务中心城区清扫保洁分类管理实施方案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》、《河北省市政设施完好标准及检验评定办法》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等相关规范文件</w:t>
      </w:r>
      <w:r>
        <w:rPr>
          <w:rFonts w:hint="eastAsia" w:ascii="仿宋" w:hAnsi="仿宋" w:eastAsia="仿宋" w:cs="仿宋"/>
          <w:sz w:val="32"/>
          <w:szCs w:val="32"/>
        </w:rPr>
        <w:t>结合项目特点设定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指标权重根据各项指标在评价体系的重要程度确定，共设置一级指标4个，包括产出指标（40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）、效益指标（40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）、社会满意度指标（10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）及预算执行率指标（10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）；二级指标9个，包括产出数量、产出质量、产出时效、成本控制、生态效益、社会效益、可持续影响、群众社会满意度及预算执行率；三级指标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个，包括道路、便道维修面积完成率、道路清扫面积完成率、泵站运行数量、环卫工人休息用房维护数量、融雪池设备设施维护数量、绿地维护面积完成率、路面洁净程度、道路、桥梁维护情况、泵站、融雪池运行情况、管护天数、环卫工人休息用房正常使用情况、绿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成活</w:t>
      </w:r>
      <w:r>
        <w:rPr>
          <w:rFonts w:hint="eastAsia" w:ascii="仿宋" w:hAnsi="仿宋" w:eastAsia="仿宋" w:cs="仿宋"/>
          <w:sz w:val="32"/>
          <w:szCs w:val="32"/>
        </w:rPr>
        <w:t>情况、完成及时率、管理合规性、养护费成本、环境保洁效果、设施维护效果、环境绿化效果、居民生活环境改善、作业设备完好率、配套设施完好率、完善道路设施功能、受益群体满意度情况、预算执行情况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7A94E1A8">
      <w:pPr>
        <w:pStyle w:val="17"/>
        <w:bidi w:val="0"/>
      </w:pPr>
      <w:r>
        <w:rPr>
          <w:rFonts w:hint="eastAsia"/>
        </w:rPr>
        <w:t>三、项目执行及绩效实现情况</w:t>
      </w:r>
    </w:p>
    <w:p w14:paraId="2CBF804B">
      <w:pPr>
        <w:pStyle w:val="19"/>
        <w:numPr>
          <w:ilvl w:val="0"/>
          <w:numId w:val="3"/>
        </w:numPr>
        <w:tabs>
          <w:tab w:val="left" w:pos="640"/>
          <w:tab w:val="clear" w:pos="0"/>
        </w:tabs>
        <w:bidi w:val="0"/>
        <w:ind w:left="420" w:leftChars="0" w:firstLineChars="0"/>
      </w:pPr>
      <w:r>
        <w:rPr>
          <w:rFonts w:hint="eastAsia"/>
        </w:rPr>
        <w:t>预算执行情况</w:t>
      </w:r>
    </w:p>
    <w:p w14:paraId="2011E094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安排</w:t>
      </w:r>
      <w:r>
        <w:rPr>
          <w:rFonts w:hint="eastAsia" w:ascii="仿宋" w:hAnsi="仿宋" w:eastAsia="仿宋" w:cs="仿宋"/>
          <w:sz w:val="32"/>
          <w:szCs w:val="32"/>
        </w:rPr>
        <w:t>预算资金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7405.13</w:t>
      </w:r>
      <w:r>
        <w:rPr>
          <w:rFonts w:hint="eastAsia" w:ascii="仿宋" w:hAnsi="仿宋" w:eastAsia="仿宋" w:cs="仿宋"/>
          <w:sz w:val="32"/>
          <w:szCs w:val="32"/>
        </w:rPr>
        <w:t>万元，实际已执行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7405.13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万元，预算执行率=（预算执行数/预算总额）*100%，</w:t>
      </w:r>
      <w:r>
        <w:rPr>
          <w:rFonts w:hint="eastAsia" w:ascii="仿宋" w:hAnsi="仿宋" w:eastAsia="仿宋" w:cs="仿宋"/>
          <w:sz w:val="32"/>
          <w:szCs w:val="32"/>
        </w:rPr>
        <w:t>经计算，预算执行率为100%。该项得分10分。</w:t>
      </w:r>
    </w:p>
    <w:p w14:paraId="4E9F7A3C">
      <w:pPr>
        <w:spacing w:line="560" w:lineRule="exact"/>
        <w:rPr>
          <w:rFonts w:ascii="楷体" w:eastAsia="楷体"/>
          <w:bCs/>
          <w:sz w:val="32"/>
          <w:szCs w:val="32"/>
        </w:rPr>
      </w:pPr>
      <w:r>
        <w:rPr>
          <w:rFonts w:hint="eastAsia" w:ascii="仿宋" w:eastAsia="仿宋" w:cs="楷体_GB2312"/>
          <w:b/>
          <w:bCs/>
          <w:sz w:val="32"/>
          <w:szCs w:val="32"/>
        </w:rPr>
        <w:t xml:space="preserve">   </w:t>
      </w:r>
      <w:r>
        <w:rPr>
          <w:rFonts w:hint="eastAsia" w:ascii="楷体" w:eastAsia="楷体" w:cs="楷体_GB2312"/>
          <w:bCs/>
          <w:sz w:val="32"/>
          <w:szCs w:val="32"/>
        </w:rPr>
        <w:t>（二）</w:t>
      </w:r>
      <w:r>
        <w:rPr>
          <w:rStyle w:val="20"/>
          <w:rFonts w:hint="eastAsia"/>
        </w:rPr>
        <w:t>项目产出</w:t>
      </w:r>
    </w:p>
    <w:p w14:paraId="20ADCE3A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eastAsia="仿宋" w:cs="仿宋"/>
          <w:sz w:val="32"/>
          <w:szCs w:val="32"/>
        </w:rPr>
        <w:t>数量指标。</w:t>
      </w:r>
      <w:r>
        <w:rPr>
          <w:rFonts w:hint="eastAsia" w:ascii="仿宋" w:hAnsi="仿宋" w:eastAsia="仿宋" w:cs="仿宋"/>
          <w:sz w:val="32"/>
          <w:szCs w:val="32"/>
        </w:rPr>
        <w:t>该指标考察的是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二环路设施维护工作</w:t>
      </w:r>
      <w:r>
        <w:rPr>
          <w:rFonts w:hint="eastAsia" w:ascii="仿宋" w:hAnsi="仿宋" w:eastAsia="仿宋" w:cs="仿宋"/>
          <w:sz w:val="32"/>
          <w:szCs w:val="32"/>
        </w:rPr>
        <w:t>情况，依据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上级主管部门下达的任务及时保质保量的进行，</w:t>
      </w:r>
      <w:r>
        <w:rPr>
          <w:rFonts w:hint="eastAsia" w:ascii="仿宋" w:hAnsi="仿宋" w:eastAsia="仿宋" w:cs="仿宋"/>
          <w:sz w:val="32"/>
          <w:szCs w:val="32"/>
          <w:u w:val="none"/>
        </w:rPr>
        <w:t>考察实际工作完成情况，该项指标满分共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u w:val="none"/>
        </w:rPr>
        <w:t>分，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得分10分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637C122E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① 道路维修 8.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u w:val="none"/>
        </w:rPr>
        <w:t>万平方米；</w:t>
      </w:r>
    </w:p>
    <w:p w14:paraId="5BA90AFB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② 便道维修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8.5</w:t>
      </w:r>
      <w:r>
        <w:rPr>
          <w:rFonts w:hint="eastAsia" w:ascii="仿宋" w:hAnsi="仿宋" w:eastAsia="仿宋" w:cs="仿宋"/>
          <w:sz w:val="32"/>
          <w:szCs w:val="32"/>
          <w:u w:val="none"/>
        </w:rPr>
        <w:t>千平方米；</w:t>
      </w:r>
    </w:p>
    <w:p w14:paraId="631792CA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③ 清掏收、检井数量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13556</w:t>
      </w:r>
      <w:r>
        <w:rPr>
          <w:rFonts w:hint="eastAsia" w:ascii="仿宋" w:hAnsi="仿宋" w:eastAsia="仿宋" w:cs="仿宋"/>
          <w:sz w:val="32"/>
          <w:szCs w:val="32"/>
          <w:u w:val="none"/>
        </w:rPr>
        <w:t>座；</w:t>
      </w:r>
    </w:p>
    <w:p w14:paraId="788ACD56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④ 泵站正常运行 9 座；</w:t>
      </w:r>
    </w:p>
    <w:p w14:paraId="1EEAE638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⑤ 疏通雨、污水管道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18.7</w:t>
      </w:r>
      <w:r>
        <w:rPr>
          <w:rFonts w:hint="eastAsia" w:ascii="仿宋" w:hAnsi="仿宋" w:eastAsia="仿宋" w:cs="仿宋"/>
          <w:sz w:val="32"/>
          <w:szCs w:val="32"/>
          <w:u w:val="none"/>
        </w:rPr>
        <w:t>万延米；</w:t>
      </w:r>
    </w:p>
    <w:p w14:paraId="12CD90D2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⑥ 清扫道路 40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7.09</w:t>
      </w: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 万平方米；</w:t>
      </w:r>
    </w:p>
    <w:p w14:paraId="1CF12415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⑦ 环卫工人休息用房维修 29 座；</w:t>
      </w:r>
    </w:p>
    <w:p w14:paraId="7EF321C3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⑧ 融雪池维修1座；</w:t>
      </w:r>
    </w:p>
    <w:p w14:paraId="18B780D7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⑨ 绿化养护77.91万平方米；</w:t>
      </w:r>
    </w:p>
    <w:p w14:paraId="4942367F"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highlight w:val="none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⑩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安装</w:t>
      </w:r>
      <w:r>
        <w:rPr>
          <w:rFonts w:hint="eastAsia" w:ascii="仿宋" w:hAnsi="仿宋" w:eastAsia="仿宋" w:cs="仿宋"/>
          <w:sz w:val="32"/>
          <w:szCs w:val="32"/>
          <w:u w:val="none"/>
        </w:rPr>
        <w:t>防抛网数量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200</w:t>
      </w:r>
      <w:r>
        <w:rPr>
          <w:rFonts w:hint="eastAsia" w:ascii="仿宋" w:hAnsi="仿宋" w:eastAsia="仿宋" w:cs="仿宋"/>
          <w:sz w:val="32"/>
          <w:szCs w:val="32"/>
          <w:u w:val="none"/>
        </w:rPr>
        <w:t>米；</w:t>
      </w:r>
    </w:p>
    <w:p w14:paraId="1D661E62">
      <w:pPr>
        <w:tabs>
          <w:tab w:val="left" w:pos="0"/>
        </w:tabs>
        <w:spacing w:line="360" w:lineRule="auto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质量指标。该指标考核的是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质量合格率</w:t>
      </w:r>
      <w:r>
        <w:rPr>
          <w:rFonts w:hint="eastAsia" w:ascii="仿宋" w:hAnsi="仿宋" w:eastAsia="仿宋" w:cs="仿宋"/>
          <w:sz w:val="32"/>
          <w:szCs w:val="32"/>
          <w:u w:val="none"/>
        </w:rPr>
        <w:t>，通过对比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预期指标</w:t>
      </w:r>
      <w:r>
        <w:rPr>
          <w:rFonts w:hint="eastAsia" w:ascii="仿宋" w:hAnsi="仿宋" w:eastAsia="仿宋" w:cs="仿宋"/>
          <w:sz w:val="32"/>
          <w:szCs w:val="32"/>
          <w:u w:val="none"/>
        </w:rPr>
        <w:t>与实际质量情况，计算得出该指标，该项满分共10分，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得分10分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0D63FF6F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①道路、桥梁等市政设施质量验收情况，经现场勘察，质量达到规范要求，验收合格率100%，评价得分2分。</w:t>
      </w:r>
    </w:p>
    <w:p w14:paraId="5595CE23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②泵站运行情况，根据现场勘查，泵站运行率100%，评价得分2分。</w:t>
      </w:r>
    </w:p>
    <w:p w14:paraId="0A6DD824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③环卫工人休息用房正常使用情况，根据现场勘查，环卫工人休息用房正常使用率100%，评价得分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648E750C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④融雪池运行情况，根据现场勘查，融雪池运行率100%，评价得分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6728BF68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⑤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防抛网质量验收情况，经现场勘察，质量达到规范要求，</w:t>
      </w:r>
      <w:r>
        <w:rPr>
          <w:rFonts w:hint="eastAsia" w:ascii="仿宋" w:hAnsi="仿宋" w:eastAsia="仿宋" w:cs="仿宋"/>
          <w:sz w:val="32"/>
          <w:szCs w:val="32"/>
          <w:u w:val="none"/>
        </w:rPr>
        <w:t>验收合格率100%，评价得分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0F0F8B06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⑥绿化养护覆盖情况，根据现场勘查，达到全覆盖养护，绿植整齐美观，覆盖率100%，评价得分1分。</w:t>
      </w:r>
    </w:p>
    <w:p w14:paraId="2E6F8E96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时效指标，该项指标考察的是工作及时率，该项满分共1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u w:val="none"/>
        </w:rPr>
        <w:t>分，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得分10分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1828873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① 维修完成及时率。在本年度及时完成全部市政设施维修任务，经评价，完成及时率100%，评价得分2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.5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7BA26D1C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② 清扫及时率。经评价，每次均能在发现遗撒或垃圾≤0.5时内组织车辆人员到现场进行清理，清扫及时率100%，评价得分 2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.5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55E868CE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③ 融雪情况。根据现场勘查，融雪及时率100%，评价得分 2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.5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6E584CD8">
      <w:pPr>
        <w:pStyle w:val="16"/>
        <w:adjustRightInd w:val="0"/>
        <w:snapToGrid w:val="0"/>
        <w:spacing w:line="360" w:lineRule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④ 绿化养护完成及时率。经评价，绿化养护及时，在本年度完成全部养护任务，完成及时率100%，评价得分2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.5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 xml:space="preserve">          </w:t>
      </w:r>
    </w:p>
    <w:p w14:paraId="00B3E2D9"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（4）成本指标。该指标考察的是二环路设施维护经费拨付情况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该项满分共1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分。</w:t>
      </w:r>
    </w:p>
    <w:p w14:paraId="56E9646C"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FF"/>
          <w:sz w:val="32"/>
          <w:szCs w:val="32"/>
          <w:u w:val="none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资金拨付比例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=（实际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拨付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/专项资金）*100%，经核算202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年度实际发生成本共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7405.13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万元，共收到专项资金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7405.13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万元，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已经全部拨付。资金拨付比例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为100%。</w:t>
      </w:r>
      <w:r>
        <w:rPr>
          <w:rFonts w:hint="eastAsia" w:ascii="仿宋" w:hAnsi="仿宋" w:eastAsia="仿宋" w:cs="仿宋"/>
          <w:sz w:val="32"/>
          <w:szCs w:val="32"/>
          <w:u w:val="none"/>
        </w:rPr>
        <w:t>得分1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255F1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  <w:u w:val="none"/>
        </w:rPr>
      </w:pPr>
      <w:r>
        <w:rPr>
          <w:rFonts w:hint="eastAsia" w:ascii="仿宋" w:hAnsi="仿宋" w:eastAsia="仿宋" w:cs="仿宋"/>
          <w:bCs/>
          <w:sz w:val="32"/>
          <w:szCs w:val="32"/>
          <w:u w:val="none"/>
        </w:rPr>
        <w:t>（三）</w:t>
      </w:r>
      <w:r>
        <w:rPr>
          <w:rStyle w:val="20"/>
          <w:rFonts w:hint="eastAsia" w:ascii="仿宋" w:hAnsi="仿宋" w:eastAsia="仿宋" w:cs="仿宋"/>
          <w:sz w:val="32"/>
          <w:szCs w:val="32"/>
          <w:u w:val="none"/>
        </w:rPr>
        <w:t>项目效益</w:t>
      </w:r>
    </w:p>
    <w:p w14:paraId="55C64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对项目的社会效益情况进行分析后，根据指标体系评分标准计算分值。</w:t>
      </w:r>
    </w:p>
    <w:p w14:paraId="5B4CA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社会效益指标。该项指标考核的是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市民出行环境安全、舒适性及城市形象提升度。</w:t>
      </w:r>
      <w:r>
        <w:rPr>
          <w:rFonts w:hint="eastAsia" w:ascii="仿宋" w:hAnsi="仿宋" w:eastAsia="仿宋" w:cs="仿宋"/>
          <w:sz w:val="32"/>
          <w:szCs w:val="32"/>
          <w:u w:val="none"/>
        </w:rPr>
        <w:t>该项满分共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u w:val="none"/>
        </w:rPr>
        <w:t>分，得分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46C7BC3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① 市政设施完好率。经评价，维修后的市政设施完好率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90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%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，提高了行车舒适度，保障了市民出行安全。评价得分5分。</w:t>
      </w:r>
    </w:p>
    <w:p w14:paraId="7D6EAA5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② 融雪池设施完好率。经评价，融雪池设施完好率100%，为冬季融雪提供了保障，评价得分5分。</w:t>
      </w:r>
    </w:p>
    <w:p w14:paraId="37C9169F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③ 环卫工人休息用房设施完好率。经评价，环卫工人休息用房维修完好，设施完好率100%，评价得分 5 分。</w:t>
      </w:r>
    </w:p>
    <w:p w14:paraId="77480B03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 xml:space="preserve">④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防抛网设施完好率。经评价，安装的防抛网设施完好率100%</w:t>
      </w:r>
      <w:r>
        <w:rPr>
          <w:rFonts w:hint="eastAsia" w:ascii="仿宋" w:hAnsi="仿宋" w:eastAsia="仿宋" w:cs="仿宋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提高了下方铁路通行的安全性。</w:t>
      </w:r>
      <w:r>
        <w:rPr>
          <w:rFonts w:hint="eastAsia" w:ascii="仿宋" w:hAnsi="仿宋" w:eastAsia="仿宋" w:cs="仿宋"/>
          <w:sz w:val="32"/>
          <w:szCs w:val="32"/>
          <w:u w:val="none"/>
        </w:rPr>
        <w:t>评价得分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4416E565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生态效益指标满分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分，通过清扫、种植养护等一系列工作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在净化空气和降噪减音方面比往年有所提高。评价得分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</w:t>
      </w:r>
    </w:p>
    <w:p w14:paraId="62E58034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可持续影响指标该项满分共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15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分，得分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15</w:t>
      </w:r>
      <w:r>
        <w:rPr>
          <w:rFonts w:hint="eastAsia" w:ascii="仿宋" w:hAnsi="仿宋" w:eastAsia="仿宋" w:cs="仿宋"/>
          <w:sz w:val="32"/>
          <w:szCs w:val="32"/>
          <w:u w:val="none"/>
        </w:rPr>
        <w:t>分。具体评分情况：</w:t>
      </w:r>
    </w:p>
    <w:p w14:paraId="3F43E1E8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① 市政设施维修后使用年限。经评价，维修后的市政设施使用年限达到2年，有效延长了设施使用寿命，减少了设施大修周期。评价得分5分。</w:t>
      </w:r>
    </w:p>
    <w:p w14:paraId="76F92281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② 融雪池维修后使用年限。经评价，维修后的融雪池使用年限达到1年，有效延长了设备使用寿命，减少了设备大修周期。评价得分5分。</w:t>
      </w:r>
    </w:p>
    <w:p w14:paraId="5EB46E00"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1"/>
        <w:rPr>
          <w:rFonts w:ascii="仿宋" w:eastAsia="仿宋" w:cs="仿宋"/>
          <w:sz w:val="32"/>
          <w:szCs w:val="32"/>
          <w:u w:val="none"/>
        </w:rPr>
      </w:pPr>
      <w:r>
        <w:rPr>
          <w:rFonts w:hint="eastAsia" w:ascii="仿宋" w:eastAsia="仿宋" w:cs="仿宋"/>
          <w:sz w:val="32"/>
          <w:szCs w:val="32"/>
          <w:u w:val="none"/>
        </w:rPr>
        <w:t>③ 环卫工人休息用房维修后使用年限。经评价，维修后的环卫工人休息用房使用年限达到1年，有效延长了设施使用寿命，确保了环卫工人休息。评价得分5分。</w:t>
      </w:r>
    </w:p>
    <w:p w14:paraId="41E2E5CE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640" w:firstLineChars="200"/>
        <w:textAlignment w:val="auto"/>
        <w:rPr>
          <w:rFonts w:hint="eastAsia"/>
          <w:u w:val="none"/>
        </w:rPr>
      </w:pPr>
      <w:r>
        <w:rPr>
          <w:rFonts w:hint="eastAsia"/>
          <w:u w:val="none"/>
        </w:rPr>
        <w:t>（四）满意度</w:t>
      </w:r>
    </w:p>
    <w:p w14:paraId="666D5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color w:val="0000FF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该项指标考核的是市民对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二环路设施维护</w:t>
      </w:r>
      <w:r>
        <w:rPr>
          <w:rFonts w:hint="eastAsia" w:ascii="仿宋" w:hAnsi="仿宋" w:eastAsia="仿宋" w:cs="仿宋"/>
          <w:sz w:val="32"/>
          <w:szCs w:val="32"/>
          <w:u w:val="none"/>
        </w:rPr>
        <w:t>工作的满意度，该项满分共10分。经过问卷调查及现场调查等方式，随机调查了10位市民对二环路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管护工作</w:t>
      </w:r>
      <w:r>
        <w:rPr>
          <w:rFonts w:hint="eastAsia" w:ascii="仿宋" w:hAnsi="仿宋" w:eastAsia="仿宋" w:cs="仿宋"/>
          <w:sz w:val="32"/>
          <w:szCs w:val="32"/>
          <w:u w:val="none"/>
        </w:rPr>
        <w:t>相关内容的满意度进行了调查，调查满意度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90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%</w:t>
      </w:r>
      <w:r>
        <w:rPr>
          <w:rFonts w:hint="eastAsia" w:ascii="仿宋" w:hAnsi="仿宋" w:eastAsia="仿宋" w:cs="仿宋"/>
          <w:color w:val="0000FF"/>
          <w:sz w:val="32"/>
          <w:szCs w:val="32"/>
          <w:u w:val="none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</w:rPr>
        <w:t>预期指标为8</w:t>
      </w:r>
      <w:r>
        <w:rPr>
          <w:rFonts w:hint="eastAsia" w:ascii="仿宋" w:hAnsi="仿宋" w:eastAsia="仿宋" w:cs="仿宋"/>
          <w:color w:val="000000"/>
          <w:sz w:val="32"/>
          <w:szCs w:val="32"/>
          <w:u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u w:val="none"/>
        </w:rPr>
        <w:t>%，达到预期指标，该项得分10分。</w:t>
      </w:r>
    </w:p>
    <w:p w14:paraId="7CCD5216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u w:val="none"/>
        </w:rPr>
      </w:pPr>
      <w:r>
        <w:rPr>
          <w:rFonts w:hint="eastAsia"/>
          <w:u w:val="none"/>
        </w:rPr>
        <w:t>四、项目综合评价结论和评价等级</w:t>
      </w:r>
    </w:p>
    <w:p w14:paraId="1A933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根据项目执行情况和项目绩效情况，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得出二环路设施维护工作</w:t>
      </w:r>
      <w:r>
        <w:rPr>
          <w:rFonts w:hint="eastAsia" w:ascii="仿宋" w:hAnsi="仿宋" w:eastAsia="仿宋" w:cs="仿宋"/>
          <w:sz w:val="32"/>
          <w:szCs w:val="32"/>
          <w:u w:val="none"/>
        </w:rPr>
        <w:t>综合评价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即工作业绩突出，单位人员反应迅速，费用拨付到位，群众满意度高。总得分100分，</w:t>
      </w:r>
      <w:r>
        <w:rPr>
          <w:rFonts w:hint="eastAsia" w:ascii="仿宋" w:hAnsi="仿宋" w:eastAsia="仿宋" w:cs="仿宋"/>
          <w:sz w:val="32"/>
          <w:szCs w:val="32"/>
          <w:u w:val="none"/>
        </w:rPr>
        <w:t>项目综合绩效评价等级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为优秀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 w14:paraId="040DF2E0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u w:val="none"/>
        </w:rPr>
      </w:pPr>
      <w:r>
        <w:rPr>
          <w:rFonts w:hint="eastAsia"/>
          <w:u w:val="none"/>
        </w:rPr>
        <w:t>五、存在的问题及改进措施</w:t>
      </w:r>
    </w:p>
    <w:p w14:paraId="3AB7551A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u w:val="none"/>
        </w:rPr>
      </w:pPr>
      <w:r>
        <w:rPr>
          <w:rFonts w:hint="eastAsia"/>
          <w:u w:val="none"/>
        </w:rPr>
        <w:t>（一）项目存在的主要问题</w:t>
      </w:r>
    </w:p>
    <w:p w14:paraId="2735F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Style w:val="22"/>
          <w:rFonts w:hint="eastAsia" w:ascii="仿宋" w:hAnsi="仿宋" w:eastAsia="仿宋" w:cs="仿宋"/>
          <w:lang w:val="en-US" w:eastAsia="zh-CN"/>
        </w:rPr>
        <w:t>1、二环路设施维护经</w:t>
      </w:r>
      <w:r>
        <w:rPr>
          <w:rStyle w:val="22"/>
          <w:rFonts w:hint="eastAsia" w:ascii="仿宋" w:hAnsi="仿宋" w:eastAsia="仿宋" w:cs="仿宋"/>
        </w:rPr>
        <w:t>费有待提高</w:t>
      </w:r>
    </w:p>
    <w:p w14:paraId="77E87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二环路设施维护费项目绩效自评满分，但实际存在经费不足问题，制约了设施维护水平的提升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</w:rPr>
        <w:t>。资金短缺导致维护工作难以全面展开，影响设施长期效能。</w:t>
      </w:r>
    </w:p>
    <w:p w14:paraId="0BE70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Style w:val="22"/>
          <w:rFonts w:hint="eastAsia" w:ascii="仿宋" w:hAnsi="仿宋" w:eastAsia="仿宋" w:cs="仿宋"/>
        </w:rPr>
        <w:t>2、道路管护力度不足</w:t>
      </w:r>
    </w:p>
    <w:p w14:paraId="20D4ED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我中心负责范围广，工作内容多，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路面老化严重，</w:t>
      </w:r>
      <w:r>
        <w:rPr>
          <w:rFonts w:hint="eastAsia" w:ascii="仿宋" w:hAnsi="仿宋" w:eastAsia="仿宋" w:cs="仿宋"/>
          <w:sz w:val="32"/>
          <w:szCs w:val="32"/>
        </w:rPr>
        <w:t>道路维护难度大，存在养护力度不足的问题。</w:t>
      </w:r>
    </w:p>
    <w:p w14:paraId="6E14821C">
      <w:pPr>
        <w:pStyle w:val="19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针对问题提出具体的改进措施或建议</w:t>
      </w:r>
    </w:p>
    <w:p w14:paraId="1C586D7F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1、加大投入</w:t>
      </w:r>
    </w:p>
    <w:p w14:paraId="1B37C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增加二环路设施维护管理配套资金投入，及时足额拨付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2088821C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2、提高管护水平</w:t>
      </w:r>
    </w:p>
    <w:p w14:paraId="17CC5C51">
      <w:pPr>
        <w:pStyle w:val="19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配足人员和车辆，加强巡查检查力度，加大巡路频率，加强沿线群众的交通安全意识和爱路护路意识的教育培养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8716E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ascii="仿宋" w:eastAsia="仿宋"/>
        </w:rPr>
      </w:pPr>
    </w:p>
    <w:sectPr>
      <w:footerReference r:id="rId3" w:type="default"/>
      <w:pgSz w:w="11906" w:h="16838"/>
      <w:pgMar w:top="1440" w:right="1474" w:bottom="1440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泉驿正黑">
    <w:altName w:val="黑体"/>
    <w:panose1 w:val="02000603000000000000"/>
    <w:charset w:val="86"/>
    <w:family w:val="script"/>
    <w:pitch w:val="default"/>
    <w:sig w:usb0="00000000" w:usb1="00000000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A42ED">
    <w:pPr>
      <w:pStyle w:val="7"/>
    </w:pPr>
    <w: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60985" cy="155575"/>
              <wp:effectExtent l="0" t="0" r="0" b="0"/>
              <wp:wrapNone/>
              <wp:docPr id="1" name="Quad Arrow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4" cy="155575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 w14:paraId="7BF5D24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Quad Arrow 3073" o:spid="_x0000_s1026" o:spt="1" style="position:absolute;left:0pt;margin-top:0pt;height:12.25pt;width:20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/PjA0gAAAAMBAAAPAAAAAAAAAAEAIAAAACIAAABkcnMvZG93bnJldi54bWxQSwEC&#10;FAAUAAAACACHTuJATk6tpvoBAAD4AwAADgAAAAAAAAABACAAAAAhAQAAZHJzL2Uyb0RvYy54bWxQ&#10;SwUGAAAAAAYABgBZAQAAjQUAAAAA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 w14:paraId="7BF5D24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873F3B"/>
    <w:multiLevelType w:val="singleLevel"/>
    <w:tmpl w:val="1D873F3B"/>
    <w:lvl w:ilvl="0" w:tentative="0">
      <w:start w:val="2"/>
      <w:numFmt w:val="chineseCounting"/>
      <w:suff w:val="nothing"/>
      <w:lvlText w:val="（%1）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">
    <w:nsid w:val="3B692216"/>
    <w:multiLevelType w:val="singleLevel"/>
    <w:tmpl w:val="3B692216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pPr>
        <w:tabs>
          <w:tab w:val="left" w:pos="0"/>
        </w:tabs>
        <w:ind w:left="0" w:firstLine="0"/>
      </w:pPr>
      <w:rPr>
        <w:rFonts w:ascii="楷体" w:hAnsi="楷体" w:eastAsia="楷体"/>
        <w:b w:val="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splitPgBreakAndParaMark/>
    <w:compatSetting w:name="compatibilityMode" w:uri="http://schemas.microsoft.com/office/word" w:val="11"/>
  </w:compat>
  <w:docVars>
    <w:docVar w:name="commondata" w:val="eyJoZGlkIjoiNDQxNTE3MjUxODk5MTliNzdjMTNlNDc4N2E5YzJjOWYifQ=="/>
  </w:docVars>
  <w:rsids>
    <w:rsidRoot w:val="00000000"/>
    <w:rsid w:val="00E54FDA"/>
    <w:rsid w:val="04FA4B16"/>
    <w:rsid w:val="10EF06CD"/>
    <w:rsid w:val="11D94A13"/>
    <w:rsid w:val="18616221"/>
    <w:rsid w:val="21690C01"/>
    <w:rsid w:val="225E183C"/>
    <w:rsid w:val="22C52948"/>
    <w:rsid w:val="2C2C1A40"/>
    <w:rsid w:val="2CF93EBD"/>
    <w:rsid w:val="37C658DD"/>
    <w:rsid w:val="38827DAD"/>
    <w:rsid w:val="395E453E"/>
    <w:rsid w:val="433B4B8E"/>
    <w:rsid w:val="48AF7188"/>
    <w:rsid w:val="48C7608A"/>
    <w:rsid w:val="493625B8"/>
    <w:rsid w:val="4DEB6492"/>
    <w:rsid w:val="50D737D3"/>
    <w:rsid w:val="51FD2B1C"/>
    <w:rsid w:val="55AE5705"/>
    <w:rsid w:val="574F450D"/>
    <w:rsid w:val="5DB6021F"/>
    <w:rsid w:val="5E484B6C"/>
    <w:rsid w:val="613E5431"/>
    <w:rsid w:val="62E90BC6"/>
    <w:rsid w:val="633B6F44"/>
    <w:rsid w:val="64970BAF"/>
    <w:rsid w:val="66556A60"/>
    <w:rsid w:val="6A811ED3"/>
    <w:rsid w:val="6B8A695D"/>
    <w:rsid w:val="6C663354"/>
    <w:rsid w:val="7A3474F3"/>
    <w:rsid w:val="7C596A1E"/>
    <w:rsid w:val="7D021CEA"/>
    <w:rsid w:val="7E3D3D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rFonts w:eastAsia="楷体"/>
      <w:b/>
      <w:bCs/>
      <w:kern w:val="44"/>
      <w:sz w:val="32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rFonts w:eastAsia="仿宋"/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 w:afterLines="0"/>
      <w:ind w:left="1440" w:leftChars="700" w:right="1440" w:rightChars="700"/>
    </w:pPr>
  </w:style>
  <w:style w:type="paragraph" w:styleId="6">
    <w:name w:val="annotation text"/>
    <w:basedOn w:val="1"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200" w:leftChars="200"/>
    </w:pPr>
  </w:style>
  <w:style w:type="paragraph" w:styleId="1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List Paragraph1"/>
    <w:basedOn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0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7">
    <w:name w:val="报告"/>
    <w:basedOn w:val="1"/>
    <w:link w:val="18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黑体" w:eastAsia="黑体"/>
      <w:sz w:val="32"/>
      <w:szCs w:val="32"/>
    </w:rPr>
  </w:style>
  <w:style w:type="character" w:customStyle="1" w:styleId="18">
    <w:name w:val="报告 Char"/>
    <w:basedOn w:val="13"/>
    <w:link w:val="17"/>
    <w:qFormat/>
    <w:uiPriority w:val="0"/>
    <w:rPr>
      <w:rFonts w:ascii="黑体" w:eastAsia="黑体" w:cs="黑体"/>
      <w:kern w:val="2"/>
      <w:sz w:val="32"/>
      <w:szCs w:val="32"/>
      <w:lang w:val="en-US" w:eastAsia="zh-CN" w:bidi="ar-SA"/>
    </w:rPr>
  </w:style>
  <w:style w:type="paragraph" w:customStyle="1" w:styleId="19">
    <w:name w:val="二级"/>
    <w:basedOn w:val="1"/>
    <w:link w:val="20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楷体" w:eastAsia="楷体" w:cs="楷体_GB2312"/>
      <w:bCs/>
      <w:sz w:val="32"/>
      <w:szCs w:val="32"/>
    </w:rPr>
  </w:style>
  <w:style w:type="character" w:customStyle="1" w:styleId="20">
    <w:name w:val="二级 Char"/>
    <w:basedOn w:val="13"/>
    <w:link w:val="19"/>
    <w:qFormat/>
    <w:uiPriority w:val="0"/>
    <w:rPr>
      <w:rFonts w:ascii="楷体" w:eastAsia="楷体" w:cs="楷体_GB2312"/>
      <w:bCs/>
      <w:kern w:val="2"/>
      <w:sz w:val="32"/>
      <w:szCs w:val="32"/>
      <w:lang w:val="en-US" w:eastAsia="zh-CN" w:bidi="ar-SA"/>
    </w:rPr>
  </w:style>
  <w:style w:type="paragraph" w:customStyle="1" w:styleId="21">
    <w:name w:val="三级"/>
    <w:basedOn w:val="1"/>
    <w:link w:val="22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仿宋" w:eastAsia="仿宋"/>
      <w:sz w:val="32"/>
      <w:szCs w:val="32"/>
    </w:rPr>
  </w:style>
  <w:style w:type="character" w:customStyle="1" w:styleId="22">
    <w:name w:val="三级 Char"/>
    <w:basedOn w:val="13"/>
    <w:link w:val="21"/>
    <w:qFormat/>
    <w:uiPriority w:val="0"/>
    <w:rPr>
      <w:rFonts w:ascii="仿宋" w:eastAsia="仿宋" w:cs="黑体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11</Pages>
  <Words>4257</Words>
  <Characters>4547</Characters>
  <Lines>248</Lines>
  <Paragraphs>125</Paragraphs>
  <TotalTime>5</TotalTime>
  <ScaleCrop>false</ScaleCrop>
  <LinksUpToDate>false</LinksUpToDate>
  <CharactersWithSpaces>4608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2020-02-04T19:46:00Z</dcterms:created>
  <dc:creator>欣欣大人</dc:creator>
  <cp:lastModifiedBy>。。。</cp:lastModifiedBy>
  <cp:lastPrinted>2024-01-08T20:09:00Z</cp:lastPrinted>
  <dcterms:modified xsi:type="dcterms:W3CDTF">2025-03-29T19:49:00Z</dcterms:modified>
  <dc:title>附件3：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B6081B2C87494FA7B484EBCED1603A9D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