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BC6B2">
      <w:pPr>
        <w:spacing w:line="560" w:lineRule="exact"/>
        <w:jc w:val="center"/>
        <w:rPr>
          <w:rFonts w:ascii="宋体" w:hAnsi="宋体" w:cs="宋体"/>
          <w:b/>
          <w:bCs/>
          <w:sz w:val="44"/>
          <w:szCs w:val="44"/>
        </w:rPr>
      </w:pPr>
    </w:p>
    <w:p w14:paraId="31A7C0AF">
      <w:pPr>
        <w:spacing w:line="560" w:lineRule="exact"/>
        <w:jc w:val="center"/>
        <w:rPr>
          <w:rFonts w:ascii="宋体" w:hAnsi="宋体" w:cs="宋体"/>
          <w:b/>
          <w:bCs/>
          <w:sz w:val="44"/>
          <w:szCs w:val="44"/>
        </w:rPr>
      </w:pPr>
      <w:r>
        <w:rPr>
          <w:rFonts w:hint="eastAsia" w:ascii="宋体" w:hAnsi="宋体" w:cs="宋体"/>
          <w:b/>
          <w:bCs/>
          <w:sz w:val="44"/>
          <w:szCs w:val="44"/>
        </w:rPr>
        <w:t>环卫工人协助管理非机动车停放秩序奖补资金项目自评报告</w:t>
      </w:r>
    </w:p>
    <w:p w14:paraId="0B51657E">
      <w:pPr>
        <w:spacing w:line="560" w:lineRule="exact"/>
        <w:jc w:val="center"/>
        <w:rPr>
          <w:rFonts w:ascii="华文楷体" w:eastAsia="华文楷体"/>
          <w:sz w:val="32"/>
          <w:szCs w:val="32"/>
        </w:rPr>
      </w:pPr>
    </w:p>
    <w:p w14:paraId="5DB2C678">
      <w:pPr>
        <w:spacing w:line="560" w:lineRule="exact"/>
        <w:jc w:val="center"/>
        <w:rPr>
          <w:rFonts w:ascii="华文楷体" w:eastAsia="华文楷体"/>
          <w:sz w:val="32"/>
          <w:szCs w:val="32"/>
        </w:rPr>
      </w:pPr>
    </w:p>
    <w:p w14:paraId="761AE799">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，对环卫工人协助管理非机动车停放秩序奖补资金项目实施了财政绩效自评价，形成本评价报告。</w:t>
      </w:r>
    </w:p>
    <w:p w14:paraId="6B5B9BA6">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473828D4">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434086F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1.项目实施单位及项目立项等基本情况：</w:t>
      </w:r>
    </w:p>
    <w:p w14:paraId="354AD11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（1）项目实施单位</w:t>
      </w:r>
    </w:p>
    <w:p w14:paraId="78B5B2BE">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lang w:val="en-US" w:eastAsia="zh-CN"/>
        </w:rPr>
        <w:t>实施单位：石家庄市城市管理综合行政执法局</w:t>
      </w:r>
    </w:p>
    <w:p w14:paraId="11C4C8B6">
      <w:pPr>
        <w:adjustRightInd w:val="0"/>
        <w:snapToGrid w:val="0"/>
        <w:spacing w:line="560" w:lineRule="exact"/>
        <w:ind w:firstLine="800" w:firstLineChars="250"/>
        <w:rPr>
          <w:rFonts w:hint="eastAsia" w:ascii="仿宋" w:hAnsi="仿宋" w:eastAsia="仿宋"/>
          <w:sz w:val="32"/>
          <w:szCs w:val="32"/>
          <w:highlight w:val="none"/>
        </w:rPr>
      </w:pPr>
      <w:r>
        <w:rPr>
          <w:rFonts w:hint="eastAsia" w:ascii="仿宋" w:hAnsi="仿宋" w:eastAsia="仿宋"/>
          <w:sz w:val="32"/>
          <w:szCs w:val="32"/>
          <w:highlight w:val="none"/>
        </w:rPr>
        <w:t>石家庄市城市管理综合行政执法局主要负责城市道路、桥梁、照明、排水等市政设施维护管理工作，负责民心河河道管理、城区防汛工作；负责城市供热燃气、供水节水污水处理行业管理工作；组织督导城市市容环境卫生、城市管理综合执法以及城区生活垃圾、建筑垃圾、餐厨垃圾、粪便垃圾无害化处理工作；负责指导各县（市、区）城镇（县城城建界以内）的城市管理相关工作。</w:t>
      </w:r>
    </w:p>
    <w:p w14:paraId="6107E311">
      <w:pPr>
        <w:adjustRightInd w:val="0"/>
        <w:snapToGrid w:val="0"/>
        <w:spacing w:line="560" w:lineRule="exact"/>
        <w:ind w:firstLine="800" w:firstLineChars="250"/>
        <w:rPr>
          <w:rFonts w:hint="default" w:ascii="仿宋" w:hAnsi="仿宋" w:eastAsia="仿宋"/>
          <w:sz w:val="32"/>
          <w:szCs w:val="32"/>
          <w:highlight w:val="yellow"/>
          <w:lang w:val="en-US" w:eastAsia="zh-CN"/>
        </w:rPr>
      </w:pPr>
      <w:r>
        <w:rPr>
          <w:rFonts w:hint="eastAsia" w:ascii="仿宋" w:hAnsi="仿宋" w:eastAsia="仿宋"/>
          <w:sz w:val="32"/>
          <w:szCs w:val="32"/>
          <w:highlight w:val="none"/>
          <w:lang w:val="en-US" w:eastAsia="zh-CN"/>
        </w:rPr>
        <w:t>本项目由市城管局提出申请，经市政府同意后，由</w:t>
      </w:r>
      <w:r>
        <w:rPr>
          <w:rFonts w:hint="eastAsia" w:ascii="仿宋" w:hAnsi="仿宋" w:eastAsia="仿宋"/>
          <w:sz w:val="32"/>
          <w:szCs w:val="32"/>
          <w:highlight w:val="none"/>
        </w:rPr>
        <w:t>长安区、桥西区、新华区、裕华区城管局（环卫大队）</w:t>
      </w:r>
      <w:r>
        <w:rPr>
          <w:rFonts w:hint="eastAsia" w:ascii="仿宋" w:hAnsi="仿宋" w:eastAsia="仿宋"/>
          <w:sz w:val="32"/>
          <w:szCs w:val="32"/>
          <w:highlight w:val="none"/>
          <w:lang w:val="en-US" w:eastAsia="zh-CN"/>
        </w:rPr>
        <w:t>具体组织实施。</w:t>
      </w:r>
    </w:p>
    <w:p w14:paraId="69AD2E9B">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（2）项目背景</w:t>
      </w:r>
    </w:p>
    <w:p w14:paraId="0F67F06B">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按照市政府主要领导指示精神，我局向市政府报送了《关于环卫工人协助管理非机动车停放秩序的请示》，建议按照每人每天15元标准对长安区、桥西区、新华区、裕华区环卫工人规范非机动车停放秩序工作进行补助，经市财政局研提意见后，我局补充起草了《环卫工人协助管理非机动车停放秩序工作考核办法（试行）》，在征得市政府同意后于2024年1月1日正式实施由长安区、桥西区、新华区、裕华区城管局（环卫大队）组织环卫工人开展非机动车停放秩序协助管理工作。</w:t>
      </w:r>
    </w:p>
    <w:p w14:paraId="0D639DBE">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2.项目主要实施内容和范围：</w:t>
      </w:r>
    </w:p>
    <w:p w14:paraId="0F6EFC71">
      <w:pPr>
        <w:adjustRightInd w:val="0"/>
        <w:snapToGrid w:val="0"/>
        <w:spacing w:line="560" w:lineRule="exact"/>
        <w:ind w:firstLine="800" w:firstLineChars="250"/>
        <w:rPr>
          <w:rFonts w:ascii="仿宋" w:hAnsi="仿宋" w:eastAsia="仿宋"/>
          <w:sz w:val="32"/>
          <w:szCs w:val="32"/>
        </w:rPr>
      </w:pPr>
      <w:r>
        <w:rPr>
          <w:rFonts w:hint="eastAsia" w:ascii="仿宋" w:hAnsi="仿宋" w:eastAsia="仿宋"/>
          <w:sz w:val="32"/>
          <w:szCs w:val="32"/>
        </w:rPr>
        <w:t>长安区、桥西区、新华区、裕华区城区范围内环卫工人协助非机动车停放秩序管理。</w:t>
      </w:r>
    </w:p>
    <w:p w14:paraId="7B288697">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3.项目资金投入情况（资金数量、资金结构、资金来源渠道等）</w:t>
      </w:r>
    </w:p>
    <w:p w14:paraId="25195C53">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（1）资金数量、资金结构、资金来源：</w:t>
      </w:r>
    </w:p>
    <w:p w14:paraId="1221458A">
      <w:pPr>
        <w:adjustRightInd w:val="0"/>
        <w:snapToGrid w:val="0"/>
        <w:spacing w:line="560" w:lineRule="exact"/>
        <w:ind w:firstLine="800" w:firstLineChars="25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按照每人每天15元的标准，对长安区、桥西区、新华区、裕华区5407名一线环卫清扫保洁人员发放补贴，2024年年初预算为2960万元。市财政根据市城管局《环卫工人协助管理非机动车停放秩序工作考核办法（试行）》的考核结果，转移支付至长安区、桥西区、新华区、裕华区，已下拨499万元。</w:t>
      </w:r>
      <w:bookmarkStart w:id="0" w:name="_GoBack"/>
      <w:bookmarkEnd w:id="0"/>
    </w:p>
    <w:p w14:paraId="195FF275">
      <w:pPr>
        <w:adjustRightInd w:val="0"/>
        <w:snapToGrid w:val="0"/>
        <w:spacing w:line="560" w:lineRule="exact"/>
        <w:ind w:firstLine="800" w:firstLineChars="25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2024年7月，通过上半年绩效监控发现</w:t>
      </w:r>
      <w:r>
        <w:rPr>
          <w:rFonts w:hint="eastAsia" w:ascii="仿宋" w:hAnsi="仿宋" w:eastAsia="仿宋" w:cs="仿宋"/>
          <w:color w:val="auto"/>
          <w:sz w:val="32"/>
          <w:szCs w:val="32"/>
        </w:rPr>
        <w:t>裕华区、新华区、长安区、桥西区普遍存在环卫工人清扫压力大</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清扫保洁工作任务繁重，</w:t>
      </w:r>
      <w:r>
        <w:rPr>
          <w:rFonts w:hint="eastAsia" w:ascii="仿宋" w:hAnsi="仿宋" w:eastAsia="仿宋" w:cs="仿宋"/>
          <w:color w:val="auto"/>
          <w:sz w:val="32"/>
          <w:szCs w:val="32"/>
        </w:rPr>
        <w:t>无法</w:t>
      </w:r>
      <w:r>
        <w:rPr>
          <w:rFonts w:hint="eastAsia" w:ascii="仿宋" w:hAnsi="仿宋" w:eastAsia="仿宋" w:cs="仿宋"/>
          <w:color w:val="auto"/>
          <w:sz w:val="32"/>
          <w:szCs w:val="32"/>
          <w:lang w:val="en-US" w:eastAsia="zh-CN"/>
        </w:rPr>
        <w:t>同时进行</w:t>
      </w:r>
      <w:r>
        <w:rPr>
          <w:rFonts w:hint="eastAsia" w:ascii="仿宋" w:hAnsi="仿宋" w:eastAsia="仿宋" w:cs="仿宋"/>
          <w:color w:val="auto"/>
          <w:sz w:val="32"/>
          <w:szCs w:val="32"/>
        </w:rPr>
        <w:t>非机动车停放秩序维护工作</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为不</w:t>
      </w:r>
      <w:r>
        <w:rPr>
          <w:rFonts w:hint="eastAsia" w:ascii="仿宋" w:hAnsi="仿宋" w:eastAsia="仿宋" w:cs="仿宋"/>
          <w:color w:val="auto"/>
          <w:sz w:val="32"/>
          <w:szCs w:val="32"/>
        </w:rPr>
        <w:t>影响环卫工人</w:t>
      </w:r>
      <w:r>
        <w:rPr>
          <w:rFonts w:hint="eastAsia" w:ascii="仿宋" w:hAnsi="仿宋" w:eastAsia="仿宋" w:cs="仿宋"/>
          <w:color w:val="auto"/>
          <w:sz w:val="32"/>
          <w:szCs w:val="32"/>
          <w:lang w:val="en-US" w:eastAsia="zh-CN"/>
        </w:rPr>
        <w:t>清扫保洁</w:t>
      </w:r>
      <w:r>
        <w:rPr>
          <w:rFonts w:hint="eastAsia" w:ascii="仿宋" w:hAnsi="仿宋" w:eastAsia="仿宋" w:cs="仿宋"/>
          <w:color w:val="auto"/>
          <w:sz w:val="32"/>
          <w:szCs w:val="32"/>
        </w:rPr>
        <w:t>本职工作</w:t>
      </w:r>
      <w:r>
        <w:rPr>
          <w:rFonts w:hint="eastAsia" w:ascii="仿宋" w:hAnsi="仿宋" w:eastAsia="仿宋" w:cs="仿宋"/>
          <w:color w:val="auto"/>
          <w:sz w:val="32"/>
          <w:szCs w:val="32"/>
          <w:lang w:eastAsia="zh-CN"/>
        </w:rPr>
        <w:t>，</w:t>
      </w:r>
      <w:r>
        <w:rPr>
          <w:rFonts w:hint="eastAsia" w:ascii="仿宋" w:hAnsi="仿宋" w:eastAsia="仿宋"/>
          <w:color w:val="auto"/>
          <w:sz w:val="32"/>
          <w:szCs w:val="32"/>
          <w:lang w:val="en-US" w:eastAsia="zh-CN"/>
        </w:rPr>
        <w:t>故终止该项目实施，并将项目预算调整为499万元。</w:t>
      </w:r>
    </w:p>
    <w:p w14:paraId="15C2F8AC">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（2）项目资金实际支出</w:t>
      </w:r>
    </w:p>
    <w:p w14:paraId="485F2E0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val="en-US" w:eastAsia="zh-CN"/>
        </w:rPr>
        <w:t>执行数为0</w:t>
      </w:r>
      <w:r>
        <w:rPr>
          <w:rFonts w:hint="eastAsia" w:ascii="仿宋" w:hAnsi="仿宋" w:eastAsia="仿宋"/>
          <w:sz w:val="32"/>
          <w:szCs w:val="32"/>
        </w:rPr>
        <w:t>，预算执行率</w:t>
      </w:r>
      <w:r>
        <w:rPr>
          <w:rFonts w:hint="eastAsia" w:ascii="仿宋" w:hAnsi="仿宋" w:eastAsia="仿宋"/>
          <w:sz w:val="32"/>
          <w:szCs w:val="32"/>
          <w:lang w:val="en-US" w:eastAsia="zh-CN"/>
        </w:rPr>
        <w:t>0</w:t>
      </w:r>
      <w:r>
        <w:rPr>
          <w:rFonts w:hint="eastAsia" w:ascii="仿宋" w:hAnsi="仿宋" w:eastAsia="仿宋"/>
          <w:sz w:val="32"/>
          <w:szCs w:val="32"/>
        </w:rPr>
        <w:t>%。</w:t>
      </w:r>
    </w:p>
    <w:p w14:paraId="761FEF8E">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09F703B4">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1.项目预期绩效总目标</w:t>
      </w:r>
    </w:p>
    <w:p w14:paraId="20A60A56">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通过环卫工人协助开展非机动车停放秩序管理工作，补充非机动车停放秩序管理力量，加强城区道路沿线非机动车停放秩序，保障城市便道畅通、整洁、有序。</w:t>
      </w:r>
    </w:p>
    <w:p w14:paraId="56ED948A">
      <w:pPr>
        <w:numPr>
          <w:ilvl w:val="0"/>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2.阶段性绩效目标和指标</w:t>
      </w:r>
    </w:p>
    <w:p w14:paraId="0F48C884">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进一步加强城市管理精细化，环卫工人协助非机动车停放秩序管理工作。</w:t>
      </w:r>
    </w:p>
    <w:p w14:paraId="4E7FEAF9">
      <w:pPr>
        <w:numPr>
          <w:ilvl w:val="0"/>
          <w:numId w:val="2"/>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产出指标</w:t>
      </w:r>
    </w:p>
    <w:p w14:paraId="0784040A">
      <w:pPr>
        <w:numPr>
          <w:ilvl w:val="-1"/>
          <w:numId w:val="0"/>
        </w:numPr>
        <w:adjustRightInd w:val="0"/>
        <w:snapToGrid w:val="0"/>
        <w:spacing w:line="560" w:lineRule="exact"/>
        <w:ind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GB3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①</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数量指标</w:t>
      </w:r>
    </w:p>
    <w:p w14:paraId="44745CA4">
      <w:pPr>
        <w:numPr>
          <w:ilvl w:val="-1"/>
          <w:numId w:val="0"/>
        </w:numPr>
        <w:adjustRightInd w:val="0"/>
        <w:snapToGrid w:val="0"/>
        <w:spacing w:line="560" w:lineRule="exact"/>
        <w:ind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“补贴环卫工人数量”反映项目补贴环卫作业人员数量，预期指标值为“≤5407人”。</w:t>
      </w:r>
    </w:p>
    <w:p w14:paraId="5E4B0EB2">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2 \* GB3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②</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质量指标</w:t>
      </w:r>
    </w:p>
    <w:p w14:paraId="1D3AF34D">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“城市便道非机动车摆放合格率”考察各区非机动车摆放的规范率，预期指标为“≥90%”。</w:t>
      </w:r>
    </w:p>
    <w:p w14:paraId="4CCFEAC6">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GB3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③</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时效指标</w:t>
      </w:r>
    </w:p>
    <w:p w14:paraId="1A4DE842">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“在规定时限开展工作”反映项目在规定时间开展工作，预期指标为“12月底前”。</w:t>
      </w:r>
    </w:p>
    <w:p w14:paraId="25168DBB">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4 \* GB3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④</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成本指标</w:t>
      </w:r>
    </w:p>
    <w:p w14:paraId="507BD567">
      <w:pPr>
        <w:numPr>
          <w:ilvl w:val="-1"/>
          <w:numId w:val="0"/>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“项目总成本”，预期指标为“≤499万元”。</w:t>
      </w:r>
    </w:p>
    <w:p w14:paraId="0F43CF11">
      <w:pPr>
        <w:numPr>
          <w:ilvl w:val="0"/>
          <w:numId w:val="2"/>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w:t>
      </w:r>
    </w:p>
    <w:p w14:paraId="2CB0A4E5">
      <w:pPr>
        <w:numPr>
          <w:ilvl w:val="-1"/>
          <w:numId w:val="0"/>
        </w:numPr>
        <w:adjustRightInd w:val="0"/>
        <w:snapToGrid w:val="0"/>
        <w:spacing w:line="560" w:lineRule="exact"/>
        <w:ind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社会效益，非机动车摆放有序，城市便道畅通，较上年有所提升。</w:t>
      </w:r>
    </w:p>
    <w:p w14:paraId="43F2389F">
      <w:pPr>
        <w:numPr>
          <w:ilvl w:val="0"/>
          <w:numId w:val="2"/>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满意度指标</w:t>
      </w:r>
    </w:p>
    <w:p w14:paraId="7B0AF4CB">
      <w:pPr>
        <w:numPr>
          <w:ilvl w:val="-1"/>
          <w:numId w:val="0"/>
        </w:numPr>
        <w:adjustRightInd w:val="0"/>
        <w:snapToGrid w:val="0"/>
        <w:spacing w:line="560" w:lineRule="exact"/>
        <w:ind w:firstLine="0" w:firstLineChars="0"/>
        <w:rPr>
          <w:rFonts w:hint="default" w:ascii="仿宋" w:hAnsi="仿宋" w:eastAsia="仿宋"/>
          <w:sz w:val="32"/>
          <w:szCs w:val="32"/>
          <w:lang w:val="en-US" w:eastAsia="zh-CN"/>
        </w:rPr>
      </w:pPr>
      <w:r>
        <w:rPr>
          <w:rFonts w:hint="eastAsia" w:ascii="仿宋" w:hAnsi="仿宋" w:eastAsia="仿宋" w:cs="仿宋"/>
          <w:sz w:val="32"/>
          <w:szCs w:val="32"/>
          <w:lang w:val="en-US" w:eastAsia="zh-CN"/>
        </w:rPr>
        <w:t xml:space="preserve">    服务对象满意度指标，“市民对非机动车停放秩序的满意度≥90%”。</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ab/>
      </w:r>
      <w:r>
        <w:rPr>
          <w:rFonts w:hint="default" w:ascii="仿宋" w:hAnsi="仿宋" w:eastAsia="仿宋"/>
          <w:sz w:val="32"/>
          <w:szCs w:val="32"/>
          <w:lang w:val="en-US" w:eastAsia="zh-CN"/>
        </w:rPr>
        <w:tab/>
      </w:r>
    </w:p>
    <w:p w14:paraId="4041EDED">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2C616AA6">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603294A9">
      <w:pPr>
        <w:spacing w:line="560" w:lineRule="exact"/>
        <w:ind w:firstLine="645"/>
        <w:rPr>
          <w:rFonts w:hint="eastAsia" w:ascii="仿宋" w:hAnsi="仿宋" w:eastAsia="仿宋" w:cs="仿宋"/>
          <w:kern w:val="32"/>
          <w:sz w:val="32"/>
          <w:szCs w:val="32"/>
        </w:rPr>
      </w:pPr>
      <w:r>
        <w:rPr>
          <w:rFonts w:hint="eastAsia" w:ascii="仿宋" w:hAnsi="仿宋" w:eastAsia="仿宋" w:cs="仿宋"/>
          <w:kern w:val="32"/>
          <w:sz w:val="32"/>
          <w:szCs w:val="32"/>
        </w:rPr>
        <w:t>依据《环卫工人协助管理非机动车停放秩序工作考核办法（试行）》，由市城管局组织实施。成立了项目绩效评价专项考核小组，根据预算绩效指标，通过收集整理政策文件、预算执行情况等相关资料，制定具体评价方案，对评价人员进行分组，工作落实到个人，对项目的情况进行审核，重点关注项目组织实施情况、资金管理使用情况、项目产生效益情况、受益对象满意度等环节。</w:t>
      </w:r>
    </w:p>
    <w:p w14:paraId="49B0837B">
      <w:pPr>
        <w:spacing w:line="560" w:lineRule="exact"/>
        <w:ind w:firstLine="645"/>
        <w:rPr>
          <w:rFonts w:hint="eastAsia" w:ascii="仿宋" w:hAnsi="仿宋" w:eastAsia="仿宋" w:cs="仿宋"/>
          <w:b w:val="0"/>
          <w:bCs/>
          <w:kern w:val="32"/>
          <w:sz w:val="32"/>
          <w:szCs w:val="32"/>
        </w:rPr>
      </w:pPr>
      <w:r>
        <w:rPr>
          <w:rFonts w:hint="eastAsia" w:ascii="仿宋" w:hAnsi="仿宋" w:eastAsia="仿宋" w:cs="仿宋"/>
          <w:b w:val="0"/>
          <w:bCs/>
          <w:kern w:val="32"/>
          <w:sz w:val="32"/>
          <w:szCs w:val="32"/>
          <w:lang w:val="en-US" w:eastAsia="zh-CN"/>
        </w:rPr>
        <w:t>1.</w:t>
      </w:r>
      <w:r>
        <w:rPr>
          <w:rFonts w:hint="eastAsia" w:ascii="仿宋" w:hAnsi="仿宋" w:eastAsia="仿宋" w:cs="仿宋"/>
          <w:b w:val="0"/>
          <w:bCs/>
          <w:kern w:val="32"/>
          <w:sz w:val="32"/>
          <w:szCs w:val="32"/>
        </w:rPr>
        <w:t>项目评价资料收集</w:t>
      </w:r>
    </w:p>
    <w:p w14:paraId="66DF72F7">
      <w:pPr>
        <w:spacing w:line="560" w:lineRule="exact"/>
        <w:ind w:firstLine="640" w:firstLineChars="200"/>
        <w:rPr>
          <w:rFonts w:hint="eastAsia" w:ascii="仿宋" w:hAnsi="仿宋" w:eastAsia="仿宋" w:cs="仿宋"/>
          <w:kern w:val="32"/>
          <w:sz w:val="32"/>
          <w:szCs w:val="32"/>
        </w:rPr>
      </w:pPr>
      <w:r>
        <w:rPr>
          <w:rFonts w:hint="eastAsia" w:ascii="仿宋" w:hAnsi="仿宋" w:eastAsia="仿宋" w:cs="仿宋"/>
          <w:kern w:val="32"/>
          <w:sz w:val="32"/>
          <w:szCs w:val="32"/>
        </w:rPr>
        <w:t>项目绩效自评的资料收集涵盖了项目的各个阶段，具体资料包括：项目</w:t>
      </w:r>
      <w:r>
        <w:rPr>
          <w:rFonts w:hint="eastAsia" w:ascii="仿宋" w:hAnsi="仿宋" w:eastAsia="仿宋" w:cs="仿宋"/>
          <w:kern w:val="32"/>
          <w:sz w:val="32"/>
          <w:szCs w:val="32"/>
          <w:lang w:val="en-US" w:eastAsia="zh-CN"/>
        </w:rPr>
        <w:t>申请及</w:t>
      </w:r>
      <w:r>
        <w:rPr>
          <w:rFonts w:hint="eastAsia" w:ascii="仿宋" w:hAnsi="仿宋" w:eastAsia="仿宋" w:cs="仿宋"/>
          <w:kern w:val="32"/>
          <w:sz w:val="32"/>
          <w:szCs w:val="32"/>
        </w:rPr>
        <w:t>市政府批示材料、市财政局意见及市政府批示材料、资金使用情况资料、考核资料、资金拨付资料等。</w:t>
      </w:r>
    </w:p>
    <w:p w14:paraId="7FD1DDCA">
      <w:pPr>
        <w:spacing w:line="560" w:lineRule="exact"/>
        <w:ind w:firstLine="645"/>
        <w:rPr>
          <w:rFonts w:hint="eastAsia" w:ascii="仿宋" w:hAnsi="仿宋" w:eastAsia="仿宋" w:cs="仿宋"/>
          <w:b w:val="0"/>
          <w:bCs/>
          <w:kern w:val="32"/>
          <w:sz w:val="32"/>
          <w:szCs w:val="32"/>
        </w:rPr>
      </w:pPr>
      <w:r>
        <w:rPr>
          <w:rFonts w:hint="eastAsia" w:ascii="仿宋" w:hAnsi="仿宋" w:eastAsia="仿宋" w:cs="仿宋"/>
          <w:b w:val="0"/>
          <w:bCs/>
          <w:kern w:val="32"/>
          <w:sz w:val="32"/>
          <w:szCs w:val="32"/>
          <w:lang w:val="en-US" w:eastAsia="zh-CN"/>
        </w:rPr>
        <w:t>2.</w:t>
      </w:r>
      <w:r>
        <w:rPr>
          <w:rFonts w:hint="eastAsia" w:ascii="仿宋" w:hAnsi="仿宋" w:eastAsia="仿宋" w:cs="仿宋"/>
          <w:b w:val="0"/>
          <w:bCs/>
          <w:kern w:val="32"/>
          <w:sz w:val="32"/>
          <w:szCs w:val="32"/>
        </w:rPr>
        <w:t>评价过程</w:t>
      </w:r>
    </w:p>
    <w:p w14:paraId="5582267E">
      <w:pPr>
        <w:spacing w:line="560" w:lineRule="exact"/>
        <w:ind w:firstLine="645"/>
        <w:rPr>
          <w:rFonts w:hint="eastAsia" w:ascii="仿宋" w:hAnsi="仿宋" w:eastAsia="仿宋" w:cs="仿宋"/>
          <w:kern w:val="32"/>
          <w:sz w:val="32"/>
          <w:szCs w:val="32"/>
        </w:rPr>
      </w:pPr>
      <w:r>
        <w:rPr>
          <w:rFonts w:hint="eastAsia" w:ascii="仿宋" w:hAnsi="仿宋" w:eastAsia="仿宋" w:cs="仿宋"/>
          <w:kern w:val="32"/>
          <w:sz w:val="32"/>
          <w:szCs w:val="32"/>
        </w:rPr>
        <w:t>通过对照</w:t>
      </w:r>
      <w:r>
        <w:rPr>
          <w:rFonts w:hint="eastAsia" w:ascii="仿宋" w:hAnsi="仿宋" w:eastAsia="仿宋" w:cs="仿宋"/>
          <w:kern w:val="32"/>
          <w:sz w:val="32"/>
          <w:szCs w:val="32"/>
          <w:lang w:val="en-US" w:eastAsia="zh-CN"/>
        </w:rPr>
        <w:t>项目</w:t>
      </w:r>
      <w:r>
        <w:rPr>
          <w:rFonts w:hint="eastAsia" w:ascii="仿宋" w:hAnsi="仿宋" w:eastAsia="仿宋" w:cs="仿宋"/>
          <w:kern w:val="32"/>
          <w:sz w:val="32"/>
          <w:szCs w:val="32"/>
        </w:rPr>
        <w:t>资金使用情况、考核过程、资金拨付过程等过程性材料，对项目整体组织实施过程进行自评。</w:t>
      </w:r>
    </w:p>
    <w:p w14:paraId="7B87B08C">
      <w:pPr>
        <w:spacing w:line="560" w:lineRule="exact"/>
        <w:ind w:firstLine="645"/>
        <w:rPr>
          <w:rFonts w:hint="eastAsia" w:ascii="仿宋" w:hAnsi="仿宋" w:eastAsia="仿宋" w:cs="仿宋"/>
          <w:b w:val="0"/>
          <w:bCs/>
          <w:kern w:val="32"/>
          <w:sz w:val="32"/>
          <w:szCs w:val="32"/>
        </w:rPr>
      </w:pPr>
      <w:r>
        <w:rPr>
          <w:rFonts w:hint="eastAsia" w:ascii="仿宋" w:hAnsi="仿宋" w:eastAsia="仿宋" w:cs="仿宋"/>
          <w:b w:val="0"/>
          <w:bCs/>
          <w:kern w:val="32"/>
          <w:sz w:val="32"/>
          <w:szCs w:val="32"/>
          <w:lang w:val="en-US" w:eastAsia="zh-CN"/>
        </w:rPr>
        <w:t>3.</w:t>
      </w:r>
      <w:r>
        <w:rPr>
          <w:rFonts w:hint="eastAsia" w:ascii="仿宋" w:hAnsi="仿宋" w:eastAsia="仿宋" w:cs="仿宋"/>
          <w:b w:val="0"/>
          <w:bCs/>
          <w:kern w:val="32"/>
          <w:sz w:val="32"/>
          <w:szCs w:val="32"/>
        </w:rPr>
        <w:t>评价工作管理组织</w:t>
      </w:r>
    </w:p>
    <w:p w14:paraId="3EDCD52D">
      <w:pPr>
        <w:spacing w:line="560" w:lineRule="exact"/>
        <w:ind w:firstLine="645"/>
        <w:rPr>
          <w:rFonts w:hint="eastAsia" w:ascii="仿宋" w:hAnsi="仿宋" w:eastAsia="仿宋" w:cs="仿宋"/>
          <w:kern w:val="32"/>
          <w:sz w:val="32"/>
          <w:szCs w:val="32"/>
        </w:rPr>
      </w:pPr>
      <w:r>
        <w:rPr>
          <w:rFonts w:hint="eastAsia" w:ascii="仿宋" w:hAnsi="仿宋" w:eastAsia="仿宋" w:cs="仿宋"/>
          <w:kern w:val="32"/>
          <w:sz w:val="32"/>
          <w:szCs w:val="32"/>
        </w:rPr>
        <w:t>成立专项评价工作组：由局机关业务科室牵头，联合财务部门，</w:t>
      </w:r>
      <w:r>
        <w:rPr>
          <w:rFonts w:hint="eastAsia" w:ascii="仿宋" w:hAnsi="仿宋" w:eastAsia="仿宋" w:cs="仿宋"/>
          <w:sz w:val="32"/>
          <w:szCs w:val="32"/>
        </w:rPr>
        <w:t>长安区、桥西区、新华区、裕华区城管局（环卫大队）组成评价工作组。</w:t>
      </w:r>
    </w:p>
    <w:p w14:paraId="5C1C10F2">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（二）自评的方法和过程</w:t>
      </w:r>
    </w:p>
    <w:p w14:paraId="349FE40A">
      <w:pPr>
        <w:spacing w:line="560" w:lineRule="exact"/>
        <w:ind w:firstLine="645"/>
        <w:rPr>
          <w:rFonts w:hint="eastAsia" w:ascii="仿宋" w:hAnsi="仿宋" w:eastAsia="仿宋" w:cs="仿宋"/>
          <w:b/>
          <w:bCs/>
          <w:sz w:val="32"/>
          <w:szCs w:val="32"/>
        </w:rPr>
      </w:pPr>
      <w:r>
        <w:rPr>
          <w:rFonts w:hint="eastAsia" w:ascii="仿宋" w:hAnsi="仿宋" w:eastAsia="仿宋" w:cs="仿宋"/>
          <w:sz w:val="32"/>
          <w:szCs w:val="32"/>
        </w:rPr>
        <w:t>对照《环卫工人协助管理非机动车停放秩序工作考核办法（试行）》、《环卫工人协助管理非机动车停放秩序工作考核要点》等考核要求，对考核方式、考核数据、考核结果应用等组织环节是否遵循公开、公正、公平等原则进行价评。</w:t>
      </w:r>
    </w:p>
    <w:p w14:paraId="6C29F162">
      <w:p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（三）建立绩效评价指标体系</w:t>
      </w:r>
    </w:p>
    <w:p w14:paraId="4F2AAF6D">
      <w:pPr>
        <w:spacing w:line="580" w:lineRule="exact"/>
        <w:ind w:right="-57" w:rightChars="-27" w:firstLine="640" w:firstLineChars="200"/>
        <w:rPr>
          <w:rFonts w:hint="eastAsia" w:ascii="仿宋" w:hAnsi="仿宋" w:eastAsia="仿宋"/>
          <w:sz w:val="32"/>
          <w:szCs w:val="32"/>
        </w:rPr>
      </w:pPr>
      <w:r>
        <w:rPr>
          <w:rFonts w:hint="eastAsia" w:ascii="仿宋" w:hAnsi="仿宋" w:eastAsia="仿宋"/>
          <w:sz w:val="32"/>
          <w:szCs w:val="32"/>
        </w:rPr>
        <w:t>本绩效指标评价总分设定为100分。根据相关规范文件，参考历史数据，设置项目指标，具体指标如下：</w:t>
      </w:r>
    </w:p>
    <w:p w14:paraId="6332AA5B">
      <w:pPr>
        <w:spacing w:line="580" w:lineRule="exact"/>
        <w:ind w:right="-57" w:rightChars="-27" w:firstLine="640" w:firstLineChars="200"/>
        <w:rPr>
          <w:rFonts w:hint="eastAsia" w:ascii="仿宋" w:hAnsi="仿宋" w:eastAsia="仿宋"/>
          <w:sz w:val="32"/>
          <w:szCs w:val="32"/>
        </w:rPr>
      </w:pPr>
      <w:r>
        <w:rPr>
          <w:rFonts w:hint="eastAsia" w:ascii="仿宋" w:hAnsi="仿宋" w:eastAsia="仿宋"/>
          <w:sz w:val="32"/>
          <w:szCs w:val="32"/>
        </w:rPr>
        <w:t>一级指标共设4个，包括产出指标、效益指标、预算执行率指标、满意度指标。</w:t>
      </w:r>
    </w:p>
    <w:p w14:paraId="4E293032">
      <w:pPr>
        <w:spacing w:line="580" w:lineRule="exact"/>
        <w:ind w:right="-57" w:rightChars="-27" w:firstLine="640" w:firstLineChars="200"/>
        <w:rPr>
          <w:rFonts w:hint="eastAsia" w:ascii="仿宋" w:hAnsi="仿宋" w:eastAsia="仿宋"/>
          <w:sz w:val="32"/>
          <w:szCs w:val="32"/>
        </w:rPr>
      </w:pPr>
      <w:r>
        <w:rPr>
          <w:rFonts w:hint="eastAsia" w:ascii="仿宋" w:hAnsi="仿宋" w:eastAsia="仿宋"/>
          <w:sz w:val="32"/>
          <w:szCs w:val="32"/>
        </w:rPr>
        <w:t>二级指标共设</w:t>
      </w:r>
      <w:r>
        <w:rPr>
          <w:rFonts w:hint="eastAsia" w:ascii="仿宋" w:hAnsi="仿宋" w:eastAsia="仿宋"/>
          <w:sz w:val="32"/>
          <w:szCs w:val="32"/>
          <w:lang w:val="en-US" w:eastAsia="zh-CN"/>
        </w:rPr>
        <w:t>7</w:t>
      </w:r>
      <w:r>
        <w:rPr>
          <w:rFonts w:hint="eastAsia" w:ascii="仿宋" w:hAnsi="仿宋" w:eastAsia="仿宋"/>
          <w:sz w:val="32"/>
          <w:szCs w:val="32"/>
        </w:rPr>
        <w:t>个，包括数量指标、质量指标、时效指标、成本指标、社会效益指标、服务对象满意度指标、预算执行率。</w:t>
      </w:r>
    </w:p>
    <w:p w14:paraId="4A969F8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三级指标共设</w:t>
      </w:r>
      <w:r>
        <w:rPr>
          <w:rFonts w:hint="eastAsia" w:ascii="仿宋" w:hAnsi="仿宋" w:eastAsia="仿宋"/>
          <w:sz w:val="32"/>
          <w:szCs w:val="32"/>
          <w:lang w:val="en-US" w:eastAsia="zh-CN"/>
        </w:rPr>
        <w:t>7</w:t>
      </w:r>
      <w:r>
        <w:rPr>
          <w:rFonts w:hint="eastAsia" w:ascii="仿宋" w:hAnsi="仿宋" w:eastAsia="仿宋"/>
          <w:sz w:val="32"/>
          <w:szCs w:val="32"/>
        </w:rPr>
        <w:t>个，根据项目实施阶段和指标重要性确定权重，确保评价结果准确反映项目的产出和效果。</w:t>
      </w:r>
    </w:p>
    <w:p w14:paraId="6E63B0D3">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65DB3803">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71EE7D7E">
      <w:pPr>
        <w:spacing w:line="560" w:lineRule="exact"/>
        <w:ind w:firstLine="640" w:firstLineChars="200"/>
        <w:rPr>
          <w:rFonts w:hint="eastAsia"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rPr>
        <w:t>自2024年1月以来，我局每月对各区环卫工人协助管理非机动车停放秩序工作开展情况进行专项考评。</w:t>
      </w:r>
      <w:r>
        <w:rPr>
          <w:rFonts w:hint="eastAsia" w:ascii="仿宋" w:hAnsi="仿宋" w:eastAsia="仿宋" w:cs="仿宋"/>
          <w:kern w:val="32"/>
          <w:sz w:val="32"/>
          <w:szCs w:val="32"/>
          <w:highlight w:val="none"/>
          <w:lang w:val="en-US" w:eastAsia="zh-CN"/>
        </w:rPr>
        <w:t>2024年项目实际支出数为0万元</w:t>
      </w:r>
      <w:r>
        <w:rPr>
          <w:rFonts w:hint="eastAsia" w:ascii="仿宋" w:hAnsi="仿宋" w:eastAsia="仿宋" w:cs="仿宋"/>
          <w:kern w:val="32"/>
          <w:sz w:val="32"/>
          <w:szCs w:val="32"/>
          <w:highlight w:val="none"/>
          <w:lang w:eastAsia="zh-CN"/>
        </w:rPr>
        <w:t>，</w:t>
      </w:r>
      <w:r>
        <w:rPr>
          <w:rFonts w:hint="eastAsia" w:ascii="仿宋" w:hAnsi="仿宋" w:eastAsia="仿宋" w:cs="仿宋"/>
          <w:kern w:val="32"/>
          <w:sz w:val="32"/>
          <w:szCs w:val="32"/>
          <w:highlight w:val="none"/>
          <w:lang w:val="en-US" w:eastAsia="zh-CN"/>
        </w:rPr>
        <w:t>预算执行率为0%。</w:t>
      </w:r>
    </w:p>
    <w:p w14:paraId="429F551C">
      <w:pPr>
        <w:spacing w:line="560" w:lineRule="exact"/>
        <w:ind w:firstLine="640" w:firstLineChars="200"/>
        <w:rPr>
          <w:rFonts w:hint="eastAsia"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lang w:val="en-US" w:eastAsia="zh-CN"/>
        </w:rPr>
        <w:t>此项满分10分，自评得分0分。</w:t>
      </w:r>
    </w:p>
    <w:p w14:paraId="40905E4F">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（二）项目产出</w:t>
      </w:r>
    </w:p>
    <w:p w14:paraId="34993BCD">
      <w:pPr>
        <w:keepNext w:val="0"/>
        <w:keepLines w:val="0"/>
        <w:pageBreakBefore w:val="0"/>
        <w:widowControl w:val="0"/>
        <w:kinsoku/>
        <w:wordWrap/>
        <w:overflowPunct/>
        <w:topLinePunct w:val="0"/>
        <w:autoSpaceDE/>
        <w:autoSpaceDN/>
        <w:bidi w:val="0"/>
        <w:adjustRightInd w:val="0"/>
        <w:snapToGrid w:val="0"/>
        <w:spacing w:line="560" w:lineRule="exact"/>
        <w:ind w:firstLine="960" w:firstLineChars="300"/>
        <w:textAlignment w:val="auto"/>
        <w:rPr>
          <w:rFonts w:hint="default" w:ascii="仿宋" w:hAnsi="仿宋" w:eastAsia="仿宋" w:cs="仿宋"/>
          <w:kern w:val="32"/>
          <w:sz w:val="32"/>
          <w:szCs w:val="32"/>
          <w:lang w:val="en-US" w:eastAsia="zh-CN"/>
        </w:rPr>
      </w:pPr>
      <w:r>
        <w:rPr>
          <w:rFonts w:hint="eastAsia" w:ascii="仿宋" w:hAnsi="仿宋" w:eastAsia="仿宋" w:cs="仿宋"/>
          <w:kern w:val="32"/>
          <w:sz w:val="32"/>
          <w:szCs w:val="32"/>
          <w:lang w:val="en-US" w:eastAsia="zh-CN"/>
        </w:rPr>
        <w:t>1.</w:t>
      </w:r>
      <w:r>
        <w:rPr>
          <w:rFonts w:hint="eastAsia" w:ascii="仿宋" w:hAnsi="仿宋" w:eastAsia="仿宋" w:cs="仿宋"/>
          <w:kern w:val="32"/>
          <w:sz w:val="32"/>
          <w:szCs w:val="32"/>
        </w:rPr>
        <w:t>产出指标</w:t>
      </w:r>
    </w:p>
    <w:p w14:paraId="5D43D12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rPr>
        <w:t xml:space="preserve"> </w:t>
      </w:r>
      <w:r>
        <w:rPr>
          <w:rFonts w:hint="eastAsia" w:ascii="仿宋" w:hAnsi="仿宋" w:eastAsia="仿宋" w:cs="仿宋"/>
          <w:kern w:val="32"/>
          <w:sz w:val="32"/>
          <w:szCs w:val="32"/>
          <w:lang w:eastAsia="zh-CN"/>
        </w:rPr>
        <w:t>（</w:t>
      </w:r>
      <w:r>
        <w:rPr>
          <w:rFonts w:hint="eastAsia" w:ascii="仿宋" w:hAnsi="仿宋" w:eastAsia="仿宋" w:cs="仿宋"/>
          <w:kern w:val="32"/>
          <w:sz w:val="32"/>
          <w:szCs w:val="32"/>
          <w:lang w:val="en-US" w:eastAsia="zh-CN"/>
        </w:rPr>
        <w:t>1</w:t>
      </w:r>
      <w:r>
        <w:rPr>
          <w:rFonts w:hint="eastAsia" w:ascii="仿宋" w:hAnsi="仿宋" w:eastAsia="仿宋" w:cs="仿宋"/>
          <w:kern w:val="32"/>
          <w:sz w:val="32"/>
          <w:szCs w:val="32"/>
          <w:lang w:eastAsia="zh-CN"/>
        </w:rPr>
        <w:t>）</w:t>
      </w:r>
      <w:r>
        <w:rPr>
          <w:rFonts w:hint="eastAsia" w:ascii="仿宋" w:hAnsi="仿宋" w:eastAsia="仿宋" w:cs="仿宋"/>
          <w:kern w:val="32"/>
          <w:sz w:val="32"/>
          <w:szCs w:val="32"/>
        </w:rPr>
        <w:t>数量指标</w:t>
      </w:r>
    </w:p>
    <w:p w14:paraId="4B515AD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rPr>
        <w:t>“补贴环卫工人数量”预期指标值为“≤5407人”</w:t>
      </w:r>
      <w:r>
        <w:rPr>
          <w:rFonts w:hint="eastAsia" w:ascii="仿宋" w:hAnsi="仿宋" w:eastAsia="仿宋" w:cs="仿宋"/>
          <w:kern w:val="32"/>
          <w:sz w:val="32"/>
          <w:szCs w:val="32"/>
          <w:highlight w:val="none"/>
          <w:lang w:eastAsia="zh-CN"/>
        </w:rPr>
        <w:t>，</w:t>
      </w:r>
      <w:r>
        <w:rPr>
          <w:rFonts w:hint="eastAsia" w:ascii="仿宋" w:hAnsi="仿宋" w:eastAsia="仿宋" w:cs="仿宋"/>
          <w:kern w:val="32"/>
          <w:sz w:val="32"/>
          <w:szCs w:val="32"/>
          <w:highlight w:val="none"/>
          <w:lang w:val="en-US" w:eastAsia="zh-CN"/>
        </w:rPr>
        <w:t>项目2024年未形成支出，补贴人数为0。</w:t>
      </w:r>
    </w:p>
    <w:p w14:paraId="21D8827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lang w:val="en-US" w:eastAsia="zh-CN"/>
        </w:rPr>
      </w:pPr>
      <w:r>
        <w:rPr>
          <w:rFonts w:hint="eastAsia" w:ascii="仿宋" w:hAnsi="仿宋" w:eastAsia="仿宋" w:cs="仿宋"/>
          <w:kern w:val="32"/>
          <w:sz w:val="32"/>
          <w:szCs w:val="32"/>
          <w:lang w:val="en-US" w:eastAsia="zh-CN"/>
        </w:rPr>
        <w:t>数量指标满分10分，自评得分0分。</w:t>
      </w:r>
    </w:p>
    <w:p w14:paraId="2C239E2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lang w:eastAsia="zh-CN"/>
        </w:rPr>
        <w:t>（</w:t>
      </w:r>
      <w:r>
        <w:rPr>
          <w:rFonts w:hint="eastAsia" w:ascii="仿宋" w:hAnsi="仿宋" w:eastAsia="仿宋" w:cs="仿宋"/>
          <w:kern w:val="32"/>
          <w:sz w:val="32"/>
          <w:szCs w:val="32"/>
          <w:lang w:val="en-US" w:eastAsia="zh-CN"/>
        </w:rPr>
        <w:t>2</w:t>
      </w:r>
      <w:r>
        <w:rPr>
          <w:rFonts w:hint="eastAsia" w:ascii="仿宋" w:hAnsi="仿宋" w:eastAsia="仿宋" w:cs="仿宋"/>
          <w:kern w:val="32"/>
          <w:sz w:val="32"/>
          <w:szCs w:val="32"/>
          <w:lang w:eastAsia="zh-CN"/>
        </w:rPr>
        <w:t>）</w:t>
      </w:r>
      <w:r>
        <w:rPr>
          <w:rFonts w:hint="eastAsia" w:ascii="仿宋" w:hAnsi="仿宋" w:eastAsia="仿宋" w:cs="仿宋"/>
          <w:kern w:val="32"/>
          <w:sz w:val="32"/>
          <w:szCs w:val="32"/>
        </w:rPr>
        <w:t>质量指标</w:t>
      </w:r>
    </w:p>
    <w:p w14:paraId="58234F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rPr>
        <w:t>“城市便道非机动车摆放合格率≥90%”</w:t>
      </w:r>
      <w:r>
        <w:rPr>
          <w:rFonts w:hint="eastAsia" w:ascii="仿宋" w:hAnsi="仿宋" w:eastAsia="仿宋" w:cs="仿宋"/>
          <w:kern w:val="32"/>
          <w:sz w:val="32"/>
          <w:szCs w:val="32"/>
          <w:highlight w:val="none"/>
          <w:lang w:eastAsia="zh-CN"/>
        </w:rPr>
        <w:t>，从考核情况看，1-2月份，四区非机动车停放秩序管理不到位问题月均数量为468件。3-6月份非机动车停放秩序管理不到位问题月均问题数量为2414件，较1-2月份月均问题数量上升415%。</w:t>
      </w:r>
    </w:p>
    <w:p w14:paraId="6185FDA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lang w:val="en-US" w:eastAsia="zh-CN"/>
        </w:rPr>
        <w:t>质量指标满分10分，自评得分0分。</w:t>
      </w:r>
    </w:p>
    <w:p w14:paraId="355619E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lang w:eastAsia="zh-CN"/>
        </w:rPr>
        <w:t>（</w:t>
      </w:r>
      <w:r>
        <w:rPr>
          <w:rFonts w:hint="eastAsia" w:ascii="仿宋" w:hAnsi="仿宋" w:eastAsia="仿宋" w:cs="仿宋"/>
          <w:kern w:val="32"/>
          <w:sz w:val="32"/>
          <w:szCs w:val="32"/>
          <w:lang w:val="en-US" w:eastAsia="zh-CN"/>
        </w:rPr>
        <w:t>3</w:t>
      </w:r>
      <w:r>
        <w:rPr>
          <w:rFonts w:hint="eastAsia" w:ascii="仿宋" w:hAnsi="仿宋" w:eastAsia="仿宋" w:cs="仿宋"/>
          <w:kern w:val="32"/>
          <w:sz w:val="32"/>
          <w:szCs w:val="32"/>
          <w:lang w:eastAsia="zh-CN"/>
        </w:rPr>
        <w:t>）</w:t>
      </w:r>
      <w:r>
        <w:rPr>
          <w:rFonts w:hint="eastAsia" w:ascii="仿宋" w:hAnsi="仿宋" w:eastAsia="仿宋" w:cs="仿宋"/>
          <w:kern w:val="32"/>
          <w:sz w:val="32"/>
          <w:szCs w:val="32"/>
        </w:rPr>
        <w:t>时效指标</w:t>
      </w:r>
    </w:p>
    <w:p w14:paraId="469849A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lang w:val="en-US" w:eastAsia="zh-CN"/>
        </w:rPr>
      </w:pPr>
      <w:r>
        <w:rPr>
          <w:rFonts w:hint="eastAsia" w:ascii="仿宋" w:hAnsi="仿宋" w:eastAsia="仿宋" w:cs="仿宋"/>
          <w:kern w:val="32"/>
          <w:sz w:val="32"/>
          <w:szCs w:val="32"/>
        </w:rPr>
        <w:t>“在规定时限开展工作”预期指标为“12月底前”。</w:t>
      </w:r>
      <w:r>
        <w:rPr>
          <w:rFonts w:hint="eastAsia" w:ascii="仿宋" w:hAnsi="仿宋" w:eastAsia="仿宋" w:cs="仿宋"/>
          <w:kern w:val="32"/>
          <w:sz w:val="32"/>
          <w:szCs w:val="32"/>
          <w:lang w:val="en-US" w:eastAsia="zh-CN"/>
        </w:rPr>
        <w:t>项目完成时间2024年12月31日前。通过日常考核，整治效果不显著，自2024年3月开始，未再拨付环卫工人奖补资金。</w:t>
      </w:r>
    </w:p>
    <w:p w14:paraId="6922872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lang w:val="en-US" w:eastAsia="zh-CN"/>
        </w:rPr>
      </w:pPr>
      <w:r>
        <w:rPr>
          <w:rFonts w:hint="eastAsia" w:ascii="仿宋" w:hAnsi="仿宋" w:eastAsia="仿宋" w:cs="仿宋"/>
          <w:kern w:val="32"/>
          <w:sz w:val="32"/>
          <w:szCs w:val="32"/>
          <w:lang w:val="en-US" w:eastAsia="zh-CN"/>
        </w:rPr>
        <w:t>时效指标满分10分，自评得分0分。</w:t>
      </w:r>
    </w:p>
    <w:p w14:paraId="72BE92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lang w:eastAsia="zh-CN"/>
        </w:rPr>
        <w:t>（</w:t>
      </w:r>
      <w:r>
        <w:rPr>
          <w:rFonts w:hint="eastAsia" w:ascii="仿宋" w:hAnsi="仿宋" w:eastAsia="仿宋" w:cs="仿宋"/>
          <w:kern w:val="32"/>
          <w:sz w:val="32"/>
          <w:szCs w:val="32"/>
          <w:lang w:val="en-US" w:eastAsia="zh-CN"/>
        </w:rPr>
        <w:t>4</w:t>
      </w:r>
      <w:r>
        <w:rPr>
          <w:rFonts w:hint="eastAsia" w:ascii="仿宋" w:hAnsi="仿宋" w:eastAsia="仿宋" w:cs="仿宋"/>
          <w:kern w:val="32"/>
          <w:sz w:val="32"/>
          <w:szCs w:val="32"/>
          <w:lang w:eastAsia="zh-CN"/>
        </w:rPr>
        <w:t>）</w:t>
      </w:r>
      <w:r>
        <w:rPr>
          <w:rFonts w:hint="eastAsia" w:ascii="仿宋" w:hAnsi="仿宋" w:eastAsia="仿宋" w:cs="仿宋"/>
          <w:kern w:val="32"/>
          <w:sz w:val="32"/>
          <w:szCs w:val="32"/>
        </w:rPr>
        <w:t>成本指标</w:t>
      </w:r>
    </w:p>
    <w:p w14:paraId="560F23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lang w:val="en-US" w:eastAsia="zh-CN"/>
        </w:rPr>
      </w:pPr>
      <w:r>
        <w:rPr>
          <w:rFonts w:hint="eastAsia" w:ascii="仿宋" w:hAnsi="仿宋" w:eastAsia="仿宋" w:cs="仿宋"/>
          <w:kern w:val="32"/>
          <w:sz w:val="32"/>
          <w:szCs w:val="32"/>
        </w:rPr>
        <w:t>“项目总成本”，预期指标为“≤</w:t>
      </w:r>
      <w:r>
        <w:rPr>
          <w:rFonts w:hint="eastAsia" w:ascii="仿宋" w:hAnsi="仿宋" w:eastAsia="仿宋" w:cs="仿宋"/>
          <w:kern w:val="32"/>
          <w:sz w:val="32"/>
          <w:szCs w:val="32"/>
          <w:lang w:val="en-US" w:eastAsia="zh-CN"/>
        </w:rPr>
        <w:t>499</w:t>
      </w:r>
      <w:r>
        <w:rPr>
          <w:rFonts w:hint="eastAsia" w:ascii="仿宋" w:hAnsi="仿宋" w:eastAsia="仿宋" w:cs="仿宋"/>
          <w:kern w:val="32"/>
          <w:sz w:val="32"/>
          <w:szCs w:val="32"/>
        </w:rPr>
        <w:t>万元”</w:t>
      </w:r>
      <w:r>
        <w:rPr>
          <w:rFonts w:hint="eastAsia" w:ascii="仿宋" w:hAnsi="仿宋" w:eastAsia="仿宋" w:cs="仿宋"/>
          <w:kern w:val="32"/>
          <w:sz w:val="32"/>
          <w:szCs w:val="32"/>
          <w:lang w:eastAsia="zh-CN"/>
        </w:rPr>
        <w:t>，</w:t>
      </w:r>
      <w:r>
        <w:rPr>
          <w:rFonts w:hint="eastAsia" w:ascii="仿宋" w:hAnsi="仿宋" w:eastAsia="仿宋" w:cs="仿宋"/>
          <w:kern w:val="32"/>
          <w:sz w:val="32"/>
          <w:szCs w:val="32"/>
          <w:lang w:val="en-US" w:eastAsia="zh-CN"/>
        </w:rPr>
        <w:t>实际支付0万元。</w:t>
      </w:r>
    </w:p>
    <w:p w14:paraId="557972F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lang w:val="en-US" w:eastAsia="zh-CN"/>
        </w:rPr>
      </w:pPr>
      <w:r>
        <w:rPr>
          <w:rFonts w:hint="eastAsia" w:ascii="仿宋" w:hAnsi="仿宋" w:eastAsia="仿宋" w:cs="仿宋"/>
          <w:kern w:val="32"/>
          <w:sz w:val="32"/>
          <w:szCs w:val="32"/>
          <w:lang w:val="en-US" w:eastAsia="zh-CN"/>
        </w:rPr>
        <w:t>成本指标满分10分，自评得分0分。</w:t>
      </w:r>
    </w:p>
    <w:p w14:paraId="200957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lang w:val="en-US" w:eastAsia="zh-CN"/>
        </w:rPr>
        <w:t>2.</w:t>
      </w:r>
      <w:r>
        <w:rPr>
          <w:rFonts w:hint="eastAsia" w:ascii="仿宋" w:hAnsi="仿宋" w:eastAsia="仿宋" w:cs="仿宋"/>
          <w:kern w:val="32"/>
          <w:sz w:val="32"/>
          <w:szCs w:val="32"/>
        </w:rPr>
        <w:t>效益指标</w:t>
      </w:r>
    </w:p>
    <w:p w14:paraId="36DA6ED2">
      <w:pPr>
        <w:spacing w:line="560" w:lineRule="exact"/>
        <w:ind w:firstLine="640" w:firstLineChars="200"/>
        <w:rPr>
          <w:rFonts w:hint="default" w:ascii="仿宋" w:hAnsi="仿宋" w:eastAsia="仿宋" w:cs="仿宋"/>
          <w:kern w:val="32"/>
          <w:sz w:val="32"/>
          <w:szCs w:val="32"/>
          <w:lang w:val="en-US" w:eastAsia="zh-CN"/>
        </w:rPr>
      </w:pPr>
      <w:r>
        <w:rPr>
          <w:rFonts w:hint="eastAsia" w:ascii="仿宋" w:hAnsi="仿宋" w:eastAsia="仿宋" w:cs="仿宋"/>
          <w:kern w:val="32"/>
          <w:sz w:val="32"/>
          <w:szCs w:val="32"/>
          <w:lang w:val="en-US" w:eastAsia="zh-CN"/>
        </w:rPr>
        <w:t>根据实际考核情况，四区非机动车停放秩序管理不到位问题月均数量较多，整治效果不显著。</w:t>
      </w:r>
    </w:p>
    <w:p w14:paraId="6D5B4C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仿宋"/>
          <w:kern w:val="32"/>
          <w:sz w:val="32"/>
          <w:szCs w:val="32"/>
          <w:highlight w:val="none"/>
          <w:lang w:val="en-US" w:eastAsia="zh-CN"/>
        </w:rPr>
      </w:pPr>
      <w:r>
        <w:rPr>
          <w:rFonts w:hint="eastAsia" w:ascii="仿宋" w:hAnsi="仿宋" w:eastAsia="仿宋" w:cs="仿宋"/>
          <w:kern w:val="32"/>
          <w:sz w:val="32"/>
          <w:szCs w:val="32"/>
          <w:highlight w:val="none"/>
          <w:lang w:val="en-US" w:eastAsia="zh-CN"/>
        </w:rPr>
        <w:t>效益指标满分40分，自评得分0分。</w:t>
      </w:r>
    </w:p>
    <w:p w14:paraId="2BAAEB7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highlight w:val="none"/>
        </w:rPr>
      </w:pPr>
      <w:r>
        <w:rPr>
          <w:rFonts w:hint="eastAsia" w:ascii="仿宋" w:hAnsi="仿宋" w:eastAsia="仿宋" w:cs="仿宋"/>
          <w:kern w:val="32"/>
          <w:sz w:val="32"/>
          <w:szCs w:val="32"/>
          <w:highlight w:val="none"/>
          <w:lang w:val="en-US" w:eastAsia="zh-CN"/>
        </w:rPr>
        <w:t>3.</w:t>
      </w:r>
      <w:r>
        <w:rPr>
          <w:rFonts w:hint="eastAsia" w:ascii="仿宋" w:hAnsi="仿宋" w:eastAsia="仿宋" w:cs="仿宋"/>
          <w:kern w:val="32"/>
          <w:sz w:val="32"/>
          <w:szCs w:val="32"/>
          <w:highlight w:val="none"/>
        </w:rPr>
        <w:t>满意度指标</w:t>
      </w:r>
    </w:p>
    <w:p w14:paraId="6E34FC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_GB2312" w:cs="仿宋"/>
          <w:kern w:val="32"/>
          <w:sz w:val="32"/>
          <w:szCs w:val="32"/>
          <w:highlight w:val="none"/>
          <w:lang w:val="en-US" w:eastAsia="zh-CN"/>
        </w:rPr>
      </w:pPr>
      <w:r>
        <w:rPr>
          <w:rFonts w:hint="eastAsia" w:ascii="仿宋" w:hAnsi="仿宋" w:eastAsia="仿宋" w:cs="仿宋"/>
          <w:kern w:val="32"/>
          <w:sz w:val="32"/>
          <w:szCs w:val="32"/>
          <w:highlight w:val="none"/>
        </w:rPr>
        <w:t>服务对象满意度指标，“市民对非机动车停放秩序的满意度≥90%”。</w:t>
      </w:r>
      <w:r>
        <w:rPr>
          <w:rFonts w:hint="eastAsia" w:ascii="仿宋_GB2312" w:hAnsi="仿宋_GB2312" w:eastAsia="仿宋_GB2312" w:cs="仿宋_GB2312"/>
          <w:kern w:val="32"/>
          <w:sz w:val="32"/>
          <w:szCs w:val="32"/>
        </w:rPr>
        <w:t>经各区环卫作业部门统计，环卫作业人员普遍难以继续开展非机动车停放秩序管理工作</w:t>
      </w:r>
      <w:r>
        <w:rPr>
          <w:rFonts w:hint="eastAsia" w:ascii="仿宋_GB2312" w:hAnsi="仿宋_GB2312" w:eastAsia="仿宋_GB2312" w:cs="仿宋_GB2312"/>
          <w:kern w:val="32"/>
          <w:sz w:val="32"/>
          <w:szCs w:val="32"/>
          <w:lang w:eastAsia="zh-CN"/>
        </w:rPr>
        <w:t>，</w:t>
      </w:r>
      <w:r>
        <w:rPr>
          <w:rFonts w:hint="eastAsia" w:ascii="仿宋_GB2312" w:hAnsi="仿宋_GB2312" w:eastAsia="仿宋_GB2312" w:cs="仿宋_GB2312"/>
          <w:kern w:val="32"/>
          <w:sz w:val="32"/>
          <w:szCs w:val="32"/>
          <w:lang w:val="en-US" w:eastAsia="zh-CN"/>
        </w:rPr>
        <w:t>整治效果不显著。</w:t>
      </w:r>
    </w:p>
    <w:p w14:paraId="113B0B1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kern w:val="32"/>
          <w:sz w:val="32"/>
          <w:szCs w:val="32"/>
        </w:rPr>
      </w:pPr>
      <w:r>
        <w:rPr>
          <w:rFonts w:hint="eastAsia" w:ascii="仿宋" w:hAnsi="仿宋" w:eastAsia="仿宋" w:cs="仿宋"/>
          <w:kern w:val="32"/>
          <w:sz w:val="32"/>
          <w:szCs w:val="32"/>
          <w:highlight w:val="none"/>
          <w:lang w:val="en-US" w:eastAsia="zh-CN"/>
        </w:rPr>
        <w:t>满意度指标满分10分，自评得分0分。</w:t>
      </w:r>
      <w:r>
        <w:rPr>
          <w:rFonts w:hint="eastAsia" w:ascii="仿宋" w:hAnsi="仿宋" w:eastAsia="仿宋" w:cs="仿宋"/>
          <w:kern w:val="32"/>
          <w:sz w:val="32"/>
          <w:szCs w:val="32"/>
          <w:highlight w:val="none"/>
        </w:rPr>
        <w:tab/>
      </w:r>
      <w:r>
        <w:rPr>
          <w:rFonts w:hint="eastAsia" w:ascii="仿宋" w:hAnsi="仿宋" w:eastAsia="仿宋" w:cs="仿宋"/>
          <w:kern w:val="32"/>
          <w:sz w:val="32"/>
          <w:szCs w:val="32"/>
        </w:rPr>
        <w:tab/>
      </w:r>
      <w:r>
        <w:rPr>
          <w:rFonts w:hint="eastAsia" w:ascii="仿宋" w:hAnsi="仿宋" w:eastAsia="仿宋" w:cs="仿宋"/>
          <w:kern w:val="32"/>
          <w:sz w:val="32"/>
          <w:szCs w:val="32"/>
        </w:rPr>
        <w:tab/>
      </w:r>
      <w:r>
        <w:rPr>
          <w:rFonts w:hint="eastAsia" w:ascii="仿宋" w:hAnsi="仿宋" w:eastAsia="仿宋" w:cs="仿宋"/>
          <w:kern w:val="32"/>
          <w:sz w:val="32"/>
          <w:szCs w:val="32"/>
        </w:rPr>
        <w:tab/>
      </w:r>
    </w:p>
    <w:p w14:paraId="57F15333">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7B1396DF">
      <w:pPr>
        <w:spacing w:line="560" w:lineRule="exact"/>
        <w:ind w:firstLine="640" w:firstLineChars="200"/>
        <w:rPr>
          <w:rFonts w:hint="eastAsia" w:ascii="仿宋" w:hAnsi="仿宋" w:eastAsia="仿宋"/>
          <w:sz w:val="32"/>
          <w:szCs w:val="32"/>
          <w:highlight w:val="none"/>
        </w:rPr>
      </w:pPr>
      <w:r>
        <w:rPr>
          <w:rFonts w:hint="eastAsia" w:ascii="仿宋" w:hAnsi="仿宋" w:eastAsia="仿宋"/>
          <w:sz w:val="32"/>
          <w:szCs w:val="32"/>
        </w:rPr>
        <w:t>根据项目执行情况和项目绩效情况，给出总得分，指标体系设定满分100</w:t>
      </w:r>
      <w:r>
        <w:rPr>
          <w:rFonts w:hint="eastAsia" w:ascii="仿宋" w:hAnsi="仿宋" w:eastAsia="仿宋"/>
          <w:sz w:val="32"/>
          <w:szCs w:val="32"/>
          <w:highlight w:val="none"/>
        </w:rPr>
        <w:t>分，最终评分结果：总分为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分，各部分绩效汇总分值如下表所示：</w:t>
      </w:r>
    </w:p>
    <w:p w14:paraId="73C63154">
      <w:pPr>
        <w:pStyle w:val="16"/>
        <w:rPr>
          <w:rFonts w:hint="eastAsia"/>
          <w:highlight w:val="none"/>
        </w:rPr>
      </w:pPr>
    </w:p>
    <w:tbl>
      <w:tblPr>
        <w:tblStyle w:val="17"/>
        <w:tblW w:w="5000" w:type="pct"/>
        <w:jc w:val="center"/>
        <w:tblLayout w:type="autofit"/>
        <w:tblCellMar>
          <w:top w:w="0" w:type="dxa"/>
          <w:left w:w="0" w:type="dxa"/>
          <w:bottom w:w="0" w:type="dxa"/>
          <w:right w:w="0" w:type="dxa"/>
        </w:tblCellMar>
      </w:tblPr>
      <w:tblGrid>
        <w:gridCol w:w="1923"/>
        <w:gridCol w:w="1554"/>
        <w:gridCol w:w="1234"/>
        <w:gridCol w:w="1300"/>
        <w:gridCol w:w="1700"/>
        <w:gridCol w:w="1164"/>
      </w:tblGrid>
      <w:tr w14:paraId="407D76A8">
        <w:tblPrEx>
          <w:tblCellMar>
            <w:top w:w="0" w:type="dxa"/>
            <w:left w:w="0" w:type="dxa"/>
            <w:bottom w:w="0" w:type="dxa"/>
            <w:right w:w="0" w:type="dxa"/>
          </w:tblCellMar>
        </w:tblPrEx>
        <w:trPr>
          <w:trHeight w:val="43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B355F">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指标类别</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10246">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预算执行率</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41F7C">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项目产出</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16075">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项目效益</w:t>
            </w:r>
          </w:p>
        </w:tc>
        <w:tc>
          <w:tcPr>
            <w:tcW w:w="957" w:type="pct"/>
            <w:tcBorders>
              <w:top w:val="single" w:color="000000" w:sz="4" w:space="0"/>
              <w:left w:val="single" w:color="000000" w:sz="4" w:space="0"/>
              <w:bottom w:val="single" w:color="000000" w:sz="4" w:space="0"/>
              <w:right w:val="single" w:color="000000" w:sz="4" w:space="0"/>
            </w:tcBorders>
          </w:tcPr>
          <w:p w14:paraId="50AD282C">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项目满意度</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37AC3">
            <w:pPr>
              <w:pStyle w:val="28"/>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合计</w:t>
            </w:r>
          </w:p>
        </w:tc>
      </w:tr>
      <w:tr w14:paraId="709C550C">
        <w:tblPrEx>
          <w:tblCellMar>
            <w:top w:w="0" w:type="dxa"/>
            <w:left w:w="0" w:type="dxa"/>
            <w:bottom w:w="0" w:type="dxa"/>
            <w:right w:w="0" w:type="dxa"/>
          </w:tblCellMar>
        </w:tblPrEx>
        <w:trPr>
          <w:trHeight w:val="43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3BF8E">
            <w:pPr>
              <w:pStyle w:val="28"/>
              <w:rPr>
                <w:rFonts w:hint="eastAsia" w:ascii="仿宋" w:hAnsi="仿宋" w:eastAsia="仿宋" w:cs="仿宋"/>
                <w:sz w:val="28"/>
                <w:szCs w:val="28"/>
                <w:highlight w:val="none"/>
              </w:rPr>
            </w:pPr>
            <w:r>
              <w:rPr>
                <w:rFonts w:hint="eastAsia" w:ascii="仿宋" w:hAnsi="仿宋" w:eastAsia="仿宋" w:cs="仿宋"/>
                <w:sz w:val="28"/>
                <w:szCs w:val="28"/>
                <w:highlight w:val="none"/>
              </w:rPr>
              <w:t>满分分值（分）</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39E62">
            <w:pPr>
              <w:pStyle w:val="28"/>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844A">
            <w:pPr>
              <w:pStyle w:val="28"/>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EB156">
            <w:pPr>
              <w:pStyle w:val="28"/>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40</w:t>
            </w:r>
          </w:p>
        </w:tc>
        <w:tc>
          <w:tcPr>
            <w:tcW w:w="957" w:type="pct"/>
            <w:tcBorders>
              <w:top w:val="single" w:color="000000" w:sz="4" w:space="0"/>
              <w:left w:val="single" w:color="000000" w:sz="4" w:space="0"/>
              <w:bottom w:val="single" w:color="000000" w:sz="4" w:space="0"/>
              <w:right w:val="single" w:color="000000" w:sz="4" w:space="0"/>
            </w:tcBorders>
          </w:tcPr>
          <w:p w14:paraId="5FC1CE4C">
            <w:pPr>
              <w:pStyle w:val="28"/>
              <w:rPr>
                <w:rFonts w:hint="eastAsia" w:ascii="仿宋" w:hAnsi="仿宋" w:eastAsia="仿宋" w:cs="仿宋"/>
                <w:sz w:val="28"/>
                <w:szCs w:val="28"/>
                <w:highlight w:val="none"/>
              </w:rPr>
            </w:pPr>
            <w:r>
              <w:rPr>
                <w:rFonts w:hint="eastAsia" w:ascii="仿宋" w:hAnsi="仿宋" w:eastAsia="仿宋" w:cs="仿宋"/>
                <w:sz w:val="28"/>
                <w:szCs w:val="28"/>
                <w:highlight w:val="none"/>
              </w:rPr>
              <w:t>10</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8E35A">
            <w:pPr>
              <w:pStyle w:val="28"/>
              <w:rPr>
                <w:rFonts w:hint="eastAsia" w:ascii="仿宋" w:hAnsi="仿宋" w:eastAsia="仿宋" w:cs="仿宋"/>
                <w:sz w:val="28"/>
                <w:szCs w:val="28"/>
                <w:highlight w:val="none"/>
              </w:rPr>
            </w:pPr>
            <w:r>
              <w:rPr>
                <w:rFonts w:hint="eastAsia" w:ascii="仿宋" w:hAnsi="仿宋" w:eastAsia="仿宋" w:cs="仿宋"/>
                <w:sz w:val="28"/>
                <w:szCs w:val="28"/>
                <w:highlight w:val="none"/>
              </w:rPr>
              <w:t>100</w:t>
            </w:r>
          </w:p>
        </w:tc>
      </w:tr>
      <w:tr w14:paraId="00091D7A">
        <w:tblPrEx>
          <w:tblCellMar>
            <w:top w:w="0" w:type="dxa"/>
            <w:left w:w="0" w:type="dxa"/>
            <w:bottom w:w="0" w:type="dxa"/>
            <w:right w:w="0" w:type="dxa"/>
          </w:tblCellMar>
        </w:tblPrEx>
        <w:trPr>
          <w:trHeight w:val="441" w:hRule="atLeast"/>
          <w:jc w:val="center"/>
        </w:trPr>
        <w:tc>
          <w:tcPr>
            <w:tcW w:w="10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D3AB">
            <w:pPr>
              <w:pStyle w:val="28"/>
              <w:rPr>
                <w:rFonts w:hint="eastAsia" w:ascii="仿宋" w:hAnsi="仿宋" w:eastAsia="仿宋" w:cs="仿宋"/>
                <w:sz w:val="28"/>
                <w:szCs w:val="28"/>
                <w:highlight w:val="none"/>
              </w:rPr>
            </w:pPr>
            <w:r>
              <w:rPr>
                <w:rFonts w:hint="eastAsia" w:ascii="仿宋" w:hAnsi="仿宋" w:eastAsia="仿宋" w:cs="仿宋"/>
                <w:sz w:val="28"/>
                <w:szCs w:val="28"/>
                <w:highlight w:val="none"/>
              </w:rPr>
              <w:t>自评得分（分）</w:t>
            </w:r>
          </w:p>
        </w:tc>
        <w:tc>
          <w:tcPr>
            <w:tcW w:w="87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7447C">
            <w:pPr>
              <w:pStyle w:val="28"/>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0</w:t>
            </w:r>
          </w:p>
        </w:tc>
        <w:tc>
          <w:tcPr>
            <w:tcW w:w="6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A6A55">
            <w:pPr>
              <w:pStyle w:val="28"/>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0</w:t>
            </w:r>
          </w:p>
        </w:tc>
        <w:tc>
          <w:tcPr>
            <w:tcW w:w="73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DDEB6">
            <w:pPr>
              <w:pStyle w:val="28"/>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0</w:t>
            </w:r>
          </w:p>
        </w:tc>
        <w:tc>
          <w:tcPr>
            <w:tcW w:w="957" w:type="pct"/>
            <w:tcBorders>
              <w:top w:val="single" w:color="000000" w:sz="4" w:space="0"/>
              <w:left w:val="single" w:color="000000" w:sz="4" w:space="0"/>
              <w:bottom w:val="single" w:color="000000" w:sz="4" w:space="0"/>
              <w:right w:val="single" w:color="000000" w:sz="4" w:space="0"/>
            </w:tcBorders>
          </w:tcPr>
          <w:p w14:paraId="64959B83">
            <w:pPr>
              <w:pStyle w:val="28"/>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0</w:t>
            </w:r>
          </w:p>
        </w:tc>
        <w:tc>
          <w:tcPr>
            <w:tcW w:w="65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0D3A1">
            <w:pPr>
              <w:pStyle w:val="28"/>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0</w:t>
            </w:r>
          </w:p>
        </w:tc>
      </w:tr>
    </w:tbl>
    <w:p w14:paraId="4B0BFDBC">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0E2ADD9A">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（一）项目存在的主要问题</w:t>
      </w:r>
    </w:p>
    <w:p w14:paraId="510B9FA0">
      <w:pPr>
        <w:spacing w:line="560" w:lineRule="exact"/>
        <w:ind w:firstLine="640" w:firstLineChars="200"/>
        <w:rPr>
          <w:rFonts w:ascii="仿宋" w:hAnsi="仿宋" w:eastAsia="仿宋"/>
          <w:sz w:val="32"/>
          <w:szCs w:val="32"/>
        </w:rPr>
      </w:pPr>
      <w:r>
        <w:rPr>
          <w:rFonts w:hint="eastAsia" w:ascii="仿宋_GB2312" w:hAnsi="仿宋_GB2312" w:eastAsia="仿宋_GB2312" w:cs="仿宋_GB2312"/>
          <w:kern w:val="32"/>
          <w:sz w:val="32"/>
          <w:szCs w:val="32"/>
        </w:rPr>
        <w:t>从考核情况看，1-2月份，四区非机动车停放秩序管理不到位问题月均数量为468件。3-6月份非机动车停放秩序管理不到位问题月均问题数量为2414件，较1-2月份月均问题数量上升415%。</w:t>
      </w:r>
    </w:p>
    <w:p w14:paraId="0D4E1805">
      <w:pPr>
        <w:spacing w:line="580" w:lineRule="exact"/>
        <w:ind w:firstLine="640" w:firstLineChars="200"/>
        <w:rPr>
          <w:rFonts w:ascii="仿宋_GB2312" w:hAnsi="仿宋_GB2312" w:eastAsia="仿宋_GB2312" w:cs="仿宋_GB2312"/>
          <w:kern w:val="32"/>
          <w:sz w:val="32"/>
          <w:szCs w:val="32"/>
        </w:rPr>
      </w:pPr>
      <w:r>
        <w:rPr>
          <w:rFonts w:hint="eastAsia" w:ascii="仿宋_GB2312" w:hAnsi="仿宋_GB2312" w:eastAsia="仿宋_GB2312" w:cs="仿宋_GB2312"/>
          <w:kern w:val="32"/>
          <w:sz w:val="32"/>
          <w:szCs w:val="32"/>
        </w:rPr>
        <w:t>针对考核过程问题数量上升幅度大的情况，我局开展调研后了解：一是从3月份起，随着气温升高，我市大气污染防治任务日益加重，各区环卫工人每日道路冲洗、洒水抑尘，树挂白色垃圾、机非隔离带、绿化带垃圾清理等工作任务开始进入常态化，同时随着大批新建道路、城中村内道路清扫保洁的移交，环卫工人承担了大量繁重任务，远超国家规定的劳动定额；二是环卫工人流失率高、招工困难，一线环卫作业人员总体缺口问题较为突出，作业力量不足问题凸显，不能满足立项时作业人员数量。</w:t>
      </w:r>
    </w:p>
    <w:p w14:paraId="623D6E6F">
      <w:pPr>
        <w:spacing w:line="560" w:lineRule="exact"/>
        <w:ind w:firstLine="640" w:firstLineChars="200"/>
        <w:rPr>
          <w:rFonts w:ascii="楷体" w:hAnsi="楷体" w:eastAsia="楷体"/>
          <w:bCs/>
          <w:sz w:val="32"/>
          <w:szCs w:val="32"/>
        </w:rPr>
      </w:pPr>
      <w:r>
        <w:rPr>
          <w:rFonts w:hint="eastAsia" w:ascii="仿宋_GB2312" w:hAnsi="仿宋_GB2312" w:eastAsia="仿宋_GB2312" w:cs="仿宋_GB2312"/>
          <w:kern w:val="32"/>
          <w:sz w:val="32"/>
          <w:szCs w:val="32"/>
        </w:rPr>
        <w:t>后经各区环卫作业部门统计，环卫作业人员普遍难以继续开展非机动车停放秩序管理工作。鉴于整治效果不显著，难以通过资金使用绩效评价，故自2024年3月开始，未再拨付环卫工人奖补资金。</w:t>
      </w:r>
    </w:p>
    <w:p w14:paraId="4DEF7E9F">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4E49C2B9">
      <w:pPr>
        <w:spacing w:line="580" w:lineRule="exact"/>
        <w:ind w:firstLine="640" w:firstLineChars="200"/>
        <w:rPr>
          <w:rFonts w:ascii="楷体" w:hAnsi="楷体" w:eastAsia="楷体"/>
          <w:bCs/>
          <w:sz w:val="32"/>
          <w:szCs w:val="32"/>
        </w:rPr>
      </w:pPr>
      <w:r>
        <w:rPr>
          <w:rFonts w:hint="eastAsia" w:ascii="仿宋_GB2312" w:hAnsi="仿宋_GB2312" w:eastAsia="仿宋_GB2312" w:cs="仿宋_GB2312"/>
          <w:kern w:val="32"/>
          <w:sz w:val="32"/>
          <w:szCs w:val="32"/>
        </w:rPr>
        <w:t>按照市政府主要领导关于环卫工人协助管理非机动车停放秩序工作“要考虑实际工作量，不能一刀切”的批示精神，我局拟从尊重环卫工人意志的角度向市政府建议，调整资金原有使用方式和途径，在减轻环卫工人劳动作业强度的同时，通过其他方式加强城区非机动车停放秩序管理力量</w:t>
      </w:r>
      <w:r>
        <w:rPr>
          <w:rFonts w:hint="eastAsia" w:ascii="仿宋_GB2312" w:eastAsia="仿宋_GB2312"/>
          <w:sz w:val="32"/>
          <w:szCs w:val="32"/>
        </w:rPr>
        <w:t>。</w:t>
      </w:r>
    </w:p>
    <w:p w14:paraId="39B7B7FF">
      <w:pPr>
        <w:spacing w:line="560" w:lineRule="exact"/>
        <w:rPr>
          <w:rFonts w:ascii="仿宋" w:hAnsi="仿宋" w:eastAsia="仿宋"/>
        </w:rPr>
      </w:pPr>
    </w:p>
    <w:sectPr>
      <w:headerReference r:id="rId3" w:type="default"/>
      <w:footerReference r:id="rId4"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FD336">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36DFE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7336DFE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7657A">
    <w:pPr>
      <w:pStyle w:val="1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C61DA"/>
    <w:multiLevelType w:val="multilevel"/>
    <w:tmpl w:val="82BC61DA"/>
    <w:lvl w:ilvl="0" w:tentative="0">
      <w:start w:val="1"/>
      <w:numFmt w:val="chineseCounting"/>
      <w:pStyle w:val="2"/>
      <w:suff w:val="nothing"/>
      <w:lvlText w:val="%1、"/>
      <w:lvlJc w:val="left"/>
      <w:pPr>
        <w:tabs>
          <w:tab w:val="left" w:pos="0"/>
        </w:tabs>
        <w:ind w:left="0" w:firstLine="0"/>
      </w:pPr>
      <w:rPr>
        <w:rFonts w:hint="eastAsia" w:eastAsia="黑体"/>
        <w:sz w:val="32"/>
      </w:rPr>
    </w:lvl>
    <w:lvl w:ilvl="1" w:tentative="0">
      <w:start w:val="1"/>
      <w:numFmt w:val="chineseCounting"/>
      <w:pStyle w:val="3"/>
      <w:suff w:val="nothing"/>
      <w:lvlText w:val="（%2）"/>
      <w:lvlJc w:val="left"/>
      <w:pPr>
        <w:tabs>
          <w:tab w:val="left" w:pos="0"/>
        </w:tabs>
        <w:ind w:left="0" w:firstLine="0"/>
      </w:pPr>
      <w:rPr>
        <w:rFonts w:hint="eastAsia" w:eastAsia="楷体"/>
        <w:b/>
        <w:sz w:val="32"/>
      </w:rPr>
    </w:lvl>
    <w:lvl w:ilvl="2" w:tentative="0">
      <w:start w:val="1"/>
      <w:numFmt w:val="decimal"/>
      <w:pStyle w:val="4"/>
      <w:suff w:val="nothing"/>
      <w:lvlText w:val="%3、"/>
      <w:lvlJc w:val="left"/>
      <w:pPr>
        <w:ind w:left="0" w:firstLine="400"/>
      </w:pPr>
      <w:rPr>
        <w:rFonts w:hint="eastAsia" w:eastAsia="仿宋_GB2312"/>
        <w:b/>
        <w:sz w:val="32"/>
      </w:rPr>
    </w:lvl>
    <w:lvl w:ilvl="3" w:tentative="0">
      <w:start w:val="1"/>
      <w:numFmt w:val="decimal"/>
      <w:pStyle w:val="5"/>
      <w:suff w:val="nothing"/>
      <w:lvlText w:val="（%4）"/>
      <w:lvlJc w:val="left"/>
      <w:pPr>
        <w:tabs>
          <w:tab w:val="left" w:pos="0"/>
        </w:tabs>
        <w:ind w:left="0" w:firstLine="402"/>
      </w:pPr>
      <w:rPr>
        <w:rFonts w:hint="eastAsia" w:ascii="仿宋_GB2312" w:hAnsi="仿宋_GB2312" w:eastAsia="仿宋_GB2312" w:cs="仿宋_GB2312"/>
        <w:sz w:val="32"/>
        <w:szCs w:val="32"/>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
    <w:nsid w:val="F6C6A8B6"/>
    <w:multiLevelType w:val="singleLevel"/>
    <w:tmpl w:val="F6C6A8B6"/>
    <w:lvl w:ilvl="0" w:tentative="0">
      <w:start w:val="1"/>
      <w:numFmt w:val="decimal"/>
      <w:suff w:val="nothing"/>
      <w:lvlText w:val="（%1）"/>
      <w:lvlJc w:val="left"/>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2F2E98"/>
    <w:rsid w:val="003021AA"/>
    <w:rsid w:val="00721C4E"/>
    <w:rsid w:val="007B0AB6"/>
    <w:rsid w:val="007E6C1F"/>
    <w:rsid w:val="008246DE"/>
    <w:rsid w:val="008B5355"/>
    <w:rsid w:val="008B6975"/>
    <w:rsid w:val="00913706"/>
    <w:rsid w:val="009D34BA"/>
    <w:rsid w:val="00AF566A"/>
    <w:rsid w:val="00AF7294"/>
    <w:rsid w:val="00B53D50"/>
    <w:rsid w:val="00B5775C"/>
    <w:rsid w:val="00B6553A"/>
    <w:rsid w:val="00BC3B91"/>
    <w:rsid w:val="00C401C1"/>
    <w:rsid w:val="00C64B01"/>
    <w:rsid w:val="00CC41FF"/>
    <w:rsid w:val="00E06FA2"/>
    <w:rsid w:val="00E659BC"/>
    <w:rsid w:val="00EA4CBF"/>
    <w:rsid w:val="00F872A3"/>
    <w:rsid w:val="02647B68"/>
    <w:rsid w:val="02B43A28"/>
    <w:rsid w:val="02DB77D9"/>
    <w:rsid w:val="03C12F1A"/>
    <w:rsid w:val="0DC35AF4"/>
    <w:rsid w:val="0EB97A43"/>
    <w:rsid w:val="0EBD2122"/>
    <w:rsid w:val="11B71E6A"/>
    <w:rsid w:val="132D7208"/>
    <w:rsid w:val="14CF5F37"/>
    <w:rsid w:val="1AAF0063"/>
    <w:rsid w:val="1BE140DE"/>
    <w:rsid w:val="1FDC50EC"/>
    <w:rsid w:val="248C197D"/>
    <w:rsid w:val="252959AF"/>
    <w:rsid w:val="277A6671"/>
    <w:rsid w:val="292D35B7"/>
    <w:rsid w:val="338476F0"/>
    <w:rsid w:val="33EB6CFF"/>
    <w:rsid w:val="39F40A8A"/>
    <w:rsid w:val="3AD349AA"/>
    <w:rsid w:val="3B625C0A"/>
    <w:rsid w:val="3CEE1963"/>
    <w:rsid w:val="3F253F62"/>
    <w:rsid w:val="404B5C4A"/>
    <w:rsid w:val="4DB36ABD"/>
    <w:rsid w:val="512260B4"/>
    <w:rsid w:val="597244E8"/>
    <w:rsid w:val="5DA62BB3"/>
    <w:rsid w:val="66AF0CE5"/>
    <w:rsid w:val="66DB2FD4"/>
    <w:rsid w:val="68025E5D"/>
    <w:rsid w:val="69E34358"/>
    <w:rsid w:val="6E5B14A6"/>
    <w:rsid w:val="6EC324B7"/>
    <w:rsid w:val="7BB51E06"/>
    <w:rsid w:val="7C387F7C"/>
    <w:rsid w:val="7E5F40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9"/>
    <w:qFormat/>
    <w:uiPriority w:val="0"/>
    <w:pPr>
      <w:keepNext/>
      <w:keepLines/>
      <w:numPr>
        <w:ilvl w:val="0"/>
        <w:numId w:val="1"/>
      </w:numPr>
      <w:adjustRightInd w:val="0"/>
      <w:snapToGrid w:val="0"/>
      <w:spacing w:line="360" w:lineRule="auto"/>
      <w:ind w:firstLine="640" w:firstLineChars="200"/>
      <w:outlineLvl w:val="0"/>
    </w:pPr>
    <w:rPr>
      <w:rFonts w:ascii="仿宋_GB2312" w:hAnsi="仿宋_GB2312" w:eastAsia="黑体" w:cstheme="minorBidi"/>
      <w:b/>
      <w:kern w:val="44"/>
      <w:sz w:val="32"/>
      <w:szCs w:val="24"/>
    </w:rPr>
  </w:style>
  <w:style w:type="paragraph" w:styleId="3">
    <w:name w:val="heading 2"/>
    <w:basedOn w:val="1"/>
    <w:next w:val="1"/>
    <w:link w:val="20"/>
    <w:unhideWhenUsed/>
    <w:qFormat/>
    <w:uiPriority w:val="0"/>
    <w:pPr>
      <w:keepNext/>
      <w:keepLines/>
      <w:numPr>
        <w:ilvl w:val="1"/>
        <w:numId w:val="1"/>
      </w:numPr>
      <w:adjustRightInd w:val="0"/>
      <w:snapToGrid w:val="0"/>
      <w:spacing w:line="360" w:lineRule="auto"/>
      <w:ind w:firstLine="640" w:firstLineChars="200"/>
      <w:outlineLvl w:val="1"/>
    </w:pPr>
    <w:rPr>
      <w:rFonts w:ascii="Arial" w:hAnsi="Arial" w:eastAsia="楷体" w:cstheme="minorBidi"/>
      <w:b/>
      <w:sz w:val="32"/>
      <w:szCs w:val="24"/>
    </w:rPr>
  </w:style>
  <w:style w:type="paragraph" w:styleId="4">
    <w:name w:val="heading 3"/>
    <w:basedOn w:val="1"/>
    <w:next w:val="1"/>
    <w:link w:val="21"/>
    <w:unhideWhenUsed/>
    <w:qFormat/>
    <w:uiPriority w:val="0"/>
    <w:pPr>
      <w:numPr>
        <w:ilvl w:val="2"/>
        <w:numId w:val="1"/>
      </w:numPr>
      <w:adjustRightInd w:val="0"/>
      <w:snapToGrid w:val="0"/>
      <w:spacing w:line="360" w:lineRule="auto"/>
      <w:ind w:firstLine="640" w:firstLineChars="200"/>
      <w:jc w:val="left"/>
      <w:outlineLvl w:val="2"/>
    </w:pPr>
    <w:rPr>
      <w:rFonts w:hint="eastAsia" w:ascii="宋体" w:hAnsi="宋体" w:eastAsia="仿宋_GB2312" w:cs="Times New Roman"/>
      <w:b/>
      <w:bCs/>
      <w:kern w:val="0"/>
      <w:sz w:val="32"/>
      <w:szCs w:val="27"/>
    </w:rPr>
  </w:style>
  <w:style w:type="paragraph" w:styleId="5">
    <w:name w:val="heading 4"/>
    <w:basedOn w:val="1"/>
    <w:next w:val="1"/>
    <w:link w:val="22"/>
    <w:unhideWhenUsed/>
    <w:qFormat/>
    <w:uiPriority w:val="0"/>
    <w:pPr>
      <w:keepNext/>
      <w:keepLines/>
      <w:numPr>
        <w:ilvl w:val="3"/>
        <w:numId w:val="1"/>
      </w:numPr>
      <w:adjustRightInd w:val="0"/>
      <w:snapToGrid w:val="0"/>
      <w:spacing w:line="360" w:lineRule="auto"/>
      <w:ind w:firstLine="640" w:firstLineChars="200"/>
      <w:outlineLvl w:val="3"/>
    </w:pPr>
    <w:rPr>
      <w:rFonts w:ascii="仿宋_GB2312" w:hAnsi="仿宋_GB2312" w:eastAsia="仿宋_GB2312" w:cstheme="minorBidi"/>
      <w:b/>
      <w:sz w:val="32"/>
      <w:szCs w:val="24"/>
    </w:rPr>
  </w:style>
  <w:style w:type="paragraph" w:styleId="6">
    <w:name w:val="heading 5"/>
    <w:basedOn w:val="1"/>
    <w:next w:val="1"/>
    <w:link w:val="23"/>
    <w:semiHidden/>
    <w:unhideWhenUsed/>
    <w:qFormat/>
    <w:uiPriority w:val="0"/>
    <w:pPr>
      <w:keepNext/>
      <w:keepLines/>
      <w:numPr>
        <w:ilvl w:val="4"/>
        <w:numId w:val="1"/>
      </w:numPr>
      <w:adjustRightInd w:val="0"/>
      <w:snapToGrid w:val="0"/>
      <w:spacing w:before="280" w:after="290" w:line="372" w:lineRule="auto"/>
      <w:ind w:firstLine="0"/>
      <w:outlineLvl w:val="4"/>
    </w:pPr>
    <w:rPr>
      <w:rFonts w:ascii="仿宋_GB2312" w:hAnsi="仿宋_GB2312" w:eastAsia="仿宋_GB2312" w:cstheme="minorBidi"/>
      <w:b/>
      <w:sz w:val="28"/>
      <w:szCs w:val="24"/>
    </w:rPr>
  </w:style>
  <w:style w:type="paragraph" w:styleId="7">
    <w:name w:val="heading 6"/>
    <w:basedOn w:val="1"/>
    <w:next w:val="1"/>
    <w:link w:val="24"/>
    <w:semiHidden/>
    <w:unhideWhenUsed/>
    <w:qFormat/>
    <w:uiPriority w:val="0"/>
    <w:pPr>
      <w:keepNext/>
      <w:keepLines/>
      <w:numPr>
        <w:ilvl w:val="5"/>
        <w:numId w:val="1"/>
      </w:numPr>
      <w:adjustRightInd w:val="0"/>
      <w:snapToGrid w:val="0"/>
      <w:spacing w:before="240" w:after="64" w:line="317" w:lineRule="auto"/>
      <w:ind w:firstLine="0"/>
      <w:outlineLvl w:val="5"/>
    </w:pPr>
    <w:rPr>
      <w:rFonts w:ascii="Arial" w:hAnsi="Arial" w:eastAsia="黑体" w:cstheme="minorBidi"/>
      <w:b/>
      <w:sz w:val="24"/>
      <w:szCs w:val="24"/>
    </w:rPr>
  </w:style>
  <w:style w:type="paragraph" w:styleId="8">
    <w:name w:val="heading 7"/>
    <w:basedOn w:val="1"/>
    <w:next w:val="1"/>
    <w:link w:val="25"/>
    <w:semiHidden/>
    <w:unhideWhenUsed/>
    <w:qFormat/>
    <w:uiPriority w:val="0"/>
    <w:pPr>
      <w:keepNext/>
      <w:keepLines/>
      <w:numPr>
        <w:ilvl w:val="6"/>
        <w:numId w:val="1"/>
      </w:numPr>
      <w:adjustRightInd w:val="0"/>
      <w:snapToGrid w:val="0"/>
      <w:spacing w:before="240" w:after="64" w:line="317" w:lineRule="auto"/>
      <w:ind w:firstLine="0"/>
      <w:outlineLvl w:val="6"/>
    </w:pPr>
    <w:rPr>
      <w:rFonts w:ascii="仿宋_GB2312" w:hAnsi="仿宋_GB2312" w:eastAsia="仿宋_GB2312" w:cstheme="minorBidi"/>
      <w:b/>
      <w:sz w:val="24"/>
      <w:szCs w:val="24"/>
    </w:rPr>
  </w:style>
  <w:style w:type="paragraph" w:styleId="9">
    <w:name w:val="heading 8"/>
    <w:basedOn w:val="1"/>
    <w:next w:val="1"/>
    <w:link w:val="26"/>
    <w:semiHidden/>
    <w:unhideWhenUsed/>
    <w:qFormat/>
    <w:uiPriority w:val="0"/>
    <w:pPr>
      <w:keepNext/>
      <w:keepLines/>
      <w:numPr>
        <w:ilvl w:val="7"/>
        <w:numId w:val="1"/>
      </w:numPr>
      <w:adjustRightInd w:val="0"/>
      <w:snapToGrid w:val="0"/>
      <w:spacing w:before="240" w:after="64" w:line="317" w:lineRule="auto"/>
      <w:ind w:firstLine="0"/>
      <w:outlineLvl w:val="7"/>
    </w:pPr>
    <w:rPr>
      <w:rFonts w:ascii="Arial" w:hAnsi="Arial" w:eastAsia="黑体" w:cstheme="minorBidi"/>
      <w:sz w:val="24"/>
      <w:szCs w:val="24"/>
    </w:rPr>
  </w:style>
  <w:style w:type="paragraph" w:styleId="10">
    <w:name w:val="heading 9"/>
    <w:basedOn w:val="1"/>
    <w:next w:val="1"/>
    <w:link w:val="27"/>
    <w:semiHidden/>
    <w:unhideWhenUsed/>
    <w:qFormat/>
    <w:uiPriority w:val="0"/>
    <w:pPr>
      <w:keepNext/>
      <w:keepLines/>
      <w:numPr>
        <w:ilvl w:val="8"/>
        <w:numId w:val="1"/>
      </w:numPr>
      <w:adjustRightInd w:val="0"/>
      <w:snapToGrid w:val="0"/>
      <w:spacing w:before="240" w:after="64" w:line="317" w:lineRule="auto"/>
      <w:ind w:firstLine="0"/>
      <w:outlineLvl w:val="8"/>
    </w:pPr>
    <w:rPr>
      <w:rFonts w:ascii="Arial" w:hAnsi="Arial" w:eastAsia="黑体" w:cstheme="minorBidi"/>
      <w:szCs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Body Text Indent"/>
    <w:basedOn w:val="1"/>
    <w:next w:val="13"/>
    <w:qFormat/>
    <w:uiPriority w:val="0"/>
    <w:pPr>
      <w:ind w:left="420" w:leftChars="200"/>
    </w:pPr>
    <w:rPr>
      <w:rFonts w:ascii="Times New Roman" w:hAnsi="Times New Roman" w:eastAsia="宋体" w:cs="Times New Roman"/>
    </w:rPr>
  </w:style>
  <w:style w:type="paragraph" w:styleId="13">
    <w:name w:val="Subtitle"/>
    <w:basedOn w:val="1"/>
    <w:next w:val="1"/>
    <w:qFormat/>
    <w:uiPriority w:val="0"/>
    <w:pPr>
      <w:spacing w:line="700" w:lineRule="exact"/>
      <w:jc w:val="center"/>
      <w:outlineLvl w:val="1"/>
    </w:pPr>
    <w:rPr>
      <w:rFonts w:ascii="Arial" w:hAnsi="Arial" w:eastAsia="方正小标宋简体" w:cs="Arial"/>
      <w:b/>
      <w:bCs/>
      <w:kern w:val="28"/>
      <w:sz w:val="44"/>
      <w:szCs w:val="4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16">
    <w:name w:val="Body Text First Indent 2"/>
    <w:basedOn w:val="12"/>
    <w:qFormat/>
    <w:uiPriority w:val="0"/>
  </w:style>
  <w:style w:type="character" w:customStyle="1" w:styleId="19">
    <w:name w:val="标题 1 Char"/>
    <w:basedOn w:val="18"/>
    <w:link w:val="2"/>
    <w:qFormat/>
    <w:uiPriority w:val="0"/>
    <w:rPr>
      <w:rFonts w:ascii="仿宋_GB2312" w:hAnsi="仿宋_GB2312" w:eastAsia="黑体" w:cstheme="minorBidi"/>
      <w:b/>
      <w:kern w:val="44"/>
      <w:sz w:val="32"/>
      <w:szCs w:val="24"/>
    </w:rPr>
  </w:style>
  <w:style w:type="character" w:customStyle="1" w:styleId="20">
    <w:name w:val="标题 2 Char"/>
    <w:basedOn w:val="18"/>
    <w:link w:val="3"/>
    <w:qFormat/>
    <w:uiPriority w:val="0"/>
    <w:rPr>
      <w:rFonts w:ascii="Arial" w:hAnsi="Arial" w:eastAsia="楷体" w:cstheme="minorBidi"/>
      <w:b/>
      <w:kern w:val="2"/>
      <w:sz w:val="32"/>
      <w:szCs w:val="24"/>
    </w:rPr>
  </w:style>
  <w:style w:type="character" w:customStyle="1" w:styleId="21">
    <w:name w:val="标题 3 Char"/>
    <w:basedOn w:val="18"/>
    <w:link w:val="4"/>
    <w:qFormat/>
    <w:uiPriority w:val="0"/>
    <w:rPr>
      <w:rFonts w:ascii="宋体" w:hAnsi="宋体" w:eastAsia="仿宋_GB2312"/>
      <w:b/>
      <w:bCs/>
      <w:sz w:val="32"/>
      <w:szCs w:val="27"/>
    </w:rPr>
  </w:style>
  <w:style w:type="character" w:customStyle="1" w:styleId="22">
    <w:name w:val="标题 4 Char"/>
    <w:basedOn w:val="18"/>
    <w:link w:val="5"/>
    <w:qFormat/>
    <w:uiPriority w:val="0"/>
    <w:rPr>
      <w:rFonts w:ascii="仿宋_GB2312" w:hAnsi="仿宋_GB2312" w:eastAsia="仿宋_GB2312" w:cstheme="minorBidi"/>
      <w:b/>
      <w:kern w:val="2"/>
      <w:sz w:val="32"/>
      <w:szCs w:val="24"/>
    </w:rPr>
  </w:style>
  <w:style w:type="character" w:customStyle="1" w:styleId="23">
    <w:name w:val="标题 5 Char"/>
    <w:basedOn w:val="18"/>
    <w:link w:val="6"/>
    <w:semiHidden/>
    <w:qFormat/>
    <w:uiPriority w:val="0"/>
    <w:rPr>
      <w:rFonts w:ascii="仿宋_GB2312" w:hAnsi="仿宋_GB2312" w:eastAsia="仿宋_GB2312" w:cstheme="minorBidi"/>
      <w:b/>
      <w:kern w:val="2"/>
      <w:sz w:val="28"/>
      <w:szCs w:val="24"/>
    </w:rPr>
  </w:style>
  <w:style w:type="character" w:customStyle="1" w:styleId="24">
    <w:name w:val="标题 6 Char"/>
    <w:basedOn w:val="18"/>
    <w:link w:val="7"/>
    <w:semiHidden/>
    <w:qFormat/>
    <w:uiPriority w:val="0"/>
    <w:rPr>
      <w:rFonts w:ascii="Arial" w:hAnsi="Arial" w:eastAsia="黑体" w:cstheme="minorBidi"/>
      <w:b/>
      <w:kern w:val="2"/>
      <w:sz w:val="24"/>
      <w:szCs w:val="24"/>
    </w:rPr>
  </w:style>
  <w:style w:type="character" w:customStyle="1" w:styleId="25">
    <w:name w:val="标题 7 Char"/>
    <w:basedOn w:val="18"/>
    <w:link w:val="8"/>
    <w:semiHidden/>
    <w:qFormat/>
    <w:uiPriority w:val="0"/>
    <w:rPr>
      <w:rFonts w:ascii="仿宋_GB2312" w:hAnsi="仿宋_GB2312" w:eastAsia="仿宋_GB2312" w:cstheme="minorBidi"/>
      <w:b/>
      <w:kern w:val="2"/>
      <w:sz w:val="24"/>
      <w:szCs w:val="24"/>
    </w:rPr>
  </w:style>
  <w:style w:type="character" w:customStyle="1" w:styleId="26">
    <w:name w:val="标题 8 Char"/>
    <w:basedOn w:val="18"/>
    <w:link w:val="9"/>
    <w:semiHidden/>
    <w:qFormat/>
    <w:uiPriority w:val="0"/>
    <w:rPr>
      <w:rFonts w:ascii="Arial" w:hAnsi="Arial" w:eastAsia="黑体" w:cstheme="minorBidi"/>
      <w:kern w:val="2"/>
      <w:sz w:val="24"/>
      <w:szCs w:val="24"/>
    </w:rPr>
  </w:style>
  <w:style w:type="character" w:customStyle="1" w:styleId="27">
    <w:name w:val="标题 9 Char"/>
    <w:basedOn w:val="18"/>
    <w:link w:val="10"/>
    <w:semiHidden/>
    <w:qFormat/>
    <w:uiPriority w:val="0"/>
    <w:rPr>
      <w:rFonts w:ascii="Arial" w:hAnsi="Arial" w:eastAsia="黑体" w:cstheme="minorBidi"/>
      <w:kern w:val="2"/>
      <w:sz w:val="21"/>
      <w:szCs w:val="24"/>
    </w:rPr>
  </w:style>
  <w:style w:type="paragraph" w:customStyle="1" w:styleId="28">
    <w:name w:val="表格"/>
    <w:basedOn w:val="1"/>
    <w:qFormat/>
    <w:uiPriority w:val="0"/>
    <w:pPr>
      <w:spacing w:line="240" w:lineRule="auto"/>
      <w:ind w:firstLine="0" w:firstLineChars="0"/>
      <w:jc w:val="center"/>
    </w:pPr>
    <w:rPr>
      <w:rFonts w:ascii="Times New Roman" w:hAnsi="Times New Roman"/>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3335</Words>
  <Characters>3457</Characters>
  <Lines>17</Lines>
  <Paragraphs>4</Paragraphs>
  <TotalTime>8</TotalTime>
  <ScaleCrop>false</ScaleCrop>
  <LinksUpToDate>false</LinksUpToDate>
  <CharactersWithSpaces>3485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2025-03-14T07:06:00Z</dcterms:created>
  <dc:creator>欣欣大人</dc:creator>
  <cp:lastModifiedBy>微信用户</cp:lastModifiedBy>
  <cp:lastPrinted>2024-03-06T07:38:00Z</cp:lastPrinted>
  <dcterms:modified xsi:type="dcterms:W3CDTF">2025-04-29T08:42:23Z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B6EB7C7CA9E54B6CAA2D50499721EE42_13</vt:lpwstr>
  </property>
  <property fmtid="{D5CDD505-2E9C-101B-9397-08002B2CF9AE}" pid="4" name="KSOTemplateDocerSaveRecord">
    <vt:lpwstr>eyJoZGlkIjoiYjg3YjZkMDZiMTdkMmI2NjRlZDc4NzhjNTZmMTc0YzgiLCJ1c2VySWQiOiIxMjc0MzI0MjM4In0=</vt:lpwstr>
  </property>
</Properties>
</file>