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F5FC6">
      <w:pPr>
        <w:adjustRightInd w:val="0"/>
        <w:snapToGrid w:val="0"/>
        <w:spacing w:line="560" w:lineRule="exact"/>
        <w:rPr>
          <w:rFonts w:hint="eastAsia" w:ascii="黑体" w:hAnsi="黑体" w:eastAsia="黑体" w:cs="黑体"/>
          <w:sz w:val="32"/>
          <w:szCs w:val="32"/>
          <w:highlight w:val="none"/>
        </w:rPr>
      </w:pPr>
      <w:bookmarkStart w:id="0" w:name="_GoBack"/>
      <w:r>
        <w:rPr>
          <w:rFonts w:hint="eastAsia" w:ascii="黑体" w:hAnsi="黑体" w:eastAsia="黑体" w:cs="黑体"/>
          <w:sz w:val="32"/>
          <w:szCs w:val="32"/>
          <w:highlight w:val="none"/>
        </w:rPr>
        <w:t>附件3</w:t>
      </w:r>
    </w:p>
    <w:p w14:paraId="3E067320">
      <w:pPr>
        <w:spacing w:line="560" w:lineRule="exact"/>
        <w:jc w:val="center"/>
        <w:rPr>
          <w:rFonts w:hint="eastAsia" w:ascii="宋体" w:hAnsi="宋体" w:cs="宋体"/>
          <w:b/>
          <w:bCs/>
          <w:sz w:val="44"/>
          <w:szCs w:val="44"/>
          <w:highlight w:val="none"/>
        </w:rPr>
      </w:pPr>
      <w:r>
        <w:rPr>
          <w:rFonts w:hint="eastAsia" w:ascii="宋体" w:hAnsi="宋体" w:cs="宋体"/>
          <w:b/>
          <w:bCs/>
          <w:sz w:val="44"/>
          <w:szCs w:val="44"/>
          <w:highlight w:val="none"/>
          <w:lang w:val="en-US" w:eastAsia="zh-CN"/>
        </w:rPr>
        <w:t>污水污泥处理经费</w:t>
      </w:r>
      <w:r>
        <w:rPr>
          <w:rFonts w:hint="eastAsia" w:ascii="宋体" w:hAnsi="宋体" w:cs="宋体"/>
          <w:b/>
          <w:bCs/>
          <w:sz w:val="44"/>
          <w:szCs w:val="44"/>
          <w:highlight w:val="none"/>
        </w:rPr>
        <w:t>项目</w:t>
      </w:r>
    </w:p>
    <w:p w14:paraId="790916FD">
      <w:pPr>
        <w:spacing w:line="560" w:lineRule="exact"/>
        <w:jc w:val="center"/>
        <w:rPr>
          <w:rFonts w:ascii="宋体" w:hAnsi="宋体" w:cs="宋体"/>
          <w:sz w:val="32"/>
          <w:szCs w:val="32"/>
          <w:highlight w:val="none"/>
        </w:rPr>
      </w:pPr>
      <w:r>
        <w:rPr>
          <w:rFonts w:hint="eastAsia" w:ascii="宋体" w:hAnsi="宋体" w:cs="宋体"/>
          <w:b/>
          <w:bCs/>
          <w:sz w:val="44"/>
          <w:szCs w:val="44"/>
          <w:highlight w:val="none"/>
        </w:rPr>
        <w:t>自评报告</w:t>
      </w:r>
    </w:p>
    <w:p w14:paraId="04E1BC51">
      <w:pPr>
        <w:spacing w:line="560" w:lineRule="exact"/>
        <w:jc w:val="center"/>
        <w:rPr>
          <w:rFonts w:ascii="华文楷体" w:eastAsia="华文楷体"/>
          <w:sz w:val="32"/>
          <w:szCs w:val="32"/>
          <w:highlight w:val="none"/>
        </w:rPr>
      </w:pPr>
    </w:p>
    <w:p w14:paraId="583227D8">
      <w:pPr>
        <w:adjustRightInd w:val="0"/>
        <w:snapToGrid w:val="0"/>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根据《石家庄市市级部门项目绩效自评管理办法》（石财绩〔2020〕5号），</w:t>
      </w:r>
      <w:r>
        <w:rPr>
          <w:rFonts w:hint="eastAsia" w:ascii="仿宋" w:hAnsi="仿宋" w:eastAsia="仿宋" w:cs="仿宋"/>
          <w:sz w:val="32"/>
          <w:szCs w:val="32"/>
          <w:highlight w:val="none"/>
        </w:rPr>
        <w:t>遵循全面覆盖、程序简便、客观公正、公开透明的原则</w:t>
      </w:r>
      <w:r>
        <w:rPr>
          <w:rFonts w:hint="eastAsia" w:ascii="仿宋" w:hAnsi="仿宋" w:eastAsia="仿宋"/>
          <w:sz w:val="32"/>
          <w:szCs w:val="32"/>
          <w:highlight w:val="none"/>
        </w:rPr>
        <w:t>，对</w:t>
      </w:r>
      <w:r>
        <w:rPr>
          <w:rFonts w:hint="eastAsia" w:ascii="仿宋" w:hAnsi="仿宋" w:eastAsia="仿宋"/>
          <w:sz w:val="32"/>
          <w:szCs w:val="32"/>
          <w:highlight w:val="none"/>
          <w:lang w:val="en-US" w:eastAsia="zh-CN"/>
        </w:rPr>
        <w:t>污水污泥处理经费</w:t>
      </w:r>
      <w:r>
        <w:rPr>
          <w:rFonts w:hint="eastAsia" w:ascii="仿宋" w:hAnsi="仿宋" w:eastAsia="仿宋"/>
          <w:sz w:val="32"/>
          <w:szCs w:val="32"/>
          <w:highlight w:val="none"/>
        </w:rPr>
        <w:t>项目实施了财政绩效自评价，形成本评价报告。</w:t>
      </w:r>
    </w:p>
    <w:p w14:paraId="56BC94D9">
      <w:pPr>
        <w:adjustRightInd w:val="0"/>
        <w:snapToGrid w:val="0"/>
        <w:spacing w:line="560" w:lineRule="exact"/>
        <w:ind w:firstLine="640" w:firstLineChars="200"/>
        <w:rPr>
          <w:rFonts w:ascii="黑体" w:hAnsi="黑体" w:eastAsia="黑体"/>
          <w:b/>
          <w:bCs/>
          <w:sz w:val="32"/>
          <w:szCs w:val="36"/>
          <w:highlight w:val="none"/>
        </w:rPr>
      </w:pPr>
      <w:r>
        <w:rPr>
          <w:rFonts w:hint="eastAsia" w:ascii="黑体" w:hAnsi="黑体" w:eastAsia="黑体"/>
          <w:sz w:val="32"/>
          <w:szCs w:val="32"/>
          <w:highlight w:val="none"/>
        </w:rPr>
        <w:t>一、项目</w:t>
      </w:r>
      <w:r>
        <w:rPr>
          <w:rFonts w:hint="eastAsia" w:ascii="黑体" w:hAnsi="黑体" w:eastAsia="黑体"/>
          <w:sz w:val="32"/>
          <w:szCs w:val="36"/>
          <w:highlight w:val="none"/>
        </w:rPr>
        <w:t>基本情况</w:t>
      </w:r>
    </w:p>
    <w:p w14:paraId="16D968EC">
      <w:pPr>
        <w:adjustRightInd w:val="0"/>
        <w:snapToGrid w:val="0"/>
        <w:spacing w:line="560" w:lineRule="exact"/>
        <w:ind w:firstLine="640" w:firstLineChars="200"/>
        <w:rPr>
          <w:rFonts w:ascii="楷体" w:hAnsi="楷体" w:eastAsia="楷体" w:cs="楷体_GB2312"/>
          <w:bCs/>
          <w:sz w:val="32"/>
          <w:szCs w:val="32"/>
          <w:highlight w:val="none"/>
        </w:rPr>
      </w:pPr>
      <w:r>
        <w:rPr>
          <w:rFonts w:hint="eastAsia" w:ascii="楷体" w:hAnsi="楷体" w:eastAsia="楷体" w:cs="楷体_GB2312"/>
          <w:bCs/>
          <w:sz w:val="32"/>
          <w:szCs w:val="32"/>
          <w:highlight w:val="none"/>
        </w:rPr>
        <w:t>（一）项目概况</w:t>
      </w:r>
    </w:p>
    <w:p w14:paraId="6B36D747">
      <w:pPr>
        <w:adjustRightInd w:val="0"/>
        <w:snapToGrid w:val="0"/>
        <w:spacing w:line="560" w:lineRule="exact"/>
        <w:ind w:firstLine="800" w:firstLineChars="250"/>
        <w:rPr>
          <w:rFonts w:hint="eastAsia" w:ascii="仿宋" w:hAnsi="仿宋" w:eastAsia="仿宋"/>
          <w:sz w:val="32"/>
          <w:szCs w:val="32"/>
          <w:highlight w:val="none"/>
          <w:lang w:val="en-US" w:eastAsia="zh-CN"/>
        </w:rPr>
      </w:pPr>
      <w:r>
        <w:rPr>
          <w:rFonts w:hint="eastAsia" w:ascii="仿宋" w:hAnsi="仿宋" w:eastAsia="仿宋"/>
          <w:sz w:val="32"/>
          <w:szCs w:val="32"/>
          <w:highlight w:val="none"/>
        </w:rPr>
        <w:t>1</w:t>
      </w:r>
      <w:r>
        <w:rPr>
          <w:rFonts w:hint="eastAsia" w:ascii="仿宋" w:hAnsi="仿宋" w:eastAsia="仿宋"/>
          <w:sz w:val="32"/>
          <w:szCs w:val="32"/>
          <w:highlight w:val="none"/>
          <w:lang w:val="en-US" w:eastAsia="zh-CN"/>
        </w:rPr>
        <w:t>.项目实施单位及项目立项等基本情况</w:t>
      </w:r>
    </w:p>
    <w:p w14:paraId="2884C8DF">
      <w:pPr>
        <w:adjustRightInd w:val="0"/>
        <w:snapToGrid w:val="0"/>
        <w:spacing w:line="560" w:lineRule="exact"/>
        <w:ind w:firstLine="800" w:firstLineChars="250"/>
        <w:rPr>
          <w:rFonts w:hint="eastAsia" w:ascii="仿宋" w:hAnsi="仿宋" w:eastAsia="仿宋"/>
          <w:sz w:val="32"/>
          <w:szCs w:val="32"/>
          <w:highlight w:val="none"/>
        </w:rPr>
      </w:pPr>
      <w:r>
        <w:rPr>
          <w:rFonts w:hint="eastAsia" w:ascii="仿宋" w:hAnsi="仿宋" w:eastAsia="仿宋"/>
          <w:sz w:val="32"/>
          <w:szCs w:val="32"/>
          <w:highlight w:val="none"/>
          <w:lang w:val="en-US" w:eastAsia="zh-CN"/>
        </w:rPr>
        <w:t>实施单位：石家庄市城市管理综合行政执法局</w:t>
      </w:r>
    </w:p>
    <w:p w14:paraId="579869BC">
      <w:pPr>
        <w:adjustRightInd w:val="0"/>
        <w:snapToGrid w:val="0"/>
        <w:spacing w:line="560" w:lineRule="exact"/>
        <w:ind w:firstLine="800" w:firstLineChars="250"/>
        <w:rPr>
          <w:rFonts w:hint="eastAsia" w:ascii="仿宋" w:hAnsi="仿宋" w:eastAsia="仿宋"/>
          <w:sz w:val="32"/>
          <w:szCs w:val="32"/>
          <w:highlight w:val="none"/>
        </w:rPr>
      </w:pPr>
      <w:r>
        <w:rPr>
          <w:rFonts w:hint="eastAsia" w:ascii="仿宋" w:hAnsi="仿宋" w:eastAsia="仿宋"/>
          <w:sz w:val="32"/>
          <w:szCs w:val="32"/>
          <w:highlight w:val="none"/>
        </w:rPr>
        <w:t>石家庄市城市管理综合行政执法局主要负责城市道路、桥梁、照明、排水等市政设施维护管理工作，负责民心河河道管理、城区防汛工作；负责城市供热燃气、供水节水污水处理行业管理工作；组织督导城市市容环境卫生、城市管理综合执法以及城区生活垃圾、建筑垃圾、餐厨垃圾、粪便垃圾无害化处理工作；负责指导各县（市、区）城镇（县城城建界以内）的城市管理相关工作。</w:t>
      </w:r>
    </w:p>
    <w:p w14:paraId="620AB728">
      <w:pPr>
        <w:adjustRightInd w:val="0"/>
        <w:snapToGrid w:val="0"/>
        <w:spacing w:line="560" w:lineRule="exact"/>
        <w:ind w:firstLine="800" w:firstLineChars="250"/>
        <w:rPr>
          <w:rFonts w:hint="eastAsia" w:ascii="仿宋" w:hAnsi="仿宋" w:eastAsia="仿宋"/>
          <w:sz w:val="32"/>
          <w:szCs w:val="32"/>
          <w:highlight w:val="none"/>
          <w:lang w:eastAsia="zh-CN"/>
        </w:rPr>
      </w:pPr>
      <w:r>
        <w:rPr>
          <w:rFonts w:hint="eastAsia" w:ascii="仿宋" w:hAnsi="仿宋" w:eastAsia="仿宋"/>
          <w:sz w:val="32"/>
          <w:szCs w:val="32"/>
          <w:highlight w:val="none"/>
        </w:rPr>
        <w:t>2</w:t>
      </w:r>
      <w:r>
        <w:rPr>
          <w:rFonts w:hint="eastAsia" w:ascii="仿宋" w:hAnsi="仿宋" w:eastAsia="仿宋"/>
          <w:sz w:val="32"/>
          <w:szCs w:val="32"/>
          <w:highlight w:val="none"/>
          <w:lang w:eastAsia="zh-CN"/>
        </w:rPr>
        <w:t>.</w:t>
      </w:r>
      <w:r>
        <w:rPr>
          <w:rFonts w:hint="eastAsia" w:ascii="仿宋" w:hAnsi="仿宋" w:eastAsia="仿宋"/>
          <w:sz w:val="32"/>
          <w:szCs w:val="32"/>
          <w:highlight w:val="none"/>
        </w:rPr>
        <w:t>项目主要实施内容和范围</w:t>
      </w:r>
    </w:p>
    <w:p w14:paraId="75FA8258">
      <w:pPr>
        <w:adjustRightInd w:val="0"/>
        <w:snapToGrid w:val="0"/>
        <w:spacing w:line="560" w:lineRule="exact"/>
        <w:ind w:firstLine="800" w:firstLineChars="250"/>
        <w:rPr>
          <w:rFonts w:hint="eastAsia" w:ascii="仿宋" w:hAnsi="仿宋" w:eastAsia="仿宋"/>
          <w:sz w:val="32"/>
          <w:szCs w:val="32"/>
          <w:highlight w:val="none"/>
          <w:lang w:eastAsia="zh-CN"/>
        </w:rPr>
      </w:pPr>
      <w:r>
        <w:rPr>
          <w:rFonts w:hint="eastAsia" w:ascii="仿宋" w:hAnsi="仿宋" w:eastAsia="仿宋"/>
          <w:sz w:val="32"/>
          <w:szCs w:val="32"/>
          <w:highlight w:val="none"/>
          <w:lang w:val="en-US" w:eastAsia="zh-CN"/>
        </w:rPr>
        <w:t>项目主要是石家庄水投集团所属石家庄污水处理有限公司所属各污水处理厂及滹沱河污水厂在</w:t>
      </w:r>
      <w:r>
        <w:rPr>
          <w:rFonts w:hint="eastAsia" w:ascii="仿宋" w:hAnsi="仿宋" w:eastAsia="仿宋"/>
          <w:sz w:val="32"/>
          <w:szCs w:val="32"/>
          <w:highlight w:val="none"/>
          <w:lang w:eastAsia="zh-CN"/>
        </w:rPr>
        <w:t>设计能力范围内对收集的生活污水及工业废水进行净化处理，确保出水水质稳定达标；各污水处理厂污水处理过程中，对产生的污泥进行妥善处置</w:t>
      </w:r>
      <w:r>
        <w:rPr>
          <w:rFonts w:hint="eastAsia" w:ascii="仿宋" w:hAnsi="仿宋" w:eastAsia="仿宋"/>
          <w:sz w:val="32"/>
          <w:szCs w:val="32"/>
          <w:highlight w:val="none"/>
          <w:lang w:val="en-US" w:eastAsia="zh-CN"/>
        </w:rPr>
        <w:t>；提高市民满意度，促进水资源节能减排持续发展</w:t>
      </w:r>
      <w:r>
        <w:rPr>
          <w:rFonts w:hint="eastAsia" w:ascii="仿宋" w:hAnsi="仿宋" w:eastAsia="仿宋"/>
          <w:sz w:val="32"/>
          <w:szCs w:val="32"/>
          <w:highlight w:val="none"/>
          <w:lang w:eastAsia="zh-CN"/>
        </w:rPr>
        <w:t>。</w:t>
      </w:r>
    </w:p>
    <w:p w14:paraId="50636791">
      <w:pPr>
        <w:adjustRightInd w:val="0"/>
        <w:snapToGrid w:val="0"/>
        <w:spacing w:line="560" w:lineRule="exact"/>
        <w:ind w:firstLine="800" w:firstLineChars="250"/>
        <w:rPr>
          <w:rFonts w:hint="eastAsia" w:ascii="仿宋" w:hAnsi="仿宋" w:eastAsia="仿宋"/>
          <w:sz w:val="32"/>
          <w:szCs w:val="32"/>
          <w:highlight w:val="none"/>
          <w:lang w:eastAsia="zh-CN"/>
        </w:rPr>
      </w:pPr>
      <w:r>
        <w:rPr>
          <w:rFonts w:hint="eastAsia" w:ascii="仿宋" w:hAnsi="仿宋" w:eastAsia="仿宋"/>
          <w:sz w:val="32"/>
          <w:szCs w:val="32"/>
          <w:highlight w:val="none"/>
        </w:rPr>
        <w:t>3</w:t>
      </w:r>
      <w:r>
        <w:rPr>
          <w:rFonts w:hint="eastAsia" w:ascii="仿宋" w:hAnsi="仿宋" w:eastAsia="仿宋"/>
          <w:sz w:val="32"/>
          <w:szCs w:val="32"/>
          <w:highlight w:val="none"/>
          <w:lang w:eastAsia="zh-CN"/>
        </w:rPr>
        <w:t>.</w:t>
      </w:r>
      <w:r>
        <w:rPr>
          <w:rFonts w:hint="eastAsia" w:ascii="仿宋" w:hAnsi="仿宋" w:eastAsia="仿宋"/>
          <w:sz w:val="32"/>
          <w:szCs w:val="32"/>
          <w:highlight w:val="none"/>
        </w:rPr>
        <w:t>项目资金投入情况</w:t>
      </w:r>
    </w:p>
    <w:p w14:paraId="1D94F5CB">
      <w:pPr>
        <w:adjustRightInd w:val="0"/>
        <w:snapToGrid w:val="0"/>
        <w:spacing w:line="560" w:lineRule="exact"/>
        <w:ind w:firstLine="800" w:firstLineChars="25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年初预算资金39200.5万元，实际预算支出</w:t>
      </w:r>
      <w:r>
        <w:rPr>
          <w:rFonts w:hint="eastAsia" w:ascii="仿宋" w:hAnsi="仿宋" w:eastAsia="仿宋"/>
          <w:sz w:val="32"/>
          <w:szCs w:val="32"/>
          <w:highlight w:val="none"/>
          <w:lang w:eastAsia="zh-CN"/>
        </w:rPr>
        <w:t>39198.83</w:t>
      </w:r>
      <w:r>
        <w:rPr>
          <w:rFonts w:hint="eastAsia" w:ascii="仿宋" w:hAnsi="仿宋" w:eastAsia="仿宋"/>
          <w:sz w:val="32"/>
          <w:szCs w:val="32"/>
          <w:highlight w:val="none"/>
          <w:lang w:val="en-US" w:eastAsia="zh-CN"/>
        </w:rPr>
        <w:t>万元。</w:t>
      </w:r>
    </w:p>
    <w:p w14:paraId="5195291B">
      <w:pPr>
        <w:adjustRightInd w:val="0"/>
        <w:snapToGrid w:val="0"/>
        <w:spacing w:line="560" w:lineRule="exact"/>
        <w:ind w:firstLine="800" w:firstLineChars="250"/>
        <w:rPr>
          <w:rFonts w:ascii="仿宋" w:hAnsi="仿宋" w:eastAsia="仿宋"/>
          <w:sz w:val="32"/>
          <w:szCs w:val="32"/>
          <w:highlight w:val="none"/>
        </w:rPr>
      </w:pPr>
      <w:r>
        <w:rPr>
          <w:rFonts w:hint="eastAsia" w:ascii="仿宋" w:hAnsi="仿宋" w:eastAsia="仿宋"/>
          <w:sz w:val="32"/>
          <w:szCs w:val="32"/>
          <w:highlight w:val="none"/>
          <w:lang w:val="en-US" w:eastAsia="zh-CN"/>
        </w:rPr>
        <w:t>资金来源：居民及企业的污水处理费收缴，不足部分由财政补助</w:t>
      </w:r>
      <w:r>
        <w:rPr>
          <w:rFonts w:hint="eastAsia" w:ascii="仿宋" w:hAnsi="仿宋" w:eastAsia="仿宋"/>
          <w:sz w:val="32"/>
          <w:szCs w:val="32"/>
          <w:highlight w:val="none"/>
        </w:rPr>
        <w:t>。</w:t>
      </w:r>
    </w:p>
    <w:p w14:paraId="34ED0B87">
      <w:pPr>
        <w:adjustRightInd w:val="0"/>
        <w:snapToGrid w:val="0"/>
        <w:spacing w:line="560" w:lineRule="exact"/>
        <w:ind w:firstLine="640" w:firstLineChars="200"/>
        <w:rPr>
          <w:rFonts w:ascii="楷体" w:hAnsi="楷体" w:eastAsia="楷体" w:cs="楷体_GB2312"/>
          <w:bCs/>
          <w:sz w:val="32"/>
          <w:szCs w:val="32"/>
          <w:highlight w:val="none"/>
        </w:rPr>
      </w:pPr>
      <w:r>
        <w:rPr>
          <w:rFonts w:hint="eastAsia" w:ascii="楷体" w:hAnsi="楷体" w:eastAsia="楷体" w:cs="楷体_GB2312"/>
          <w:bCs/>
          <w:sz w:val="32"/>
          <w:szCs w:val="32"/>
          <w:highlight w:val="none"/>
        </w:rPr>
        <w:t>（二）项目预期绩效目标</w:t>
      </w:r>
    </w:p>
    <w:p w14:paraId="3D4B1344">
      <w:pPr>
        <w:adjustRightInd w:val="0"/>
        <w:snapToGrid w:val="0"/>
        <w:spacing w:line="560" w:lineRule="exact"/>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1.项目预期绩效总目标</w:t>
      </w:r>
    </w:p>
    <w:p w14:paraId="1674D324">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项目预期绩效总目标为保障污水污泥处理工作的顺利开展，确保出水水质达标，污泥得到妥善处置，促进水资源节能减排和可持续发展。</w:t>
      </w:r>
    </w:p>
    <w:p w14:paraId="117F470E">
      <w:pPr>
        <w:adjustRightInd w:val="0"/>
        <w:snapToGrid w:val="0"/>
        <w:spacing w:line="560" w:lineRule="exact"/>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2.阶段性绩效目标和指标</w:t>
      </w:r>
    </w:p>
    <w:p w14:paraId="6A633C1E">
      <w:pPr>
        <w:adjustRightInd w:val="0"/>
        <w:snapToGrid w:val="0"/>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rPr>
        <w:t>阶段性（当年）绩效目标</w:t>
      </w:r>
      <w:r>
        <w:rPr>
          <w:rFonts w:hint="eastAsia" w:ascii="仿宋" w:hAnsi="仿宋" w:eastAsia="仿宋"/>
          <w:sz w:val="32"/>
          <w:szCs w:val="32"/>
          <w:highlight w:val="none"/>
          <w:lang w:eastAsia="zh-CN"/>
        </w:rPr>
        <w:t>：保障污水污泥处理工作的顺利开展，确保出水水质达标，污泥得到妥善处置，促进水资源节能减排和可持续发展。</w:t>
      </w:r>
    </w:p>
    <w:p w14:paraId="60403461">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w:t>
      </w:r>
      <w:r>
        <w:rPr>
          <w:rFonts w:hint="eastAsia" w:ascii="仿宋" w:hAnsi="仿宋" w:eastAsia="仿宋"/>
          <w:sz w:val="32"/>
          <w:szCs w:val="32"/>
          <w:highlight w:val="none"/>
        </w:rPr>
        <w:t>1</w:t>
      </w:r>
      <w:r>
        <w:rPr>
          <w:rFonts w:hint="eastAsia" w:ascii="仿宋" w:hAnsi="仿宋" w:eastAsia="仿宋"/>
          <w:sz w:val="32"/>
          <w:szCs w:val="32"/>
          <w:highlight w:val="none"/>
          <w:lang w:eastAsia="zh-CN"/>
        </w:rPr>
        <w:t>）</w:t>
      </w:r>
      <w:r>
        <w:rPr>
          <w:rFonts w:hint="eastAsia" w:ascii="仿宋" w:hAnsi="仿宋" w:eastAsia="仿宋"/>
          <w:sz w:val="32"/>
          <w:szCs w:val="32"/>
          <w:highlight w:val="none"/>
        </w:rPr>
        <w:t>项目产出指标</w:t>
      </w:r>
    </w:p>
    <w:p w14:paraId="2ABA114B">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①数量指标</w:t>
      </w:r>
    </w:p>
    <w:p w14:paraId="68778743">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“年污水处理比例”指标，年污水处理比例预期指标值为“=100%”；</w:t>
      </w:r>
    </w:p>
    <w:p w14:paraId="48B65582">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②质量指标</w:t>
      </w:r>
    </w:p>
    <w:p w14:paraId="1019C518">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“出水水质达标率”指标，出水水质达标率预期指标值为“=100%”；</w:t>
      </w:r>
    </w:p>
    <w:p w14:paraId="754B57DE">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③时效指标</w:t>
      </w:r>
    </w:p>
    <w:p w14:paraId="23215CDB">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“来水处理及时率”指标，来水处理及时率预期指标值为“=100%”；</w:t>
      </w:r>
    </w:p>
    <w:p w14:paraId="75E76C00">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④成本指标</w:t>
      </w:r>
    </w:p>
    <w:p w14:paraId="3D019ED0">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“资金支付比例”指标，资金支付比例预期指标值为“=100%”；</w:t>
      </w:r>
    </w:p>
    <w:p w14:paraId="54711239">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lang w:eastAsia="zh-CN"/>
        </w:rPr>
        <w:t>）</w:t>
      </w:r>
      <w:r>
        <w:rPr>
          <w:rFonts w:hint="eastAsia" w:ascii="仿宋" w:hAnsi="仿宋" w:eastAsia="仿宋"/>
          <w:sz w:val="32"/>
          <w:szCs w:val="32"/>
          <w:highlight w:val="none"/>
        </w:rPr>
        <w:t>项目效益指标</w:t>
      </w:r>
    </w:p>
    <w:p w14:paraId="290B3EEB">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社会效益指标：“市民幸福感提升度”指标，预期指标值为“显著提升”；</w:t>
      </w:r>
    </w:p>
    <w:p w14:paraId="4A735EB5">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项目</w:t>
      </w:r>
      <w:r>
        <w:rPr>
          <w:rFonts w:hint="eastAsia" w:ascii="仿宋" w:hAnsi="仿宋" w:eastAsia="仿宋"/>
          <w:sz w:val="32"/>
          <w:szCs w:val="32"/>
          <w:highlight w:val="none"/>
        </w:rPr>
        <w:t>满意度指标</w:t>
      </w:r>
    </w:p>
    <w:p w14:paraId="153DE739">
      <w:pPr>
        <w:adjustRightInd w:val="0"/>
        <w:snapToGrid w:val="0"/>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rPr>
        <w:t>服务对象满意度指标</w:t>
      </w:r>
      <w:r>
        <w:rPr>
          <w:rFonts w:hint="eastAsia" w:ascii="仿宋" w:hAnsi="仿宋" w:eastAsia="仿宋"/>
          <w:sz w:val="32"/>
          <w:szCs w:val="32"/>
          <w:highlight w:val="none"/>
          <w:lang w:eastAsia="zh-CN"/>
        </w:rPr>
        <w:t>：</w:t>
      </w:r>
      <w:r>
        <w:rPr>
          <w:rFonts w:hint="eastAsia" w:ascii="仿宋" w:hAnsi="仿宋" w:eastAsia="仿宋"/>
          <w:sz w:val="32"/>
          <w:szCs w:val="32"/>
          <w:highlight w:val="none"/>
        </w:rPr>
        <w:t>“市民满意度”指标，预期指标值为“≥</w:t>
      </w:r>
      <w:r>
        <w:rPr>
          <w:rFonts w:hint="eastAsia" w:ascii="仿宋" w:hAnsi="仿宋" w:eastAsia="仿宋"/>
          <w:sz w:val="32"/>
          <w:szCs w:val="32"/>
          <w:highlight w:val="none"/>
          <w:lang w:eastAsia="zh-CN"/>
        </w:rPr>
        <w:t>9</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.00%”。</w:t>
      </w:r>
    </w:p>
    <w:p w14:paraId="44F65D58">
      <w:pPr>
        <w:adjustRightInd w:val="0"/>
        <w:snapToGrid w:val="0"/>
        <w:spacing w:line="56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二、自评工作情况</w:t>
      </w:r>
    </w:p>
    <w:p w14:paraId="4B4DB006">
      <w:pPr>
        <w:adjustRightInd w:val="0"/>
        <w:snapToGrid w:val="0"/>
        <w:spacing w:line="560" w:lineRule="exact"/>
        <w:ind w:firstLine="627" w:firstLineChars="196"/>
        <w:rPr>
          <w:rFonts w:ascii="仿宋" w:hAnsi="仿宋" w:eastAsia="仿宋" w:cs="楷体_GB2312"/>
          <w:sz w:val="32"/>
          <w:szCs w:val="32"/>
          <w:highlight w:val="none"/>
        </w:rPr>
      </w:pPr>
      <w:r>
        <w:rPr>
          <w:rFonts w:hint="eastAsia" w:ascii="楷体" w:hAnsi="楷体" w:eastAsia="楷体" w:cs="楷体_GB2312"/>
          <w:bCs/>
          <w:sz w:val="32"/>
          <w:szCs w:val="32"/>
          <w:highlight w:val="none"/>
        </w:rPr>
        <w:t>（一）自评的组织工作</w:t>
      </w:r>
    </w:p>
    <w:p w14:paraId="292D8857">
      <w:pPr>
        <w:adjustRightInd w:val="0"/>
        <w:snapToGrid w:val="0"/>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自评工作由石家庄市城市管理综合行政执法局组织，成立了专门的绩效评价小组，负责收集项目相关资料、制定评价方案、开展评价工作并形成自评报告。评价过程严格按照《石家庄市市级部门项目绩效自评管理办法》的要求进行，确保评价工作的全面性、客观性和公正性。</w:t>
      </w:r>
    </w:p>
    <w:p w14:paraId="37E58BEC">
      <w:pPr>
        <w:adjustRightInd w:val="0"/>
        <w:snapToGrid w:val="0"/>
        <w:spacing w:line="560" w:lineRule="exact"/>
        <w:ind w:firstLine="640" w:firstLineChars="200"/>
        <w:rPr>
          <w:rFonts w:ascii="仿宋" w:hAnsi="仿宋" w:eastAsia="仿宋" w:cs="楷体_GB2312"/>
          <w:b/>
          <w:bCs/>
          <w:sz w:val="32"/>
          <w:szCs w:val="32"/>
          <w:highlight w:val="none"/>
        </w:rPr>
      </w:pPr>
      <w:r>
        <w:rPr>
          <w:rFonts w:hint="eastAsia" w:ascii="楷体" w:hAnsi="楷体" w:eastAsia="楷体" w:cs="楷体_GB2312"/>
          <w:bCs/>
          <w:sz w:val="32"/>
          <w:szCs w:val="32"/>
          <w:highlight w:val="none"/>
        </w:rPr>
        <w:t>（二）自评的方法和过程</w:t>
      </w:r>
    </w:p>
    <w:p w14:paraId="63E1156A">
      <w:pPr>
        <w:adjustRightInd w:val="0"/>
        <w:snapToGrid w:val="0"/>
        <w:spacing w:line="560" w:lineRule="exact"/>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rPr>
        <w:t>自评采用定量与定性相结合的方法，通过数据收集、现场调研、问卷调查等方式，对项目的预算执行、产出、效益和满意度进行全面评估。评价过程包括以下几个步骤：</w:t>
      </w:r>
    </w:p>
    <w:p w14:paraId="713A28CE">
      <w:pPr>
        <w:adjustRightInd w:val="0"/>
        <w:snapToGrid w:val="0"/>
        <w:spacing w:line="560" w:lineRule="exact"/>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rPr>
        <w:t>制定绩效评价指标体系；</w:t>
      </w:r>
    </w:p>
    <w:p w14:paraId="2A0D2326">
      <w:pPr>
        <w:adjustRightInd w:val="0"/>
        <w:snapToGrid w:val="0"/>
        <w:spacing w:line="560" w:lineRule="exact"/>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rPr>
        <w:t>收集项目相关数据；</w:t>
      </w:r>
    </w:p>
    <w:p w14:paraId="70371AE5">
      <w:pPr>
        <w:adjustRightInd w:val="0"/>
        <w:snapToGrid w:val="0"/>
        <w:spacing w:line="560" w:lineRule="exact"/>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rPr>
        <w:t>开展现场调研和问卷调查；</w:t>
      </w:r>
    </w:p>
    <w:p w14:paraId="4ADD2FC0">
      <w:pPr>
        <w:adjustRightInd w:val="0"/>
        <w:snapToGrid w:val="0"/>
        <w:spacing w:line="560" w:lineRule="exact"/>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rPr>
        <w:t>分析数据并计算各项指标得分；</w:t>
      </w:r>
    </w:p>
    <w:p w14:paraId="1D9CA557">
      <w:pPr>
        <w:adjustRightInd w:val="0"/>
        <w:snapToGrid w:val="0"/>
        <w:spacing w:line="560" w:lineRule="exact"/>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rPr>
        <w:t>形成自评报告。</w:t>
      </w:r>
    </w:p>
    <w:p w14:paraId="55886954">
      <w:pPr>
        <w:adjustRightInd w:val="0"/>
        <w:snapToGrid w:val="0"/>
        <w:spacing w:line="560" w:lineRule="exact"/>
        <w:ind w:firstLine="640" w:firstLineChars="200"/>
        <w:rPr>
          <w:rFonts w:ascii="仿宋" w:hAnsi="仿宋" w:eastAsia="仿宋"/>
          <w:b/>
          <w:bCs/>
          <w:sz w:val="32"/>
          <w:szCs w:val="32"/>
          <w:highlight w:val="none"/>
        </w:rPr>
      </w:pPr>
      <w:r>
        <w:rPr>
          <w:rFonts w:hint="eastAsia" w:ascii="楷体" w:hAnsi="楷体" w:eastAsia="楷体" w:cs="楷体_GB2312"/>
          <w:bCs/>
          <w:sz w:val="32"/>
          <w:szCs w:val="32"/>
          <w:highlight w:val="none"/>
        </w:rPr>
        <w:t>（三）建立绩效评价指标体系</w:t>
      </w:r>
    </w:p>
    <w:p w14:paraId="528F1DCA">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根据项目特点，设计了以下绩效评价指标体系：</w:t>
      </w:r>
    </w:p>
    <w:p w14:paraId="4D49D875">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一级指标：</w:t>
      </w:r>
    </w:p>
    <w:p w14:paraId="3081A2F7">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产出指标（40分）：数量、质量、时效、成本</w:t>
      </w:r>
    </w:p>
    <w:p w14:paraId="4B2C5EE6">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预算执行率指标（10分）</w:t>
      </w:r>
    </w:p>
    <w:p w14:paraId="4F6B2134">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效益指标（40分）：社会效益、生态效益、可持续影响</w:t>
      </w:r>
    </w:p>
    <w:p w14:paraId="4866E4AB">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满意度指标（10分）</w:t>
      </w:r>
    </w:p>
    <w:p w14:paraId="2344C7AD">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二、三级指标：根据项目实施阶段和指标重要性确定权重，确保评价结果准确反映项目的产出和效果。</w:t>
      </w:r>
    </w:p>
    <w:p w14:paraId="1AD565F6">
      <w:pPr>
        <w:spacing w:line="560" w:lineRule="exact"/>
        <w:ind w:firstLine="640" w:firstLineChars="200"/>
        <w:rPr>
          <w:rFonts w:ascii="黑体" w:hAnsi="黑体" w:eastAsia="黑体"/>
          <w:b/>
          <w:bCs/>
          <w:sz w:val="32"/>
          <w:szCs w:val="32"/>
          <w:highlight w:val="none"/>
        </w:rPr>
      </w:pPr>
      <w:r>
        <w:rPr>
          <w:rFonts w:hint="eastAsia" w:ascii="黑体" w:hAnsi="黑体" w:eastAsia="黑体"/>
          <w:sz w:val="32"/>
          <w:szCs w:val="32"/>
          <w:highlight w:val="none"/>
        </w:rPr>
        <w:t>三、项目执行及绩效实现情况</w:t>
      </w:r>
    </w:p>
    <w:p w14:paraId="42CC9997">
      <w:pPr>
        <w:numPr>
          <w:ilvl w:val="0"/>
          <w:numId w:val="1"/>
        </w:numPr>
        <w:spacing w:line="560" w:lineRule="exact"/>
        <w:ind w:firstLine="640" w:firstLineChars="200"/>
        <w:rPr>
          <w:rFonts w:ascii="楷体" w:hAnsi="楷体" w:eastAsia="楷体" w:cs="楷体_GB2312"/>
          <w:bCs/>
          <w:sz w:val="32"/>
          <w:szCs w:val="32"/>
          <w:highlight w:val="none"/>
        </w:rPr>
      </w:pPr>
      <w:r>
        <w:rPr>
          <w:rFonts w:hint="eastAsia" w:ascii="楷体" w:hAnsi="楷体" w:eastAsia="楷体" w:cs="楷体_GB2312"/>
          <w:bCs/>
          <w:sz w:val="32"/>
          <w:szCs w:val="32"/>
          <w:highlight w:val="none"/>
        </w:rPr>
        <w:t>预算执行情况</w:t>
      </w:r>
    </w:p>
    <w:p w14:paraId="64373940">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年初预算资金39200.5万元，实际预算支出39198.83万元。预算执行率为</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%，资金使用符合相关规定，未出现违规使用情况。</w:t>
      </w:r>
    </w:p>
    <w:p w14:paraId="386258C6">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预算执行率指标满分10分，自评得分10分</w:t>
      </w:r>
      <w:r>
        <w:rPr>
          <w:rFonts w:hint="eastAsia" w:ascii="仿宋" w:hAnsi="仿宋" w:eastAsia="仿宋"/>
          <w:sz w:val="32"/>
          <w:szCs w:val="32"/>
          <w:highlight w:val="none"/>
        </w:rPr>
        <w:t>。</w:t>
      </w:r>
    </w:p>
    <w:p w14:paraId="5C473150">
      <w:pPr>
        <w:spacing w:line="560" w:lineRule="exact"/>
        <w:rPr>
          <w:rFonts w:ascii="楷体" w:hAnsi="楷体" w:eastAsia="楷体"/>
          <w:bCs/>
          <w:sz w:val="32"/>
          <w:szCs w:val="32"/>
          <w:highlight w:val="none"/>
        </w:rPr>
      </w:pPr>
      <w:r>
        <w:rPr>
          <w:rFonts w:hint="eastAsia" w:ascii="仿宋" w:hAnsi="仿宋" w:eastAsia="仿宋" w:cs="楷体_GB2312"/>
          <w:b/>
          <w:bCs/>
          <w:sz w:val="32"/>
          <w:szCs w:val="32"/>
          <w:highlight w:val="none"/>
        </w:rPr>
        <w:t xml:space="preserve">    </w:t>
      </w:r>
      <w:r>
        <w:rPr>
          <w:rFonts w:hint="eastAsia" w:ascii="楷体" w:hAnsi="楷体" w:eastAsia="楷体" w:cs="楷体_GB2312"/>
          <w:bCs/>
          <w:sz w:val="32"/>
          <w:szCs w:val="32"/>
          <w:highlight w:val="none"/>
        </w:rPr>
        <w:t>（二）项目产出</w:t>
      </w:r>
    </w:p>
    <w:p w14:paraId="76834B68">
      <w:pPr>
        <w:spacing w:line="560" w:lineRule="exact"/>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1.数量指标</w:t>
      </w:r>
    </w:p>
    <w:p w14:paraId="7EBA2411">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数量指标：年污水处理比例=100%</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lang w:val="en-US" w:eastAsia="zh-CN"/>
        </w:rPr>
        <w:t>收集的污水全部处理，</w:t>
      </w:r>
      <w:r>
        <w:rPr>
          <w:rFonts w:hint="eastAsia" w:ascii="仿宋" w:hAnsi="仿宋" w:eastAsia="仿宋"/>
          <w:sz w:val="32"/>
          <w:szCs w:val="32"/>
          <w:highlight w:val="none"/>
          <w:lang w:val="en-US" w:eastAsia="zh-CN"/>
        </w:rPr>
        <w:t>实际</w:t>
      </w:r>
      <w:r>
        <w:rPr>
          <w:rFonts w:hint="eastAsia" w:ascii="仿宋" w:hAnsi="仿宋" w:eastAsia="仿宋"/>
          <w:sz w:val="32"/>
          <w:szCs w:val="32"/>
          <w:highlight w:val="none"/>
        </w:rPr>
        <w:t>年污水处理比例=100%</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达到预期目标。</w:t>
      </w:r>
    </w:p>
    <w:p w14:paraId="3C3811FF">
      <w:pPr>
        <w:spacing w:line="560" w:lineRule="exact"/>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数量指标满分10分，自评得分10分。</w:t>
      </w:r>
    </w:p>
    <w:p w14:paraId="678CDF56">
      <w:pPr>
        <w:spacing w:line="560" w:lineRule="exact"/>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2.质量指标</w:t>
      </w:r>
    </w:p>
    <w:p w14:paraId="34CF2ECC">
      <w:pPr>
        <w:spacing w:line="560" w:lineRule="exact"/>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rPr>
        <w:t>出水水质达标率为</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%，污泥处置合规率为100%。</w:t>
      </w:r>
      <w:r>
        <w:rPr>
          <w:rFonts w:hint="eastAsia" w:ascii="仿宋" w:hAnsi="仿宋" w:eastAsia="仿宋"/>
          <w:sz w:val="32"/>
          <w:szCs w:val="32"/>
          <w:highlight w:val="none"/>
          <w:lang w:val="en-US" w:eastAsia="zh-CN"/>
        </w:rPr>
        <w:t>达到预期目标。</w:t>
      </w:r>
    </w:p>
    <w:p w14:paraId="4414AD72">
      <w:pPr>
        <w:spacing w:line="560" w:lineRule="exact"/>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质量指标满分10分，自评得分10分。</w:t>
      </w:r>
    </w:p>
    <w:p w14:paraId="39FF19D3">
      <w:pPr>
        <w:spacing w:line="560" w:lineRule="exact"/>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3.时效指标</w:t>
      </w:r>
    </w:p>
    <w:p w14:paraId="00670B77">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val="en-US" w:eastAsia="zh-CN"/>
        </w:rPr>
        <w:t>污水来水处理及时率100%</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根据水厂日常污水处理台账，</w:t>
      </w:r>
      <w:r>
        <w:rPr>
          <w:rFonts w:hint="eastAsia" w:ascii="仿宋" w:hAnsi="仿宋" w:eastAsia="仿宋"/>
          <w:sz w:val="32"/>
          <w:szCs w:val="32"/>
          <w:highlight w:val="none"/>
          <w:lang w:val="en-US" w:eastAsia="zh-CN"/>
        </w:rPr>
        <w:t>污水来水处理及时率100%，</w:t>
      </w:r>
      <w:r>
        <w:rPr>
          <w:rFonts w:hint="eastAsia" w:ascii="仿宋" w:hAnsi="仿宋" w:eastAsia="仿宋"/>
          <w:sz w:val="32"/>
          <w:szCs w:val="32"/>
          <w:highlight w:val="none"/>
        </w:rPr>
        <w:t>未出现延误。</w:t>
      </w:r>
    </w:p>
    <w:p w14:paraId="4CBCE36A">
      <w:pPr>
        <w:spacing w:line="560" w:lineRule="exact"/>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时效指标满分10分，自评得分10分。</w:t>
      </w:r>
    </w:p>
    <w:p w14:paraId="64FCF474">
      <w:pPr>
        <w:spacing w:line="560" w:lineRule="exact"/>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4.成本指标</w:t>
      </w:r>
    </w:p>
    <w:p w14:paraId="22F3D12E">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val="en-US" w:eastAsia="zh-CN"/>
        </w:rPr>
        <w:t>资金支付比例</w:t>
      </w:r>
      <w:r>
        <w:rPr>
          <w:rFonts w:hint="eastAsia" w:ascii="仿宋" w:hAnsi="仿宋" w:eastAsia="仿宋"/>
          <w:sz w:val="32"/>
          <w:szCs w:val="32"/>
          <w:highlight w:val="none"/>
        </w:rPr>
        <w:t>=100%</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年初预算资金39200.5万元，实际预算支出39198.83万元。</w:t>
      </w:r>
      <w:r>
        <w:rPr>
          <w:rFonts w:hint="eastAsia" w:ascii="仿宋" w:hAnsi="仿宋" w:eastAsia="仿宋"/>
          <w:sz w:val="32"/>
          <w:szCs w:val="32"/>
          <w:highlight w:val="none"/>
          <w:lang w:val="en-US" w:eastAsia="zh-CN"/>
        </w:rPr>
        <w:t>实际资金支付比例</w:t>
      </w:r>
      <w:r>
        <w:rPr>
          <w:rFonts w:hint="eastAsia" w:ascii="仿宋" w:hAnsi="仿宋" w:eastAsia="仿宋"/>
          <w:sz w:val="32"/>
          <w:szCs w:val="32"/>
          <w:highlight w:val="none"/>
        </w:rPr>
        <w:t>=100%</w:t>
      </w:r>
      <w:r>
        <w:rPr>
          <w:rFonts w:hint="eastAsia" w:ascii="仿宋" w:hAnsi="仿宋" w:eastAsia="仿宋"/>
          <w:sz w:val="32"/>
          <w:szCs w:val="32"/>
          <w:highlight w:val="none"/>
          <w:lang w:val="en-US" w:eastAsia="zh-CN"/>
        </w:rPr>
        <w:t>，达到预期目标</w:t>
      </w:r>
      <w:r>
        <w:rPr>
          <w:rFonts w:hint="eastAsia" w:ascii="仿宋" w:hAnsi="仿宋" w:eastAsia="仿宋"/>
          <w:sz w:val="32"/>
          <w:szCs w:val="32"/>
          <w:highlight w:val="none"/>
        </w:rPr>
        <w:t>。</w:t>
      </w:r>
    </w:p>
    <w:p w14:paraId="68CB06A1">
      <w:pPr>
        <w:spacing w:line="560" w:lineRule="exact"/>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成本指标满分10分，自评得分10分。</w:t>
      </w:r>
    </w:p>
    <w:p w14:paraId="219D7B55">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根据评分标准，</w:t>
      </w:r>
      <w:r>
        <w:rPr>
          <w:rFonts w:hint="eastAsia" w:ascii="仿宋" w:hAnsi="仿宋" w:eastAsia="仿宋"/>
          <w:sz w:val="32"/>
          <w:szCs w:val="32"/>
          <w:highlight w:val="none"/>
          <w:lang w:val="en-US" w:eastAsia="zh-CN"/>
        </w:rPr>
        <w:t>项目产出指标满分40分，自评</w:t>
      </w:r>
      <w:r>
        <w:rPr>
          <w:rFonts w:hint="eastAsia" w:ascii="仿宋" w:hAnsi="仿宋" w:eastAsia="仿宋"/>
          <w:sz w:val="32"/>
          <w:szCs w:val="32"/>
          <w:highlight w:val="none"/>
        </w:rPr>
        <w:t>得分</w:t>
      </w:r>
      <w:r>
        <w:rPr>
          <w:rFonts w:hint="eastAsia" w:ascii="仿宋" w:hAnsi="仿宋" w:eastAsia="仿宋"/>
          <w:sz w:val="32"/>
          <w:szCs w:val="32"/>
          <w:highlight w:val="none"/>
          <w:lang w:val="en-US" w:eastAsia="zh-CN"/>
        </w:rPr>
        <w:t>40</w:t>
      </w:r>
      <w:r>
        <w:rPr>
          <w:rFonts w:hint="eastAsia" w:ascii="仿宋" w:hAnsi="仿宋" w:eastAsia="仿宋"/>
          <w:sz w:val="32"/>
          <w:szCs w:val="32"/>
          <w:highlight w:val="none"/>
        </w:rPr>
        <w:t>分。</w:t>
      </w:r>
    </w:p>
    <w:p w14:paraId="0CAC5131">
      <w:pPr>
        <w:spacing w:line="560" w:lineRule="exact"/>
        <w:ind w:firstLine="640" w:firstLineChars="200"/>
        <w:rPr>
          <w:rFonts w:ascii="楷体" w:hAnsi="楷体" w:eastAsia="楷体" w:cs="楷体_GB2312"/>
          <w:bCs/>
          <w:sz w:val="32"/>
          <w:szCs w:val="32"/>
          <w:highlight w:val="none"/>
        </w:rPr>
      </w:pPr>
      <w:r>
        <w:rPr>
          <w:rFonts w:hint="eastAsia" w:ascii="楷体" w:hAnsi="楷体" w:eastAsia="楷体" w:cs="楷体_GB2312"/>
          <w:bCs/>
          <w:sz w:val="32"/>
          <w:szCs w:val="32"/>
          <w:highlight w:val="none"/>
        </w:rPr>
        <w:t>（三）项目效益</w:t>
      </w:r>
    </w:p>
    <w:p w14:paraId="18B35C2B">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通过污水处理和污泥处置，减少了环境污染，降低了企业环保成本</w:t>
      </w:r>
      <w:r>
        <w:rPr>
          <w:rFonts w:hint="eastAsia" w:ascii="仿宋" w:hAnsi="仿宋" w:eastAsia="仿宋"/>
          <w:sz w:val="32"/>
          <w:szCs w:val="32"/>
          <w:highlight w:val="none"/>
          <w:lang w:eastAsia="zh-CN"/>
        </w:rPr>
        <w:t>，</w:t>
      </w:r>
      <w:r>
        <w:rPr>
          <w:rFonts w:hint="eastAsia" w:ascii="仿宋" w:hAnsi="仿宋" w:eastAsia="仿宋"/>
          <w:sz w:val="32"/>
          <w:szCs w:val="32"/>
          <w:highlight w:val="none"/>
        </w:rPr>
        <w:t>改善了城市水环境，提高了市民生活质量</w:t>
      </w:r>
      <w:r>
        <w:rPr>
          <w:rFonts w:hint="eastAsia" w:ascii="仿宋" w:hAnsi="仿宋" w:eastAsia="仿宋"/>
          <w:sz w:val="32"/>
          <w:szCs w:val="32"/>
          <w:highlight w:val="none"/>
          <w:lang w:eastAsia="zh-CN"/>
        </w:rPr>
        <w:t>，</w:t>
      </w:r>
      <w:r>
        <w:rPr>
          <w:rFonts w:hint="eastAsia" w:ascii="仿宋" w:hAnsi="仿宋" w:eastAsia="仿宋"/>
          <w:sz w:val="32"/>
          <w:szCs w:val="32"/>
          <w:highlight w:val="none"/>
        </w:rPr>
        <w:t>减少了污染物排放，促进了水资源可持续利用</w:t>
      </w:r>
      <w:r>
        <w:rPr>
          <w:rFonts w:hint="eastAsia" w:ascii="仿宋" w:hAnsi="仿宋" w:eastAsia="仿宋"/>
          <w:sz w:val="32"/>
          <w:szCs w:val="32"/>
          <w:highlight w:val="none"/>
          <w:lang w:eastAsia="zh-CN"/>
        </w:rPr>
        <w:t>，</w:t>
      </w:r>
      <w:r>
        <w:rPr>
          <w:rFonts w:hint="eastAsia" w:ascii="仿宋" w:hAnsi="仿宋" w:eastAsia="仿宋"/>
          <w:sz w:val="32"/>
          <w:szCs w:val="32"/>
          <w:highlight w:val="none"/>
        </w:rPr>
        <w:t>项目为城市水环境治理提供了长期保障</w:t>
      </w:r>
      <w:r>
        <w:rPr>
          <w:rFonts w:hint="eastAsia" w:ascii="仿宋" w:hAnsi="仿宋" w:eastAsia="仿宋"/>
          <w:sz w:val="32"/>
          <w:szCs w:val="32"/>
          <w:highlight w:val="none"/>
          <w:lang w:eastAsia="zh-CN"/>
        </w:rPr>
        <w:t>，市民幸福感显著提升</w:t>
      </w:r>
      <w:r>
        <w:rPr>
          <w:rFonts w:hint="eastAsia" w:ascii="仿宋" w:hAnsi="仿宋" w:eastAsia="仿宋"/>
          <w:sz w:val="32"/>
          <w:szCs w:val="32"/>
          <w:highlight w:val="none"/>
        </w:rPr>
        <w:t>。</w:t>
      </w:r>
    </w:p>
    <w:p w14:paraId="359E7EEB">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根据评分标准，</w:t>
      </w:r>
      <w:r>
        <w:rPr>
          <w:rFonts w:hint="eastAsia" w:ascii="仿宋" w:hAnsi="仿宋" w:eastAsia="仿宋"/>
          <w:sz w:val="32"/>
          <w:szCs w:val="32"/>
          <w:highlight w:val="none"/>
          <w:lang w:val="en-US" w:eastAsia="zh-CN"/>
        </w:rPr>
        <w:t>项目效益指标满分40分，自评</w:t>
      </w:r>
      <w:r>
        <w:rPr>
          <w:rFonts w:hint="eastAsia" w:ascii="仿宋" w:hAnsi="仿宋" w:eastAsia="仿宋"/>
          <w:sz w:val="32"/>
          <w:szCs w:val="32"/>
          <w:highlight w:val="none"/>
        </w:rPr>
        <w:t>得分</w:t>
      </w:r>
      <w:r>
        <w:rPr>
          <w:rFonts w:hint="eastAsia" w:ascii="仿宋" w:hAnsi="仿宋" w:eastAsia="仿宋"/>
          <w:sz w:val="32"/>
          <w:szCs w:val="32"/>
          <w:highlight w:val="none"/>
          <w:lang w:val="en-US" w:eastAsia="zh-CN"/>
        </w:rPr>
        <w:t>40</w:t>
      </w:r>
      <w:r>
        <w:rPr>
          <w:rFonts w:hint="eastAsia" w:ascii="仿宋" w:hAnsi="仿宋" w:eastAsia="仿宋"/>
          <w:sz w:val="32"/>
          <w:szCs w:val="32"/>
          <w:highlight w:val="none"/>
        </w:rPr>
        <w:t>分。</w:t>
      </w:r>
    </w:p>
    <w:p w14:paraId="57B34BC0">
      <w:pPr>
        <w:spacing w:line="560" w:lineRule="exact"/>
        <w:ind w:firstLine="640" w:firstLineChars="200"/>
        <w:rPr>
          <w:rFonts w:ascii="楷体" w:hAnsi="楷体" w:eastAsia="楷体" w:cs="楷体_GB2312"/>
          <w:bCs/>
          <w:sz w:val="32"/>
          <w:szCs w:val="32"/>
          <w:highlight w:val="none"/>
        </w:rPr>
      </w:pPr>
      <w:r>
        <w:rPr>
          <w:rFonts w:hint="eastAsia" w:ascii="楷体" w:hAnsi="楷体" w:eastAsia="楷体" w:cs="楷体_GB2312"/>
          <w:bCs/>
          <w:sz w:val="32"/>
          <w:szCs w:val="32"/>
          <w:highlight w:val="none"/>
        </w:rPr>
        <w:t>（四）满意度</w:t>
      </w:r>
    </w:p>
    <w:p w14:paraId="4C8E402C">
      <w:pPr>
        <w:spacing w:line="560" w:lineRule="exact"/>
        <w:ind w:firstLine="640" w:firstLineChars="200"/>
        <w:rPr>
          <w:rFonts w:ascii="仿宋" w:hAnsi="仿宋" w:eastAsia="仿宋" w:cs="楷体_GB2312"/>
          <w:b/>
          <w:bCs/>
          <w:sz w:val="32"/>
          <w:szCs w:val="32"/>
          <w:highlight w:val="none"/>
        </w:rPr>
      </w:pPr>
      <w:r>
        <w:rPr>
          <w:rFonts w:hint="eastAsia" w:ascii="仿宋" w:hAnsi="仿宋" w:eastAsia="仿宋"/>
          <w:sz w:val="32"/>
          <w:szCs w:val="32"/>
          <w:highlight w:val="none"/>
        </w:rPr>
        <w:t>通过问卷调查，市民对污水处理和污泥处置的满意度为</w:t>
      </w:r>
      <w:r>
        <w:rPr>
          <w:rFonts w:hint="eastAsia" w:ascii="仿宋" w:hAnsi="仿宋" w:eastAsia="仿宋"/>
          <w:sz w:val="32"/>
          <w:szCs w:val="32"/>
          <w:highlight w:val="none"/>
          <w:lang w:val="en-US" w:eastAsia="zh-CN"/>
        </w:rPr>
        <w:t>95</w:t>
      </w:r>
      <w:r>
        <w:rPr>
          <w:rFonts w:hint="eastAsia" w:ascii="仿宋" w:hAnsi="仿宋" w:eastAsia="仿宋"/>
          <w:sz w:val="32"/>
          <w:szCs w:val="32"/>
          <w:highlight w:val="none"/>
        </w:rPr>
        <w:t>%。根据评分标准，满意度</w:t>
      </w:r>
      <w:r>
        <w:rPr>
          <w:rFonts w:hint="eastAsia" w:ascii="仿宋" w:hAnsi="仿宋" w:eastAsia="仿宋"/>
          <w:sz w:val="32"/>
          <w:szCs w:val="32"/>
          <w:highlight w:val="none"/>
          <w:lang w:val="en-US" w:eastAsia="zh-CN"/>
        </w:rPr>
        <w:t>指标满分10分，自评</w:t>
      </w:r>
      <w:r>
        <w:rPr>
          <w:rFonts w:hint="eastAsia" w:ascii="仿宋" w:hAnsi="仿宋" w:eastAsia="仿宋"/>
          <w:sz w:val="32"/>
          <w:szCs w:val="32"/>
          <w:highlight w:val="none"/>
        </w:rPr>
        <w:t>得分为</w:t>
      </w:r>
      <w:r>
        <w:rPr>
          <w:rFonts w:hint="eastAsia" w:ascii="仿宋" w:hAnsi="仿宋" w:eastAsia="仿宋"/>
          <w:sz w:val="32"/>
          <w:szCs w:val="32"/>
          <w:highlight w:val="none"/>
          <w:lang w:val="en-US" w:eastAsia="zh-CN"/>
        </w:rPr>
        <w:t>10</w:t>
      </w:r>
      <w:r>
        <w:rPr>
          <w:rFonts w:hint="eastAsia" w:ascii="仿宋" w:hAnsi="仿宋" w:eastAsia="仿宋"/>
          <w:sz w:val="32"/>
          <w:szCs w:val="32"/>
          <w:highlight w:val="none"/>
        </w:rPr>
        <w:t>分。</w:t>
      </w:r>
    </w:p>
    <w:p w14:paraId="7A869856">
      <w:pPr>
        <w:spacing w:line="56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四、项目综合评价结论和评价等级</w:t>
      </w:r>
    </w:p>
    <w:p w14:paraId="7B1396DF">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根据项目执行情况和项目绩效情况，给出总得分，指标体系设定满分100分，</w:t>
      </w:r>
      <w:r>
        <w:rPr>
          <w:rFonts w:hint="eastAsia" w:ascii="仿宋" w:hAnsi="仿宋" w:eastAsia="仿宋"/>
          <w:sz w:val="32"/>
          <w:szCs w:val="32"/>
          <w:highlight w:val="none"/>
        </w:rPr>
        <w:t>最终评分结果：总分为</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分，</w:t>
      </w:r>
      <w:r>
        <w:rPr>
          <w:rFonts w:hint="eastAsia" w:ascii="仿宋" w:hAnsi="仿宋" w:eastAsia="仿宋"/>
          <w:sz w:val="32"/>
          <w:szCs w:val="32"/>
          <w:highlight w:val="none"/>
        </w:rPr>
        <w:t>综合评价结论为“优秀</w:t>
      </w:r>
      <w:r>
        <w:rPr>
          <w:rFonts w:hint="eastAsia" w:ascii="仿宋" w:hAnsi="仿宋" w:eastAsia="仿宋"/>
          <w:sz w:val="32"/>
          <w:szCs w:val="32"/>
          <w:highlight w:val="none"/>
          <w:lang w:eastAsia="zh-CN"/>
        </w:rPr>
        <w:t>”</w:t>
      </w:r>
      <w:r>
        <w:rPr>
          <w:rFonts w:hint="eastAsia" w:ascii="仿宋" w:hAnsi="仿宋" w:eastAsia="仿宋"/>
          <w:sz w:val="32"/>
          <w:szCs w:val="32"/>
          <w:highlight w:val="none"/>
        </w:rPr>
        <w:t>。各部分绩效汇总分值如下表所示：</w:t>
      </w:r>
    </w:p>
    <w:tbl>
      <w:tblPr>
        <w:tblStyle w:val="8"/>
        <w:tblW w:w="5000" w:type="pct"/>
        <w:jc w:val="center"/>
        <w:tblLayout w:type="autofit"/>
        <w:tblCellMar>
          <w:top w:w="0" w:type="dxa"/>
          <w:left w:w="0" w:type="dxa"/>
          <w:bottom w:w="0" w:type="dxa"/>
          <w:right w:w="0" w:type="dxa"/>
        </w:tblCellMar>
      </w:tblPr>
      <w:tblGrid>
        <w:gridCol w:w="1923"/>
        <w:gridCol w:w="1554"/>
        <w:gridCol w:w="1234"/>
        <w:gridCol w:w="1300"/>
        <w:gridCol w:w="1700"/>
        <w:gridCol w:w="1164"/>
      </w:tblGrid>
      <w:tr w14:paraId="407D76A8">
        <w:tblPrEx>
          <w:tblCellMar>
            <w:top w:w="0" w:type="dxa"/>
            <w:left w:w="0" w:type="dxa"/>
            <w:bottom w:w="0" w:type="dxa"/>
            <w:right w:w="0" w:type="dxa"/>
          </w:tblCellMar>
        </w:tblPrEx>
        <w:trPr>
          <w:trHeight w:val="431" w:hRule="atLeast"/>
          <w:jc w:val="center"/>
        </w:trPr>
        <w:tc>
          <w:tcPr>
            <w:tcW w:w="10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B355F">
            <w:pPr>
              <w:pStyle w:val="1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指标类别</w:t>
            </w:r>
          </w:p>
        </w:tc>
        <w:tc>
          <w:tcPr>
            <w:tcW w:w="87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10246">
            <w:pPr>
              <w:pStyle w:val="1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预算执行率</w:t>
            </w:r>
          </w:p>
        </w:tc>
        <w:tc>
          <w:tcPr>
            <w:tcW w:w="6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41F7C">
            <w:pPr>
              <w:pStyle w:val="1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项目产出</w:t>
            </w:r>
          </w:p>
        </w:tc>
        <w:tc>
          <w:tcPr>
            <w:tcW w:w="7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16075">
            <w:pPr>
              <w:pStyle w:val="1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项目效益</w:t>
            </w:r>
          </w:p>
        </w:tc>
        <w:tc>
          <w:tcPr>
            <w:tcW w:w="957" w:type="pct"/>
            <w:tcBorders>
              <w:top w:val="single" w:color="000000" w:sz="4" w:space="0"/>
              <w:left w:val="single" w:color="000000" w:sz="4" w:space="0"/>
              <w:bottom w:val="single" w:color="000000" w:sz="4" w:space="0"/>
              <w:right w:val="single" w:color="000000" w:sz="4" w:space="0"/>
            </w:tcBorders>
          </w:tcPr>
          <w:p w14:paraId="50AD282C">
            <w:pPr>
              <w:pStyle w:val="1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项目满意度</w:t>
            </w:r>
          </w:p>
        </w:tc>
        <w:tc>
          <w:tcPr>
            <w:tcW w:w="6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37AC3">
            <w:pPr>
              <w:pStyle w:val="1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合计</w:t>
            </w:r>
          </w:p>
        </w:tc>
      </w:tr>
      <w:tr w14:paraId="709C550C">
        <w:tblPrEx>
          <w:tblCellMar>
            <w:top w:w="0" w:type="dxa"/>
            <w:left w:w="0" w:type="dxa"/>
            <w:bottom w:w="0" w:type="dxa"/>
            <w:right w:w="0" w:type="dxa"/>
          </w:tblCellMar>
        </w:tblPrEx>
        <w:trPr>
          <w:trHeight w:val="431" w:hRule="atLeast"/>
          <w:jc w:val="center"/>
        </w:trPr>
        <w:tc>
          <w:tcPr>
            <w:tcW w:w="10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3BF8E">
            <w:pPr>
              <w:pStyle w:val="11"/>
              <w:rPr>
                <w:rFonts w:hint="eastAsia" w:ascii="仿宋" w:hAnsi="仿宋" w:eastAsia="仿宋" w:cs="仿宋"/>
                <w:sz w:val="28"/>
                <w:szCs w:val="28"/>
                <w:highlight w:val="none"/>
              </w:rPr>
            </w:pPr>
            <w:r>
              <w:rPr>
                <w:rFonts w:hint="eastAsia" w:ascii="仿宋" w:hAnsi="仿宋" w:eastAsia="仿宋" w:cs="仿宋"/>
                <w:sz w:val="28"/>
                <w:szCs w:val="28"/>
                <w:highlight w:val="none"/>
              </w:rPr>
              <w:t>满分分值（分）</w:t>
            </w:r>
          </w:p>
        </w:tc>
        <w:tc>
          <w:tcPr>
            <w:tcW w:w="87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39E62">
            <w:pPr>
              <w:pStyle w:val="11"/>
              <w:rPr>
                <w:rFonts w:hint="eastAsia" w:ascii="仿宋" w:hAnsi="仿宋" w:eastAsia="仿宋" w:cs="仿宋"/>
                <w:sz w:val="28"/>
                <w:szCs w:val="28"/>
                <w:highlight w:val="none"/>
              </w:rPr>
            </w:pPr>
            <w:r>
              <w:rPr>
                <w:rFonts w:hint="eastAsia" w:ascii="仿宋" w:hAnsi="仿宋" w:eastAsia="仿宋" w:cs="仿宋"/>
                <w:sz w:val="28"/>
                <w:szCs w:val="28"/>
                <w:highlight w:val="none"/>
              </w:rPr>
              <w:t>10</w:t>
            </w:r>
          </w:p>
        </w:tc>
        <w:tc>
          <w:tcPr>
            <w:tcW w:w="6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6844A">
            <w:pPr>
              <w:pStyle w:val="11"/>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40</w:t>
            </w:r>
          </w:p>
        </w:tc>
        <w:tc>
          <w:tcPr>
            <w:tcW w:w="7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EB156">
            <w:pPr>
              <w:pStyle w:val="11"/>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40</w:t>
            </w:r>
          </w:p>
        </w:tc>
        <w:tc>
          <w:tcPr>
            <w:tcW w:w="957" w:type="pct"/>
            <w:tcBorders>
              <w:top w:val="single" w:color="000000" w:sz="4" w:space="0"/>
              <w:left w:val="single" w:color="000000" w:sz="4" w:space="0"/>
              <w:bottom w:val="single" w:color="000000" w:sz="4" w:space="0"/>
              <w:right w:val="single" w:color="000000" w:sz="4" w:space="0"/>
            </w:tcBorders>
          </w:tcPr>
          <w:p w14:paraId="5FC1CE4C">
            <w:pPr>
              <w:pStyle w:val="11"/>
              <w:rPr>
                <w:rFonts w:hint="eastAsia" w:ascii="仿宋" w:hAnsi="仿宋" w:eastAsia="仿宋" w:cs="仿宋"/>
                <w:sz w:val="28"/>
                <w:szCs w:val="28"/>
                <w:highlight w:val="none"/>
              </w:rPr>
            </w:pPr>
            <w:r>
              <w:rPr>
                <w:rFonts w:hint="eastAsia" w:ascii="仿宋" w:hAnsi="仿宋" w:eastAsia="仿宋" w:cs="仿宋"/>
                <w:sz w:val="28"/>
                <w:szCs w:val="28"/>
                <w:highlight w:val="none"/>
              </w:rPr>
              <w:t>10</w:t>
            </w:r>
          </w:p>
        </w:tc>
        <w:tc>
          <w:tcPr>
            <w:tcW w:w="6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8E35A">
            <w:pPr>
              <w:pStyle w:val="11"/>
              <w:rPr>
                <w:rFonts w:hint="eastAsia" w:ascii="仿宋" w:hAnsi="仿宋" w:eastAsia="仿宋" w:cs="仿宋"/>
                <w:sz w:val="28"/>
                <w:szCs w:val="28"/>
                <w:highlight w:val="none"/>
              </w:rPr>
            </w:pPr>
            <w:r>
              <w:rPr>
                <w:rFonts w:hint="eastAsia" w:ascii="仿宋" w:hAnsi="仿宋" w:eastAsia="仿宋" w:cs="仿宋"/>
                <w:sz w:val="28"/>
                <w:szCs w:val="28"/>
                <w:highlight w:val="none"/>
              </w:rPr>
              <w:t>100</w:t>
            </w:r>
          </w:p>
        </w:tc>
      </w:tr>
      <w:tr w14:paraId="00091D7A">
        <w:tblPrEx>
          <w:tblCellMar>
            <w:top w:w="0" w:type="dxa"/>
            <w:left w:w="0" w:type="dxa"/>
            <w:bottom w:w="0" w:type="dxa"/>
            <w:right w:w="0" w:type="dxa"/>
          </w:tblCellMar>
        </w:tblPrEx>
        <w:trPr>
          <w:trHeight w:val="441" w:hRule="atLeast"/>
          <w:jc w:val="center"/>
        </w:trPr>
        <w:tc>
          <w:tcPr>
            <w:tcW w:w="10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7D3AB">
            <w:pPr>
              <w:pStyle w:val="11"/>
              <w:rPr>
                <w:rFonts w:hint="eastAsia" w:ascii="仿宋" w:hAnsi="仿宋" w:eastAsia="仿宋" w:cs="仿宋"/>
                <w:sz w:val="28"/>
                <w:szCs w:val="28"/>
                <w:highlight w:val="none"/>
              </w:rPr>
            </w:pPr>
            <w:r>
              <w:rPr>
                <w:rFonts w:hint="eastAsia" w:ascii="仿宋" w:hAnsi="仿宋" w:eastAsia="仿宋" w:cs="仿宋"/>
                <w:sz w:val="28"/>
                <w:szCs w:val="28"/>
                <w:highlight w:val="none"/>
              </w:rPr>
              <w:t>自评得分（分）</w:t>
            </w:r>
          </w:p>
        </w:tc>
        <w:tc>
          <w:tcPr>
            <w:tcW w:w="87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7447C">
            <w:pPr>
              <w:pStyle w:val="11"/>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10</w:t>
            </w:r>
          </w:p>
        </w:tc>
        <w:tc>
          <w:tcPr>
            <w:tcW w:w="6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A6A55">
            <w:pPr>
              <w:pStyle w:val="11"/>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40</w:t>
            </w:r>
          </w:p>
        </w:tc>
        <w:tc>
          <w:tcPr>
            <w:tcW w:w="7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DDEB6">
            <w:pPr>
              <w:pStyle w:val="11"/>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40</w:t>
            </w:r>
          </w:p>
        </w:tc>
        <w:tc>
          <w:tcPr>
            <w:tcW w:w="957" w:type="pct"/>
            <w:tcBorders>
              <w:top w:val="single" w:color="000000" w:sz="4" w:space="0"/>
              <w:left w:val="single" w:color="000000" w:sz="4" w:space="0"/>
              <w:bottom w:val="single" w:color="000000" w:sz="4" w:space="0"/>
              <w:right w:val="single" w:color="000000" w:sz="4" w:space="0"/>
            </w:tcBorders>
          </w:tcPr>
          <w:p w14:paraId="64959B83">
            <w:pPr>
              <w:pStyle w:val="11"/>
              <w:rPr>
                <w:rFonts w:hint="eastAsia" w:ascii="仿宋" w:hAnsi="仿宋" w:eastAsia="仿宋" w:cs="仿宋"/>
                <w:sz w:val="28"/>
                <w:szCs w:val="28"/>
                <w:highlight w:val="none"/>
              </w:rPr>
            </w:pPr>
            <w:r>
              <w:rPr>
                <w:rFonts w:hint="eastAsia" w:ascii="仿宋" w:hAnsi="仿宋" w:eastAsia="仿宋" w:cs="仿宋"/>
                <w:sz w:val="28"/>
                <w:szCs w:val="28"/>
                <w:highlight w:val="none"/>
              </w:rPr>
              <w:t>10</w:t>
            </w:r>
          </w:p>
        </w:tc>
        <w:tc>
          <w:tcPr>
            <w:tcW w:w="6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0D3A1">
            <w:pPr>
              <w:pStyle w:val="11"/>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100</w:t>
            </w:r>
          </w:p>
        </w:tc>
      </w:tr>
    </w:tbl>
    <w:p w14:paraId="01647847">
      <w:pPr>
        <w:spacing w:line="56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五、存在的问题及改进措施</w:t>
      </w:r>
    </w:p>
    <w:p w14:paraId="77AA4897">
      <w:pPr>
        <w:spacing w:line="560" w:lineRule="exact"/>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加强宣传和公众参与：通过多种渠道宣传污水处理和污泥处置的重要性，提高市民的认知度和参与度。</w:t>
      </w:r>
    </w:p>
    <w:p w14:paraId="53AF49DF">
      <w:pPr>
        <w:spacing w:line="560" w:lineRule="exact"/>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优化污泥处置技术：加大对污泥处置技术的研发投入，探索更经济、环保的处置方式，降低处理成本。</w:t>
      </w:r>
    </w:p>
    <w:p w14:paraId="641D61CF">
      <w:pPr>
        <w:spacing w:line="560" w:lineRule="exact"/>
        <w:ind w:left="0" w:leftChars="0" w:firstLine="640" w:firstLineChars="200"/>
        <w:rPr>
          <w:rFonts w:hint="eastAsia" w:ascii="仿宋" w:hAnsi="仿宋" w:eastAsia="仿宋"/>
          <w:sz w:val="32"/>
          <w:szCs w:val="32"/>
          <w:highlight w:val="none"/>
        </w:rPr>
      </w:pPr>
    </w:p>
    <w:p w14:paraId="0D40C422">
      <w:pPr>
        <w:spacing w:line="560" w:lineRule="exact"/>
        <w:ind w:left="0" w:leftChars="0" w:firstLine="3360" w:firstLineChars="1050"/>
        <w:jc w:val="center"/>
        <w:rPr>
          <w:rFonts w:hint="default" w:ascii="仿宋" w:hAnsi="仿宋" w:eastAsia="仿宋"/>
          <w:sz w:val="32"/>
          <w:szCs w:val="32"/>
          <w:highlight w:val="none"/>
          <w:lang w:val="en-US" w:eastAsia="zh-CN"/>
        </w:rPr>
      </w:pPr>
    </w:p>
    <w:bookmarkEnd w:id="0"/>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E8E1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51A7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1151A7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5233EFD"/>
    <w:rsid w:val="062D7C32"/>
    <w:rsid w:val="073F0621"/>
    <w:rsid w:val="076C5FA0"/>
    <w:rsid w:val="0E5A499A"/>
    <w:rsid w:val="0EB97A43"/>
    <w:rsid w:val="0EBD2122"/>
    <w:rsid w:val="11B71E6A"/>
    <w:rsid w:val="155C2F18"/>
    <w:rsid w:val="174A7EB9"/>
    <w:rsid w:val="1AAF0063"/>
    <w:rsid w:val="1BE140DE"/>
    <w:rsid w:val="248C197D"/>
    <w:rsid w:val="252959AF"/>
    <w:rsid w:val="25EF0013"/>
    <w:rsid w:val="277A6671"/>
    <w:rsid w:val="292D35B7"/>
    <w:rsid w:val="2C1A6063"/>
    <w:rsid w:val="2FD306F4"/>
    <w:rsid w:val="32B44805"/>
    <w:rsid w:val="33EB6CFF"/>
    <w:rsid w:val="3B625C0A"/>
    <w:rsid w:val="3CEE1963"/>
    <w:rsid w:val="3E051DFA"/>
    <w:rsid w:val="49C30733"/>
    <w:rsid w:val="4D3974A1"/>
    <w:rsid w:val="512260B4"/>
    <w:rsid w:val="5441169F"/>
    <w:rsid w:val="586345A1"/>
    <w:rsid w:val="597244E8"/>
    <w:rsid w:val="5AE055CE"/>
    <w:rsid w:val="5DA62BB3"/>
    <w:rsid w:val="623C3F3A"/>
    <w:rsid w:val="66AF0CE5"/>
    <w:rsid w:val="68025E5D"/>
    <w:rsid w:val="6E5B14A6"/>
    <w:rsid w:val="6F6F5760"/>
    <w:rsid w:val="753B0E7D"/>
    <w:rsid w:val="7BB51E06"/>
    <w:rsid w:val="7C2E25D9"/>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ind w:left="420" w:leftChars="200"/>
    </w:pPr>
    <w:rPr>
      <w:rFonts w:ascii="Times New Roman" w:hAnsi="Times New Roman" w:eastAsia="宋体" w:cs="Times New Roman"/>
    </w:rPr>
  </w:style>
  <w:style w:type="paragraph" w:styleId="3">
    <w:name w:val="Subtitle"/>
    <w:basedOn w:val="1"/>
    <w:next w:val="1"/>
    <w:qFormat/>
    <w:uiPriority w:val="0"/>
    <w:pPr>
      <w:spacing w:line="700" w:lineRule="exact"/>
      <w:jc w:val="center"/>
      <w:outlineLvl w:val="1"/>
    </w:pPr>
    <w:rPr>
      <w:rFonts w:ascii="Arial" w:hAnsi="Arial" w:eastAsia="方正小标宋简体" w:cs="Arial"/>
      <w:b/>
      <w:bCs/>
      <w:kern w:val="28"/>
      <w:sz w:val="44"/>
      <w:szCs w:val="4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2"/>
    <w:qFormat/>
    <w:uiPriority w:val="0"/>
  </w:style>
  <w:style w:type="character" w:styleId="10">
    <w:name w:val="Strong"/>
    <w:basedOn w:val="9"/>
    <w:qFormat/>
    <w:uiPriority w:val="0"/>
    <w:rPr>
      <w:b/>
    </w:rPr>
  </w:style>
  <w:style w:type="paragraph" w:customStyle="1" w:styleId="11">
    <w:name w:val="表格"/>
    <w:basedOn w:val="1"/>
    <w:qFormat/>
    <w:uiPriority w:val="0"/>
    <w:pPr>
      <w:spacing w:line="240" w:lineRule="auto"/>
      <w:ind w:firstLine="0" w:firstLineChars="0"/>
      <w:jc w:val="center"/>
    </w:pPr>
    <w:rPr>
      <w:rFonts w:ascii="Times New Roman" w:hAnsi="Times New Roman"/>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2112</Words>
  <Characters>2253</Characters>
  <Lines>7</Lines>
  <Paragraphs>2</Paragraphs>
  <TotalTime>2</TotalTime>
  <ScaleCrop>false</ScaleCrop>
  <LinksUpToDate>false</LinksUpToDate>
  <CharactersWithSpaces>2257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cp:lastModifiedBy>
  <cp:lastPrinted>2024-03-06T07:38:00Z</cp:lastPrinted>
  <dcterms:modified xsi:type="dcterms:W3CDTF">2025-03-29T19:19:00Z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0CB56F9AEBC541C4B24B0F76CE4F2439_13</vt:lpwstr>
  </property>
  <property fmtid="{D5CDD505-2E9C-101B-9397-08002B2CF9AE}" pid="4" name="KSOTemplateDocerSaveRecord">
    <vt:lpwstr>eyJoZGlkIjoiYjg3YjZkMDZiMTdkMmI2NjRlZDc4NzhjNTZmMTc0YzgiLCJ1c2VySWQiOiI0MDA1Mzk4NDcifQ==</vt:lpwstr>
  </property>
</Properties>
</file>