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E2A58B">
      <w:pPr>
        <w:ind w:firstLine="640"/>
        <w:rPr>
          <w:color w:val="auto"/>
        </w:rPr>
      </w:pPr>
    </w:p>
    <w:p w14:paraId="3E6E211F">
      <w:pPr>
        <w:ind w:firstLine="880"/>
        <w:jc w:val="center"/>
        <w:rPr>
          <w:rFonts w:ascii="黑体" w:hAnsi="黑体" w:eastAsia="黑体" w:cs="黑体"/>
          <w:color w:val="auto"/>
          <w:sz w:val="44"/>
          <w:szCs w:val="44"/>
        </w:rPr>
      </w:pPr>
      <w:r>
        <w:rPr>
          <w:rFonts w:hint="eastAsia" w:ascii="黑体" w:hAnsi="黑体" w:eastAsia="黑体" w:cs="黑体"/>
          <w:color w:val="auto"/>
          <w:sz w:val="44"/>
          <w:szCs w:val="44"/>
        </w:rPr>
        <w:t>石家庄市移动排涝能力提升项目</w:t>
      </w:r>
    </w:p>
    <w:p w14:paraId="7C063B84">
      <w:pPr>
        <w:ind w:firstLine="880"/>
        <w:jc w:val="center"/>
        <w:rPr>
          <w:rFonts w:ascii="黑体" w:hAnsi="黑体" w:eastAsia="黑体" w:cs="黑体"/>
          <w:color w:val="auto"/>
          <w:sz w:val="44"/>
          <w:szCs w:val="44"/>
        </w:rPr>
      </w:pPr>
      <w:r>
        <w:rPr>
          <w:rFonts w:hint="eastAsia" w:ascii="黑体" w:hAnsi="黑体" w:eastAsia="黑体" w:cs="黑体"/>
          <w:color w:val="auto"/>
          <w:sz w:val="44"/>
          <w:szCs w:val="44"/>
        </w:rPr>
        <w:t>自评报告</w:t>
      </w:r>
    </w:p>
    <w:p w14:paraId="645DC032">
      <w:pPr>
        <w:ind w:firstLine="640"/>
        <w:rPr>
          <w:color w:val="auto"/>
        </w:rPr>
      </w:pPr>
      <w:r>
        <w:rPr>
          <w:rFonts w:hint="eastAsia"/>
          <w:color w:val="auto"/>
          <w:szCs w:val="32"/>
        </w:rPr>
        <w:t>根据《石家庄市财政支出绩效评价办法》（石财绩〔2013〕2号），遵循“科学性、规范性、客观性和公正性”的原则，对石家庄市移动排涝能力提升项目实施了财政支出绩效自评价，形成本评价报告。</w:t>
      </w:r>
    </w:p>
    <w:p w14:paraId="53332E9D">
      <w:pPr>
        <w:pStyle w:val="2"/>
        <w:ind w:firstLine="643"/>
        <w:rPr>
          <w:color w:val="auto"/>
        </w:rPr>
      </w:pPr>
      <w:r>
        <w:rPr>
          <w:color w:val="auto"/>
        </w:rPr>
        <w:t>项目基本情况</w:t>
      </w:r>
    </w:p>
    <w:p w14:paraId="08FDBCDD">
      <w:pPr>
        <w:pStyle w:val="3"/>
        <w:ind w:firstLine="643" w:firstLineChars="0"/>
        <w:rPr>
          <w:color w:val="auto"/>
        </w:rPr>
      </w:pPr>
      <w:r>
        <w:rPr>
          <w:rFonts w:hint="eastAsia"/>
          <w:color w:val="auto"/>
        </w:rPr>
        <w:t>项目概况</w:t>
      </w:r>
    </w:p>
    <w:p w14:paraId="21735FB0">
      <w:pPr>
        <w:pStyle w:val="4"/>
        <w:ind w:firstLine="643"/>
        <w:rPr>
          <w:rFonts w:hint="default"/>
          <w:color w:val="auto"/>
        </w:rPr>
      </w:pPr>
      <w:r>
        <w:rPr>
          <w:color w:val="auto"/>
        </w:rPr>
        <w:t>项目实施单位及项目立项等基本情况</w:t>
      </w:r>
    </w:p>
    <w:p w14:paraId="05CA6656">
      <w:pPr>
        <w:pStyle w:val="5"/>
        <w:ind w:firstLine="643"/>
        <w:rPr>
          <w:color w:val="auto"/>
        </w:rPr>
      </w:pPr>
      <w:r>
        <w:rPr>
          <w:rFonts w:hint="eastAsia"/>
          <w:color w:val="auto"/>
        </w:rPr>
        <w:t>项目实施单位</w:t>
      </w:r>
    </w:p>
    <w:p w14:paraId="01C07451">
      <w:pPr>
        <w:ind w:firstLine="640"/>
        <w:rPr>
          <w:color w:val="auto"/>
        </w:rPr>
      </w:pPr>
      <w:r>
        <w:rPr>
          <w:color w:val="auto"/>
        </w:rPr>
        <w:t>单位名称</w:t>
      </w:r>
      <w:r>
        <w:rPr>
          <w:rFonts w:hint="eastAsia"/>
          <w:color w:val="auto"/>
        </w:rPr>
        <w:t>：石家庄市城市管理综合行政执法局</w:t>
      </w:r>
    </w:p>
    <w:p w14:paraId="688BAC9F">
      <w:pPr>
        <w:ind w:firstLine="640"/>
        <w:rPr>
          <w:color w:val="auto"/>
        </w:rPr>
      </w:pPr>
      <w:r>
        <w:rPr>
          <w:rFonts w:hint="eastAsia"/>
          <w:color w:val="auto"/>
        </w:rPr>
        <w:t>石家庄市城市管理综合行政执法局（以下简称“市城管综合行政执法局”），主要负责城市道路、桥梁、照明、排水等市政设施维护管理工作，负责民心河河道管理、城区防汛工作；负责城市供热燃气、供水节水污水处理行业管理工作；组织督导城市市容环境卫生、城市管理综合执法以及城区生活垃圾、建筑垃圾、餐厨垃圾、粪便垃圾无害化处理工作；负责指导各县（市、区）城镇（县城城建界以内）的城市管理相关工作。</w:t>
      </w:r>
    </w:p>
    <w:p w14:paraId="680663C3">
      <w:pPr>
        <w:pStyle w:val="5"/>
        <w:ind w:firstLine="643"/>
        <w:rPr>
          <w:color w:val="auto"/>
        </w:rPr>
      </w:pPr>
      <w:r>
        <w:rPr>
          <w:color w:val="auto"/>
        </w:rPr>
        <w:t>项目背景</w:t>
      </w:r>
    </w:p>
    <w:p w14:paraId="2C7A882B">
      <w:pPr>
        <w:ind w:firstLine="640"/>
        <w:rPr>
          <w:color w:val="auto"/>
        </w:rPr>
      </w:pPr>
      <w:r>
        <w:rPr>
          <w:rFonts w:hint="eastAsia"/>
          <w:color w:val="auto"/>
        </w:rPr>
        <w:t>近年来，我国许多城市都发生了不同程度的暴雨内涝灾害，特别是北京市的“7·21”、郑州市的“7·20”等特大暴雨洪涝灾害，导致城市积水内涝严重，交通瘫痪、地下空间受淹，不仅给人民群众的生活秩序带来严重影响，甚至危及人员生命安全。</w:t>
      </w:r>
    </w:p>
    <w:p w14:paraId="6DA95EE3">
      <w:pPr>
        <w:ind w:firstLine="640"/>
        <w:rPr>
          <w:color w:val="auto"/>
        </w:rPr>
      </w:pPr>
      <w:r>
        <w:rPr>
          <w:rFonts w:hint="eastAsia"/>
          <w:color w:val="auto"/>
        </w:rPr>
        <w:t>随着《城镇排水与污水处理条例》、《国务院办公厅关于做好城市排水防涝设施建设工作的通知》（国办发[2013]23号）、《国务院办公厅关于加强城市内涝治理的实施意见》（国办发〔2021〕11号）等相关文件及政策法规的出台，对建设城市排水防涝工程体系、提升城市排水防涝工作管理水平、统筹推进城市内涝治理工作提出了新的要求。2023年6月16日，住房和城乡建设部办公厅和应急管理部办公厅联合发布《住房和城乡建设部办公厅应急管理部办公厅关于加强城市排水防涝应急管理工作的通知》（建办城函〔2023〕152号），明确要求各省（自治区）住房和城乡建设（水务）部门摸清本地区城市应急抽排设备、应急救援人员底数，建立本省（自治区）跨区域应急协调联动机制。2023年6月10日，河北省住房和城乡建设厅发布了《河北省住房和城乡建设厅关于印发〈河北省城市排水防涝应急预案〉的通知》（冀建城建函〔2023〕291号），指出汛期来临前，各地城市排水防涝主管部门要依照各自职责持续开展排水防涝安全检查，做到“汛期不过、检查不停、整改不止”。加强泵站、闸门、应急抽排抢险设备等养护维修，清疏雨箅、检查井及排水管网，提高现有设施排涝能力。</w:t>
      </w:r>
    </w:p>
    <w:p w14:paraId="5C343410">
      <w:pPr>
        <w:ind w:firstLine="640"/>
        <w:rPr>
          <w:color w:val="auto"/>
        </w:rPr>
      </w:pPr>
      <w:r>
        <w:rPr>
          <w:rFonts w:hint="eastAsia"/>
          <w:color w:val="auto"/>
        </w:rPr>
        <w:t>石家庄市作为河北省省会城市，高度注重城市排涝体系的建设。为进一步补齐应急排涝短板，提升城市应急管理水平，增强城市“韧性”，通过建设石家庄市移动排涝能力提升项目，按需配备移动泵车等专用排涝设施及相关应急排涝人员，完善物资储备、安全管理制度及调用流程，在出现极端内涝险情时能做到“满足自己”、“辐射周边”，全面保障城市排水安全。</w:t>
      </w:r>
    </w:p>
    <w:p w14:paraId="52FBC7B3">
      <w:pPr>
        <w:pStyle w:val="5"/>
        <w:ind w:firstLine="643"/>
        <w:rPr>
          <w:color w:val="auto"/>
        </w:rPr>
      </w:pPr>
      <w:r>
        <w:rPr>
          <w:rFonts w:hint="eastAsia"/>
          <w:color w:val="auto"/>
        </w:rPr>
        <w:t>项目立项情况</w:t>
      </w:r>
    </w:p>
    <w:p w14:paraId="43157BD7">
      <w:pPr>
        <w:ind w:firstLine="640"/>
        <w:rPr>
          <w:color w:val="auto"/>
        </w:rPr>
      </w:pPr>
      <w:r>
        <w:rPr>
          <w:rFonts w:hint="eastAsia"/>
          <w:color w:val="auto"/>
        </w:rPr>
        <w:t>项目前期资料办理情况：</w:t>
      </w:r>
    </w:p>
    <w:p w14:paraId="5EF83B5D">
      <w:pPr>
        <w:ind w:firstLine="640"/>
        <w:rPr>
          <w:color w:val="auto"/>
        </w:rPr>
      </w:pPr>
      <w:r>
        <w:rPr>
          <w:rFonts w:hint="eastAsia"/>
          <w:color w:val="auto"/>
        </w:rPr>
        <w:t>已于2023年10月28日取得石家庄市行政审批局关于《石家庄市移动排涝能力提升项目可行性研究报告的批复》（石行审投资〔2023〕188号）；</w:t>
      </w:r>
    </w:p>
    <w:p w14:paraId="2919FE91">
      <w:pPr>
        <w:ind w:firstLine="640"/>
        <w:rPr>
          <w:color w:val="auto"/>
        </w:rPr>
      </w:pPr>
      <w:r>
        <w:rPr>
          <w:rFonts w:hint="eastAsia"/>
          <w:color w:val="auto"/>
        </w:rPr>
        <w:t>已于2024年4月2日取得石家庄市行政审批局关于《石家庄市移动排涝能力提升项目初步设计的批复》（石行审投资〔2024〕79号）；</w:t>
      </w:r>
    </w:p>
    <w:p w14:paraId="0AB2FBE0">
      <w:pPr>
        <w:ind w:firstLine="640"/>
        <w:rPr>
          <w:color w:val="auto"/>
        </w:rPr>
      </w:pPr>
      <w:r>
        <w:rPr>
          <w:rFonts w:hint="eastAsia"/>
          <w:color w:val="auto"/>
        </w:rPr>
        <w:t>项目立项流程合规，资料齐全。</w:t>
      </w:r>
    </w:p>
    <w:p w14:paraId="10A8F424">
      <w:pPr>
        <w:pStyle w:val="4"/>
        <w:ind w:firstLine="643"/>
        <w:rPr>
          <w:rFonts w:hint="default"/>
          <w:color w:val="auto"/>
        </w:rPr>
      </w:pPr>
      <w:r>
        <w:rPr>
          <w:rFonts w:hint="default"/>
          <w:color w:val="auto"/>
        </w:rPr>
        <w:t>项目</w:t>
      </w:r>
      <w:r>
        <w:rPr>
          <w:color w:val="auto"/>
        </w:rPr>
        <w:t>主要</w:t>
      </w:r>
      <w:r>
        <w:rPr>
          <w:rFonts w:hint="default"/>
          <w:color w:val="auto"/>
        </w:rPr>
        <w:t>实施内容</w:t>
      </w:r>
      <w:r>
        <w:rPr>
          <w:color w:val="auto"/>
        </w:rPr>
        <w:t>和</w:t>
      </w:r>
      <w:r>
        <w:rPr>
          <w:rFonts w:hint="default"/>
          <w:color w:val="auto"/>
        </w:rPr>
        <w:t>范围</w:t>
      </w:r>
    </w:p>
    <w:p w14:paraId="5A69062B">
      <w:pPr>
        <w:pStyle w:val="5"/>
        <w:ind w:firstLine="643"/>
        <w:rPr>
          <w:color w:val="auto"/>
        </w:rPr>
      </w:pPr>
      <w:r>
        <w:rPr>
          <w:color w:val="auto"/>
        </w:rPr>
        <w:t>项目主要</w:t>
      </w:r>
      <w:r>
        <w:rPr>
          <w:rFonts w:hint="eastAsia"/>
          <w:color w:val="auto"/>
        </w:rPr>
        <w:t>实施</w:t>
      </w:r>
      <w:r>
        <w:rPr>
          <w:color w:val="auto"/>
        </w:rPr>
        <w:t>内容</w:t>
      </w:r>
      <w:r>
        <w:rPr>
          <w:rFonts w:hint="eastAsia"/>
          <w:color w:val="auto"/>
        </w:rPr>
        <w:t>：</w:t>
      </w:r>
    </w:p>
    <w:p w14:paraId="6883C52B">
      <w:pPr>
        <w:ind w:firstLine="640"/>
        <w:rPr>
          <w:color w:val="auto"/>
        </w:rPr>
      </w:pPr>
      <w:r>
        <w:rPr>
          <w:rFonts w:hint="eastAsia"/>
          <w:color w:val="auto"/>
        </w:rPr>
        <w:t>本项目为城市应急排涝能力提升工程，新增城市排涝应急抽排能力24.53万㎡/h，对抽水设备、配套设施、配套车辆进行购置。</w:t>
      </w:r>
    </w:p>
    <w:p w14:paraId="1196139B">
      <w:pPr>
        <w:ind w:firstLine="640"/>
        <w:rPr>
          <w:color w:val="auto"/>
        </w:rPr>
      </w:pPr>
      <w:r>
        <w:rPr>
          <w:rFonts w:hint="eastAsia"/>
          <w:color w:val="auto"/>
        </w:rPr>
        <w:t>购置移动排涝设备：</w:t>
      </w:r>
    </w:p>
    <w:p w14:paraId="288C8DA4">
      <w:pPr>
        <w:ind w:firstLine="640"/>
        <w:rPr>
          <w:color w:val="auto"/>
        </w:rPr>
      </w:pPr>
      <w:r>
        <w:rPr>
          <w:rFonts w:hint="eastAsia"/>
          <w:color w:val="auto"/>
        </w:rPr>
        <w:t>1）抽水设备</w:t>
      </w:r>
    </w:p>
    <w:p w14:paraId="1A3C99C5">
      <w:pPr>
        <w:ind w:firstLine="640"/>
        <w:rPr>
          <w:color w:val="auto"/>
        </w:rPr>
      </w:pPr>
      <w:r>
        <w:rPr>
          <w:rFonts w:hint="eastAsia"/>
          <w:color w:val="auto"/>
        </w:rPr>
        <w:t>含各种型号、各种流量排水抢险泵车、潜水泵移动泵车、皮卡泵车、排涝机器人、排水方舱、渣浆泵等抽排设备。</w:t>
      </w:r>
    </w:p>
    <w:p w14:paraId="06430300">
      <w:pPr>
        <w:ind w:firstLine="640"/>
        <w:rPr>
          <w:color w:val="auto"/>
        </w:rPr>
      </w:pPr>
      <w:r>
        <w:rPr>
          <w:rFonts w:hint="eastAsia"/>
          <w:color w:val="auto"/>
        </w:rPr>
        <w:t>2）配套设施</w:t>
      </w:r>
    </w:p>
    <w:p w14:paraId="1E54BB0B">
      <w:pPr>
        <w:ind w:firstLine="640"/>
        <w:rPr>
          <w:color w:val="auto"/>
        </w:rPr>
      </w:pPr>
      <w:r>
        <w:rPr>
          <w:rFonts w:hint="eastAsia"/>
          <w:color w:val="auto"/>
        </w:rPr>
        <w:t>布管机器人、照明平台、排水软管、冲锋舟、对讲机、无人机等。</w:t>
      </w:r>
    </w:p>
    <w:p w14:paraId="2027D6A5">
      <w:pPr>
        <w:ind w:firstLine="640"/>
        <w:rPr>
          <w:color w:val="auto"/>
        </w:rPr>
      </w:pPr>
      <w:r>
        <w:rPr>
          <w:rFonts w:hint="eastAsia"/>
          <w:color w:val="auto"/>
        </w:rPr>
        <w:t>3）配套车辆</w:t>
      </w:r>
    </w:p>
    <w:p w14:paraId="6C43B63F">
      <w:pPr>
        <w:ind w:firstLine="640"/>
        <w:rPr>
          <w:color w:val="auto"/>
        </w:rPr>
      </w:pPr>
      <w:r>
        <w:rPr>
          <w:rFonts w:hint="eastAsia"/>
          <w:color w:val="auto"/>
        </w:rPr>
        <w:t>含指挥车、通讯车、油罐车以及运送设备物资的厢式货车、运送救援人员的运输车或者其他小汽车、涉深水区的特种车辆等。</w:t>
      </w:r>
    </w:p>
    <w:p w14:paraId="5D8BC417">
      <w:pPr>
        <w:pStyle w:val="5"/>
        <w:ind w:firstLine="643"/>
        <w:rPr>
          <w:color w:val="auto"/>
        </w:rPr>
      </w:pPr>
      <w:r>
        <w:rPr>
          <w:rFonts w:hint="eastAsia"/>
          <w:color w:val="auto"/>
        </w:rPr>
        <w:t>项目</w:t>
      </w:r>
      <w:r>
        <w:rPr>
          <w:color w:val="auto"/>
        </w:rPr>
        <w:t>覆盖区域</w:t>
      </w:r>
      <w:r>
        <w:rPr>
          <w:rFonts w:hint="eastAsia"/>
          <w:color w:val="auto"/>
        </w:rPr>
        <w:t>、</w:t>
      </w:r>
      <w:r>
        <w:rPr>
          <w:color w:val="auto"/>
        </w:rPr>
        <w:t>服务对象等</w:t>
      </w:r>
      <w:r>
        <w:rPr>
          <w:rFonts w:hint="eastAsia"/>
          <w:color w:val="auto"/>
        </w:rPr>
        <w:t>：</w:t>
      </w:r>
    </w:p>
    <w:p w14:paraId="0181F6A1">
      <w:pPr>
        <w:ind w:firstLine="640"/>
        <w:rPr>
          <w:color w:val="auto"/>
        </w:rPr>
      </w:pPr>
      <w:r>
        <w:rPr>
          <w:rFonts w:hint="eastAsia"/>
          <w:color w:val="auto"/>
        </w:rPr>
        <w:t>本项目覆盖区域主要为石家庄市主城区，若周边城市出现内涝灾害、且当地应急力量无法有效应对时，可采取安排就近支援的方式，做到“满足自己”、“辐射周边”，全面保障城市排水安全。</w:t>
      </w:r>
    </w:p>
    <w:p w14:paraId="6E430520">
      <w:pPr>
        <w:ind w:firstLine="640"/>
        <w:rPr>
          <w:color w:val="auto"/>
        </w:rPr>
      </w:pPr>
      <w:r>
        <w:rPr>
          <w:rFonts w:hint="eastAsia"/>
          <w:color w:val="auto"/>
        </w:rPr>
        <w:t>服务对象为石家庄市主城区，旨在提高整体基础设施排涝排水能力，并在现有内涝防治标准基础上，提升石家庄市超标应急防治能力，提升石家庄整体应急防汛能力。</w:t>
      </w:r>
    </w:p>
    <w:p w14:paraId="3665922E">
      <w:pPr>
        <w:pStyle w:val="4"/>
        <w:ind w:firstLine="643"/>
        <w:rPr>
          <w:rFonts w:hint="default"/>
          <w:color w:val="auto"/>
        </w:rPr>
      </w:pPr>
      <w:r>
        <w:rPr>
          <w:rFonts w:hint="default"/>
          <w:color w:val="auto"/>
        </w:rPr>
        <w:t>项目资金投入情况</w:t>
      </w:r>
    </w:p>
    <w:p w14:paraId="1E5D8020">
      <w:pPr>
        <w:pStyle w:val="5"/>
        <w:ind w:firstLine="643"/>
        <w:rPr>
          <w:color w:val="auto"/>
        </w:rPr>
      </w:pPr>
      <w:r>
        <w:rPr>
          <w:color w:val="auto"/>
        </w:rPr>
        <w:t>总投入资金及结构</w:t>
      </w:r>
    </w:p>
    <w:p w14:paraId="5A114BE3">
      <w:pPr>
        <w:ind w:firstLine="640"/>
        <w:rPr>
          <w:color w:val="auto"/>
        </w:rPr>
      </w:pPr>
      <w:r>
        <w:rPr>
          <w:rFonts w:hint="eastAsia"/>
          <w:color w:val="auto"/>
        </w:rPr>
        <w:t>石家庄市移动排涝能力提升项目预算安排总额为35946.00万元，其中：国债中央补助资金28756.00万元，省级补助资金1437.80万元，市级配套资金5752.20万元。</w:t>
      </w:r>
    </w:p>
    <w:p w14:paraId="2AF81425">
      <w:pPr>
        <w:ind w:firstLine="640"/>
        <w:rPr>
          <w:color w:val="auto"/>
        </w:rPr>
      </w:pPr>
      <w:r>
        <w:rPr>
          <w:rFonts w:hint="eastAsia"/>
          <w:color w:val="auto"/>
        </w:rPr>
        <w:t>截至2024年12月底，项目预算支出34829.79万元，预算执行率未96.89%。其中：国债中央补助资支出28756.00万元，省级补助资金支出1437.80万元，市级配套资金已支付4635.99万元。</w:t>
      </w:r>
    </w:p>
    <w:p w14:paraId="521EE028">
      <w:pPr>
        <w:pStyle w:val="27"/>
        <w:rPr>
          <w:rFonts w:hint="default"/>
          <w:color w:val="auto"/>
          <w:lang w:val="en-US"/>
        </w:rPr>
      </w:pPr>
      <w:r>
        <w:rPr>
          <w:color w:val="auto"/>
          <w:lang w:val="en-US"/>
        </w:rPr>
        <w:t>项目资金投入情况表</w:t>
      </w:r>
    </w:p>
    <w:tbl>
      <w:tblPr>
        <w:tblStyle w:val="20"/>
        <w:tblW w:w="4998" w:type="pct"/>
        <w:tblInd w:w="0" w:type="dxa"/>
        <w:tblLayout w:type="autofit"/>
        <w:tblCellMar>
          <w:top w:w="0" w:type="dxa"/>
          <w:left w:w="108" w:type="dxa"/>
          <w:bottom w:w="0" w:type="dxa"/>
          <w:right w:w="108" w:type="dxa"/>
        </w:tblCellMar>
      </w:tblPr>
      <w:tblGrid>
        <w:gridCol w:w="854"/>
        <w:gridCol w:w="2090"/>
        <w:gridCol w:w="1395"/>
        <w:gridCol w:w="2090"/>
        <w:gridCol w:w="2090"/>
      </w:tblGrid>
      <w:tr w14:paraId="2511AA53">
        <w:tblPrEx>
          <w:tblCellMar>
            <w:top w:w="0" w:type="dxa"/>
            <w:left w:w="108" w:type="dxa"/>
            <w:bottom w:w="0" w:type="dxa"/>
            <w:right w:w="108" w:type="dxa"/>
          </w:tblCellMar>
        </w:tblPrEx>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AA1E2D">
            <w:pPr>
              <w:pStyle w:val="26"/>
              <w:rPr>
                <w:rFonts w:hint="default"/>
                <w:color w:val="auto"/>
              </w:rPr>
            </w:pPr>
            <w:r>
              <w:rPr>
                <w:color w:val="auto"/>
              </w:rPr>
              <w:t>序号</w:t>
            </w:r>
          </w:p>
        </w:tc>
        <w:tc>
          <w:tcPr>
            <w:tcW w:w="12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FB862B">
            <w:pPr>
              <w:pStyle w:val="26"/>
              <w:rPr>
                <w:rFonts w:hint="default"/>
                <w:color w:val="auto"/>
              </w:rPr>
            </w:pPr>
            <w:r>
              <w:rPr>
                <w:color w:val="auto"/>
              </w:rPr>
              <w:t>项</w:t>
            </w:r>
          </w:p>
        </w:tc>
        <w:tc>
          <w:tcPr>
            <w:tcW w:w="8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C798FE">
            <w:pPr>
              <w:pStyle w:val="26"/>
              <w:rPr>
                <w:rFonts w:hint="default"/>
                <w:color w:val="auto"/>
              </w:rPr>
            </w:pPr>
            <w:r>
              <w:rPr>
                <w:color w:val="auto"/>
              </w:rPr>
              <w:t>总预算</w:t>
            </w:r>
          </w:p>
        </w:tc>
        <w:tc>
          <w:tcPr>
            <w:tcW w:w="12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1AB206">
            <w:pPr>
              <w:pStyle w:val="26"/>
              <w:rPr>
                <w:rFonts w:hint="default"/>
                <w:color w:val="auto"/>
              </w:rPr>
            </w:pPr>
            <w:r>
              <w:rPr>
                <w:color w:val="auto"/>
              </w:rPr>
              <w:t>预算支出情况</w:t>
            </w:r>
          </w:p>
        </w:tc>
        <w:tc>
          <w:tcPr>
            <w:tcW w:w="12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159C00">
            <w:pPr>
              <w:pStyle w:val="26"/>
              <w:rPr>
                <w:rFonts w:hint="default"/>
                <w:color w:val="auto"/>
              </w:rPr>
            </w:pPr>
            <w:r>
              <w:rPr>
                <w:color w:val="auto"/>
              </w:rPr>
              <w:t>支出比例</w:t>
            </w:r>
          </w:p>
        </w:tc>
      </w:tr>
      <w:tr w14:paraId="19C35403">
        <w:tblPrEx>
          <w:tblCellMar>
            <w:top w:w="0" w:type="dxa"/>
            <w:left w:w="108" w:type="dxa"/>
            <w:bottom w:w="0" w:type="dxa"/>
            <w:right w:w="108" w:type="dxa"/>
          </w:tblCellMar>
        </w:tblPrEx>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B5FE41">
            <w:pPr>
              <w:pStyle w:val="26"/>
              <w:rPr>
                <w:rFonts w:hint="default"/>
                <w:color w:val="auto"/>
              </w:rPr>
            </w:pPr>
            <w:r>
              <w:rPr>
                <w:color w:val="auto"/>
              </w:rPr>
              <w:t>1</w:t>
            </w:r>
          </w:p>
        </w:tc>
        <w:tc>
          <w:tcPr>
            <w:tcW w:w="12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141E13">
            <w:pPr>
              <w:pStyle w:val="26"/>
              <w:rPr>
                <w:rFonts w:hint="default"/>
                <w:color w:val="auto"/>
              </w:rPr>
            </w:pPr>
            <w:r>
              <w:rPr>
                <w:color w:val="auto"/>
              </w:rPr>
              <w:t>资金情况</w:t>
            </w:r>
          </w:p>
        </w:tc>
        <w:tc>
          <w:tcPr>
            <w:tcW w:w="8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2498E1">
            <w:pPr>
              <w:pStyle w:val="26"/>
              <w:rPr>
                <w:rFonts w:hint="default"/>
                <w:color w:val="auto"/>
              </w:rPr>
            </w:pPr>
            <w:r>
              <w:rPr>
                <w:color w:val="auto"/>
              </w:rPr>
              <w:t>35946.00</w:t>
            </w:r>
          </w:p>
        </w:tc>
        <w:tc>
          <w:tcPr>
            <w:tcW w:w="12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9B6426">
            <w:pPr>
              <w:pStyle w:val="26"/>
              <w:rPr>
                <w:rFonts w:hint="default"/>
                <w:color w:val="auto"/>
              </w:rPr>
            </w:pPr>
            <w:r>
              <w:rPr>
                <w:color w:val="auto"/>
              </w:rPr>
              <w:t>34829.79</w:t>
            </w:r>
          </w:p>
        </w:tc>
        <w:tc>
          <w:tcPr>
            <w:tcW w:w="2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0E1B8E">
            <w:pPr>
              <w:pStyle w:val="26"/>
              <w:rPr>
                <w:rFonts w:hint="default"/>
                <w:color w:val="auto"/>
              </w:rPr>
            </w:pPr>
            <w:r>
              <w:rPr>
                <w:color w:val="auto"/>
              </w:rPr>
              <w:t>96.89%</w:t>
            </w:r>
          </w:p>
        </w:tc>
      </w:tr>
      <w:tr w14:paraId="3D6C2C51">
        <w:tblPrEx>
          <w:tblCellMar>
            <w:top w:w="0" w:type="dxa"/>
            <w:left w:w="108" w:type="dxa"/>
            <w:bottom w:w="0" w:type="dxa"/>
            <w:right w:w="108" w:type="dxa"/>
          </w:tblCellMar>
        </w:tblPrEx>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2D3666">
            <w:pPr>
              <w:pStyle w:val="26"/>
              <w:rPr>
                <w:rFonts w:hint="default"/>
                <w:color w:val="auto"/>
              </w:rPr>
            </w:pPr>
            <w:r>
              <w:rPr>
                <w:color w:val="auto"/>
              </w:rPr>
              <w:t>1.1</w:t>
            </w:r>
          </w:p>
        </w:tc>
        <w:tc>
          <w:tcPr>
            <w:tcW w:w="12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0E89EB">
            <w:pPr>
              <w:pStyle w:val="26"/>
              <w:rPr>
                <w:rFonts w:hint="default"/>
                <w:color w:val="auto"/>
              </w:rPr>
            </w:pPr>
            <w:r>
              <w:rPr>
                <w:color w:val="auto"/>
              </w:rPr>
              <w:t>国债中央补助资金</w:t>
            </w:r>
          </w:p>
        </w:tc>
        <w:tc>
          <w:tcPr>
            <w:tcW w:w="8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8DD42C">
            <w:pPr>
              <w:pStyle w:val="26"/>
              <w:rPr>
                <w:rFonts w:hint="default"/>
                <w:color w:val="auto"/>
              </w:rPr>
            </w:pPr>
            <w:r>
              <w:rPr>
                <w:color w:val="auto"/>
              </w:rPr>
              <w:t>28756.00</w:t>
            </w:r>
          </w:p>
        </w:tc>
        <w:tc>
          <w:tcPr>
            <w:tcW w:w="12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F52C24">
            <w:pPr>
              <w:pStyle w:val="26"/>
              <w:rPr>
                <w:rFonts w:hint="default"/>
                <w:color w:val="auto"/>
              </w:rPr>
            </w:pPr>
            <w:r>
              <w:rPr>
                <w:color w:val="auto"/>
              </w:rPr>
              <w:t>28756.00</w:t>
            </w:r>
          </w:p>
        </w:tc>
        <w:tc>
          <w:tcPr>
            <w:tcW w:w="2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469EA6">
            <w:pPr>
              <w:pStyle w:val="26"/>
              <w:rPr>
                <w:rFonts w:hint="default"/>
                <w:color w:val="auto"/>
              </w:rPr>
            </w:pPr>
            <w:r>
              <w:rPr>
                <w:color w:val="auto"/>
              </w:rPr>
              <w:t>100.00%</w:t>
            </w:r>
          </w:p>
        </w:tc>
      </w:tr>
      <w:tr w14:paraId="1376BF51">
        <w:tblPrEx>
          <w:tblCellMar>
            <w:top w:w="0" w:type="dxa"/>
            <w:left w:w="108" w:type="dxa"/>
            <w:bottom w:w="0" w:type="dxa"/>
            <w:right w:w="108" w:type="dxa"/>
          </w:tblCellMar>
        </w:tblPrEx>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1E3A06">
            <w:pPr>
              <w:pStyle w:val="26"/>
              <w:rPr>
                <w:rFonts w:hint="default"/>
                <w:color w:val="auto"/>
              </w:rPr>
            </w:pPr>
            <w:r>
              <w:rPr>
                <w:color w:val="auto"/>
              </w:rPr>
              <w:t>1.2</w:t>
            </w:r>
          </w:p>
        </w:tc>
        <w:tc>
          <w:tcPr>
            <w:tcW w:w="12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9E90AD">
            <w:pPr>
              <w:pStyle w:val="26"/>
              <w:rPr>
                <w:rFonts w:hint="default" w:ascii="Times New Roman" w:hAnsi="Times New Roman"/>
                <w:color w:val="auto"/>
              </w:rPr>
            </w:pPr>
            <w:r>
              <w:rPr>
                <w:rFonts w:hint="default"/>
                <w:color w:val="auto"/>
              </w:rPr>
              <w:t>省级</w:t>
            </w:r>
            <w:r>
              <w:rPr>
                <w:color w:val="auto"/>
              </w:rPr>
              <w:t>补助</w:t>
            </w:r>
            <w:r>
              <w:rPr>
                <w:rFonts w:hint="default"/>
                <w:color w:val="auto"/>
              </w:rPr>
              <w:t>资金</w:t>
            </w:r>
          </w:p>
        </w:tc>
        <w:tc>
          <w:tcPr>
            <w:tcW w:w="8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DBCCA1">
            <w:pPr>
              <w:pStyle w:val="26"/>
              <w:rPr>
                <w:rFonts w:hint="default"/>
                <w:color w:val="auto"/>
              </w:rPr>
            </w:pPr>
            <w:r>
              <w:rPr>
                <w:color w:val="auto"/>
              </w:rPr>
              <w:t>1437.80</w:t>
            </w:r>
          </w:p>
        </w:tc>
        <w:tc>
          <w:tcPr>
            <w:tcW w:w="12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C1C743">
            <w:pPr>
              <w:pStyle w:val="26"/>
              <w:rPr>
                <w:rFonts w:hint="default"/>
                <w:color w:val="auto"/>
              </w:rPr>
            </w:pPr>
            <w:r>
              <w:rPr>
                <w:color w:val="auto"/>
              </w:rPr>
              <w:t>1437.80</w:t>
            </w:r>
          </w:p>
        </w:tc>
        <w:tc>
          <w:tcPr>
            <w:tcW w:w="2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BF4A59">
            <w:pPr>
              <w:pStyle w:val="26"/>
              <w:rPr>
                <w:rFonts w:hint="default"/>
                <w:color w:val="auto"/>
              </w:rPr>
            </w:pPr>
            <w:r>
              <w:rPr>
                <w:color w:val="auto"/>
              </w:rPr>
              <w:t>100.00%</w:t>
            </w:r>
          </w:p>
        </w:tc>
      </w:tr>
      <w:tr w14:paraId="15D67828">
        <w:tblPrEx>
          <w:tblCellMar>
            <w:top w:w="0" w:type="dxa"/>
            <w:left w:w="108" w:type="dxa"/>
            <w:bottom w:w="0" w:type="dxa"/>
            <w:right w:w="108" w:type="dxa"/>
          </w:tblCellMar>
        </w:tblPrEx>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DE6687">
            <w:pPr>
              <w:pStyle w:val="26"/>
              <w:rPr>
                <w:rFonts w:hint="default"/>
                <w:color w:val="auto"/>
              </w:rPr>
            </w:pPr>
            <w:r>
              <w:rPr>
                <w:color w:val="auto"/>
              </w:rPr>
              <w:t>1.3</w:t>
            </w:r>
          </w:p>
        </w:tc>
        <w:tc>
          <w:tcPr>
            <w:tcW w:w="12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656995">
            <w:pPr>
              <w:pStyle w:val="26"/>
              <w:rPr>
                <w:rFonts w:hint="default" w:ascii="Times New Roman" w:hAnsi="Times New Roman"/>
                <w:color w:val="auto"/>
              </w:rPr>
            </w:pPr>
            <w:r>
              <w:rPr>
                <w:rFonts w:hint="default"/>
                <w:color w:val="auto"/>
              </w:rPr>
              <w:t>市级</w:t>
            </w:r>
            <w:r>
              <w:rPr>
                <w:color w:val="auto"/>
              </w:rPr>
              <w:t>配套</w:t>
            </w:r>
            <w:r>
              <w:rPr>
                <w:rFonts w:hint="default"/>
                <w:color w:val="auto"/>
              </w:rPr>
              <w:t>资金</w:t>
            </w:r>
          </w:p>
        </w:tc>
        <w:tc>
          <w:tcPr>
            <w:tcW w:w="8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438303">
            <w:pPr>
              <w:pStyle w:val="26"/>
              <w:rPr>
                <w:rFonts w:hint="default"/>
                <w:color w:val="auto"/>
              </w:rPr>
            </w:pPr>
            <w:r>
              <w:rPr>
                <w:color w:val="auto"/>
              </w:rPr>
              <w:t>5752.20</w:t>
            </w:r>
          </w:p>
        </w:tc>
        <w:tc>
          <w:tcPr>
            <w:tcW w:w="12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592EE8">
            <w:pPr>
              <w:pStyle w:val="26"/>
              <w:rPr>
                <w:rFonts w:hint="default"/>
                <w:color w:val="auto"/>
              </w:rPr>
            </w:pPr>
            <w:r>
              <w:rPr>
                <w:color w:val="auto"/>
              </w:rPr>
              <w:t>4635.99</w:t>
            </w:r>
          </w:p>
        </w:tc>
        <w:tc>
          <w:tcPr>
            <w:tcW w:w="2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38B545">
            <w:pPr>
              <w:pStyle w:val="26"/>
              <w:rPr>
                <w:rFonts w:hint="default"/>
                <w:color w:val="auto"/>
              </w:rPr>
            </w:pPr>
            <w:r>
              <w:rPr>
                <w:color w:val="auto"/>
              </w:rPr>
              <w:t>80.60%</w:t>
            </w:r>
          </w:p>
        </w:tc>
      </w:tr>
    </w:tbl>
    <w:p w14:paraId="5E8E53A7">
      <w:pPr>
        <w:pStyle w:val="5"/>
        <w:ind w:firstLine="643"/>
        <w:rPr>
          <w:color w:val="auto"/>
        </w:rPr>
      </w:pPr>
      <w:r>
        <w:rPr>
          <w:rFonts w:hint="eastAsia"/>
          <w:color w:val="auto"/>
        </w:rPr>
        <w:t>项目资金支出情况</w:t>
      </w:r>
    </w:p>
    <w:p w14:paraId="01321CFE">
      <w:pPr>
        <w:ind w:firstLine="640"/>
        <w:rPr>
          <w:color w:val="auto"/>
        </w:rPr>
      </w:pPr>
      <w:r>
        <w:rPr>
          <w:color w:val="auto"/>
        </w:rPr>
        <w:t>本项目实际支付资金</w:t>
      </w:r>
      <w:r>
        <w:rPr>
          <w:rFonts w:hint="eastAsia"/>
          <w:color w:val="auto"/>
        </w:rPr>
        <w:t>34829.79</w:t>
      </w:r>
      <w:r>
        <w:rPr>
          <w:color w:val="auto"/>
        </w:rPr>
        <w:t>万元，预算执行率</w:t>
      </w:r>
      <w:r>
        <w:rPr>
          <w:rFonts w:hint="eastAsia"/>
          <w:color w:val="auto"/>
        </w:rPr>
        <w:t>96.89%</w:t>
      </w:r>
      <w:r>
        <w:rPr>
          <w:color w:val="auto"/>
        </w:rPr>
        <w:t>（预算执行率=（实际支出资金/预算批复金额）*100%。项目资金主要用于支付</w:t>
      </w:r>
      <w:r>
        <w:rPr>
          <w:rFonts w:hint="eastAsia"/>
          <w:color w:val="auto"/>
        </w:rPr>
        <w:t>石家庄市移动排涝能力提升项目采购排涝设备及配套车辆、配套设施等</w:t>
      </w:r>
      <w:r>
        <w:rPr>
          <w:color w:val="auto"/>
        </w:rPr>
        <w:t>。</w:t>
      </w:r>
    </w:p>
    <w:p w14:paraId="6ABBB004">
      <w:pPr>
        <w:pStyle w:val="27"/>
        <w:rPr>
          <w:rFonts w:hint="default"/>
          <w:color w:val="auto"/>
        </w:rPr>
      </w:pPr>
      <w:r>
        <w:rPr>
          <w:color w:val="auto"/>
        </w:rPr>
        <w:t>项目资金</w:t>
      </w:r>
      <w:r>
        <w:rPr>
          <w:color w:val="auto"/>
          <w:lang w:val="en-US"/>
        </w:rPr>
        <w:t>支出</w:t>
      </w:r>
      <w:r>
        <w:rPr>
          <w:color w:val="auto"/>
        </w:rPr>
        <w:t>表</w:t>
      </w:r>
    </w:p>
    <w:tbl>
      <w:tblPr>
        <w:tblStyle w:val="20"/>
        <w:tblW w:w="8778" w:type="dxa"/>
        <w:jc w:val="center"/>
        <w:tblLayout w:type="fixed"/>
        <w:tblCellMar>
          <w:top w:w="0" w:type="dxa"/>
          <w:left w:w="108" w:type="dxa"/>
          <w:bottom w:w="0" w:type="dxa"/>
          <w:right w:w="108" w:type="dxa"/>
        </w:tblCellMar>
      </w:tblPr>
      <w:tblGrid>
        <w:gridCol w:w="622"/>
        <w:gridCol w:w="1598"/>
        <w:gridCol w:w="1237"/>
        <w:gridCol w:w="1257"/>
        <w:gridCol w:w="1068"/>
        <w:gridCol w:w="1097"/>
        <w:gridCol w:w="873"/>
        <w:gridCol w:w="1026"/>
      </w:tblGrid>
      <w:tr w14:paraId="4C92E8E4">
        <w:tblPrEx>
          <w:tblCellMar>
            <w:top w:w="0" w:type="dxa"/>
            <w:left w:w="108" w:type="dxa"/>
            <w:bottom w:w="0" w:type="dxa"/>
            <w:right w:w="108" w:type="dxa"/>
          </w:tblCellMar>
        </w:tblPrEx>
        <w:trPr>
          <w:trHeight w:val="635" w:hRule="atLeast"/>
          <w:jc w:val="center"/>
        </w:trPr>
        <w:tc>
          <w:tcPr>
            <w:tcW w:w="622"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CFD75A">
            <w:pPr>
              <w:spacing w:line="240" w:lineRule="auto"/>
              <w:ind w:firstLine="0" w:firstLineChars="0"/>
              <w:jc w:val="center"/>
              <w:rPr>
                <w:color w:val="auto"/>
                <w:sz w:val="24"/>
              </w:rPr>
            </w:pPr>
            <w:r>
              <w:rPr>
                <w:rFonts w:hint="eastAsia"/>
                <w:color w:val="auto"/>
                <w:sz w:val="24"/>
              </w:rPr>
              <w:t>序号</w:t>
            </w:r>
          </w:p>
        </w:tc>
        <w:tc>
          <w:tcPr>
            <w:tcW w:w="1598"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A7E6C8">
            <w:pPr>
              <w:spacing w:line="240" w:lineRule="auto"/>
              <w:ind w:firstLine="0" w:firstLineChars="0"/>
              <w:jc w:val="center"/>
              <w:rPr>
                <w:color w:val="auto"/>
                <w:sz w:val="24"/>
              </w:rPr>
            </w:pPr>
            <w:r>
              <w:rPr>
                <w:rFonts w:hint="eastAsia"/>
                <w:color w:val="auto"/>
                <w:sz w:val="24"/>
              </w:rPr>
              <w:t>费用明细项</w:t>
            </w:r>
          </w:p>
        </w:tc>
        <w:tc>
          <w:tcPr>
            <w:tcW w:w="12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EEB1495">
            <w:pPr>
              <w:spacing w:line="240" w:lineRule="auto"/>
              <w:ind w:firstLine="0" w:firstLineChars="0"/>
              <w:jc w:val="center"/>
              <w:rPr>
                <w:color w:val="auto"/>
                <w:sz w:val="24"/>
              </w:rPr>
            </w:pPr>
            <w:r>
              <w:rPr>
                <w:rFonts w:hint="eastAsia"/>
                <w:color w:val="auto"/>
                <w:sz w:val="24"/>
              </w:rPr>
              <w:t>合同金额</w:t>
            </w:r>
            <w:r>
              <w:rPr>
                <w:rFonts w:hint="eastAsia"/>
                <w:color w:val="auto"/>
                <w:sz w:val="24"/>
              </w:rPr>
              <w:br w:type="textWrapping"/>
            </w:r>
            <w:r>
              <w:rPr>
                <w:rFonts w:hint="eastAsia"/>
                <w:color w:val="auto"/>
                <w:sz w:val="24"/>
              </w:rPr>
              <w:t>（万元）</w:t>
            </w:r>
          </w:p>
        </w:tc>
        <w:tc>
          <w:tcPr>
            <w:tcW w:w="3422" w:type="dxa"/>
            <w:gridSpan w:val="3"/>
            <w:tcBorders>
              <w:top w:val="single" w:color="000000" w:sz="4" w:space="0"/>
              <w:left w:val="single" w:color="000000" w:sz="4" w:space="0"/>
              <w:bottom w:val="nil"/>
              <w:right w:val="single" w:color="000000" w:sz="4" w:space="0"/>
            </w:tcBorders>
            <w:shd w:val="clear" w:color="auto" w:fill="auto"/>
            <w:vAlign w:val="center"/>
          </w:tcPr>
          <w:p w14:paraId="48891E0B">
            <w:pPr>
              <w:spacing w:line="240" w:lineRule="auto"/>
              <w:ind w:firstLine="0" w:firstLineChars="0"/>
              <w:jc w:val="center"/>
              <w:rPr>
                <w:color w:val="auto"/>
                <w:sz w:val="24"/>
              </w:rPr>
            </w:pPr>
            <w:r>
              <w:rPr>
                <w:rFonts w:hint="eastAsia"/>
                <w:color w:val="auto"/>
                <w:sz w:val="24"/>
              </w:rPr>
              <w:t>支出金额</w:t>
            </w:r>
            <w:r>
              <w:rPr>
                <w:rFonts w:hint="eastAsia"/>
                <w:color w:val="auto"/>
                <w:sz w:val="24"/>
              </w:rPr>
              <w:br w:type="textWrapping"/>
            </w:r>
            <w:r>
              <w:rPr>
                <w:rFonts w:hint="eastAsia"/>
                <w:color w:val="auto"/>
                <w:sz w:val="24"/>
              </w:rPr>
              <w:t>（万元）</w:t>
            </w:r>
          </w:p>
        </w:tc>
        <w:tc>
          <w:tcPr>
            <w:tcW w:w="873" w:type="dxa"/>
            <w:vMerge w:val="restart"/>
            <w:tcBorders>
              <w:top w:val="single" w:color="000000" w:sz="4" w:space="0"/>
              <w:left w:val="single" w:color="000000" w:sz="4" w:space="0"/>
              <w:right w:val="single" w:color="000000" w:sz="4" w:space="0"/>
            </w:tcBorders>
            <w:shd w:val="clear" w:color="auto" w:fill="auto"/>
            <w:vAlign w:val="center"/>
          </w:tcPr>
          <w:p w14:paraId="0A656CB5">
            <w:pPr>
              <w:spacing w:line="240" w:lineRule="auto"/>
              <w:ind w:firstLine="0" w:firstLineChars="0"/>
              <w:jc w:val="center"/>
              <w:rPr>
                <w:color w:val="auto"/>
                <w:sz w:val="24"/>
              </w:rPr>
            </w:pPr>
            <w:r>
              <w:rPr>
                <w:rFonts w:hint="eastAsia"/>
                <w:color w:val="auto"/>
                <w:sz w:val="24"/>
              </w:rPr>
              <w:t>支出</w:t>
            </w:r>
          </w:p>
          <w:p w14:paraId="2ADF8A57">
            <w:pPr>
              <w:spacing w:line="240" w:lineRule="auto"/>
              <w:ind w:firstLine="0" w:firstLineChars="0"/>
              <w:jc w:val="center"/>
              <w:rPr>
                <w:color w:val="auto"/>
                <w:sz w:val="24"/>
              </w:rPr>
            </w:pPr>
            <w:r>
              <w:rPr>
                <w:rFonts w:hint="eastAsia"/>
                <w:color w:val="auto"/>
                <w:sz w:val="24"/>
              </w:rPr>
              <w:t>小计</w:t>
            </w:r>
          </w:p>
        </w:tc>
        <w:tc>
          <w:tcPr>
            <w:tcW w:w="102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ADD90B">
            <w:pPr>
              <w:spacing w:line="240" w:lineRule="auto"/>
              <w:ind w:firstLine="0" w:firstLineChars="0"/>
              <w:jc w:val="center"/>
              <w:rPr>
                <w:color w:val="auto"/>
                <w:sz w:val="24"/>
              </w:rPr>
            </w:pPr>
            <w:r>
              <w:rPr>
                <w:rFonts w:hint="eastAsia"/>
                <w:color w:val="auto"/>
                <w:sz w:val="24"/>
              </w:rPr>
              <w:t>支付</w:t>
            </w:r>
          </w:p>
          <w:p w14:paraId="6F757963">
            <w:pPr>
              <w:spacing w:line="240" w:lineRule="auto"/>
              <w:ind w:firstLine="0" w:firstLineChars="0"/>
              <w:jc w:val="center"/>
              <w:rPr>
                <w:color w:val="auto"/>
                <w:sz w:val="24"/>
              </w:rPr>
            </w:pPr>
            <w:r>
              <w:rPr>
                <w:rFonts w:hint="eastAsia"/>
                <w:color w:val="auto"/>
                <w:sz w:val="24"/>
              </w:rPr>
              <w:t>比例</w:t>
            </w:r>
          </w:p>
        </w:tc>
      </w:tr>
      <w:tr w14:paraId="35903C11">
        <w:tblPrEx>
          <w:tblCellMar>
            <w:top w:w="0" w:type="dxa"/>
            <w:left w:w="108" w:type="dxa"/>
            <w:bottom w:w="0" w:type="dxa"/>
            <w:right w:w="108" w:type="dxa"/>
          </w:tblCellMar>
        </w:tblPrEx>
        <w:trPr>
          <w:trHeight w:val="948" w:hRule="atLeast"/>
          <w:jc w:val="center"/>
        </w:trPr>
        <w:tc>
          <w:tcPr>
            <w:tcW w:w="62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756257">
            <w:pPr>
              <w:spacing w:line="240" w:lineRule="auto"/>
              <w:ind w:firstLine="0" w:firstLineChars="0"/>
              <w:jc w:val="center"/>
              <w:rPr>
                <w:color w:val="auto"/>
                <w:sz w:val="24"/>
              </w:rPr>
            </w:pPr>
          </w:p>
        </w:tc>
        <w:tc>
          <w:tcPr>
            <w:tcW w:w="159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7DD8A1">
            <w:pPr>
              <w:spacing w:line="240" w:lineRule="auto"/>
              <w:ind w:firstLine="0" w:firstLineChars="0"/>
              <w:jc w:val="center"/>
              <w:rPr>
                <w:color w:val="auto"/>
                <w:sz w:val="24"/>
              </w:rPr>
            </w:pPr>
          </w:p>
        </w:tc>
        <w:tc>
          <w:tcPr>
            <w:tcW w:w="12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282C66">
            <w:pPr>
              <w:spacing w:line="240" w:lineRule="auto"/>
              <w:ind w:firstLine="0" w:firstLineChars="0"/>
              <w:jc w:val="center"/>
              <w:rPr>
                <w:color w:val="auto"/>
                <w:sz w:val="24"/>
              </w:rPr>
            </w:pPr>
          </w:p>
        </w:tc>
        <w:tc>
          <w:tcPr>
            <w:tcW w:w="12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4C645D">
            <w:pPr>
              <w:spacing w:line="240" w:lineRule="auto"/>
              <w:ind w:firstLine="0" w:firstLineChars="0"/>
              <w:jc w:val="center"/>
              <w:rPr>
                <w:color w:val="auto"/>
                <w:sz w:val="24"/>
              </w:rPr>
            </w:pPr>
            <w:r>
              <w:rPr>
                <w:rFonts w:hint="eastAsia"/>
                <w:color w:val="auto"/>
                <w:sz w:val="24"/>
              </w:rPr>
              <w:t>国债中央补助资金</w:t>
            </w: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A29D46">
            <w:pPr>
              <w:spacing w:line="240" w:lineRule="auto"/>
              <w:ind w:firstLine="0" w:firstLineChars="0"/>
              <w:jc w:val="center"/>
              <w:rPr>
                <w:color w:val="auto"/>
                <w:sz w:val="24"/>
              </w:rPr>
            </w:pPr>
            <w:r>
              <w:rPr>
                <w:rFonts w:hint="eastAsia"/>
                <w:color w:val="auto"/>
                <w:sz w:val="24"/>
              </w:rPr>
              <w:t>省级补助资金</w:t>
            </w:r>
          </w:p>
        </w:tc>
        <w:tc>
          <w:tcPr>
            <w:tcW w:w="10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C1DF0D">
            <w:pPr>
              <w:spacing w:line="240" w:lineRule="auto"/>
              <w:ind w:firstLine="0" w:firstLineChars="0"/>
              <w:jc w:val="center"/>
              <w:rPr>
                <w:color w:val="auto"/>
                <w:sz w:val="24"/>
              </w:rPr>
            </w:pPr>
            <w:r>
              <w:rPr>
                <w:rFonts w:hint="eastAsia"/>
                <w:color w:val="auto"/>
                <w:sz w:val="24"/>
              </w:rPr>
              <w:t>市级补助资金</w:t>
            </w:r>
          </w:p>
        </w:tc>
        <w:tc>
          <w:tcPr>
            <w:tcW w:w="873" w:type="dxa"/>
            <w:vMerge w:val="continue"/>
            <w:tcBorders>
              <w:left w:val="single" w:color="000000" w:sz="4" w:space="0"/>
              <w:bottom w:val="single" w:color="000000" w:sz="4" w:space="0"/>
              <w:right w:val="single" w:color="000000" w:sz="4" w:space="0"/>
            </w:tcBorders>
            <w:shd w:val="clear" w:color="auto" w:fill="auto"/>
            <w:vAlign w:val="center"/>
          </w:tcPr>
          <w:p w14:paraId="1BAC19B2">
            <w:pPr>
              <w:spacing w:line="240" w:lineRule="auto"/>
              <w:ind w:firstLine="0" w:firstLineChars="0"/>
              <w:jc w:val="center"/>
              <w:rPr>
                <w:color w:val="auto"/>
                <w:sz w:val="24"/>
              </w:rPr>
            </w:pPr>
          </w:p>
        </w:tc>
        <w:tc>
          <w:tcPr>
            <w:tcW w:w="102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6C6DF7">
            <w:pPr>
              <w:spacing w:line="240" w:lineRule="auto"/>
              <w:ind w:firstLine="0" w:firstLineChars="0"/>
              <w:jc w:val="center"/>
              <w:rPr>
                <w:color w:val="auto"/>
                <w:sz w:val="24"/>
              </w:rPr>
            </w:pPr>
          </w:p>
        </w:tc>
      </w:tr>
      <w:tr w14:paraId="7B486D26">
        <w:tblPrEx>
          <w:tblCellMar>
            <w:top w:w="0" w:type="dxa"/>
            <w:left w:w="108" w:type="dxa"/>
            <w:bottom w:w="0" w:type="dxa"/>
            <w:right w:w="108" w:type="dxa"/>
          </w:tblCellMar>
        </w:tblPrEx>
        <w:trPr>
          <w:trHeight w:val="635" w:hRule="atLeast"/>
          <w:jc w:val="center"/>
        </w:trPr>
        <w:tc>
          <w:tcPr>
            <w:tcW w:w="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66D387">
            <w:pPr>
              <w:spacing w:line="240" w:lineRule="auto"/>
              <w:ind w:firstLine="0" w:firstLineChars="0"/>
              <w:jc w:val="center"/>
              <w:rPr>
                <w:color w:val="auto"/>
                <w:sz w:val="24"/>
              </w:rPr>
            </w:pPr>
            <w:r>
              <w:rPr>
                <w:rFonts w:hint="eastAsia"/>
                <w:color w:val="auto"/>
                <w:sz w:val="24"/>
              </w:rPr>
              <w:t>1</w:t>
            </w:r>
          </w:p>
        </w:tc>
        <w:tc>
          <w:tcPr>
            <w:tcW w:w="15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18F9E6">
            <w:pPr>
              <w:spacing w:line="240" w:lineRule="auto"/>
              <w:ind w:firstLine="0" w:firstLineChars="0"/>
              <w:jc w:val="center"/>
              <w:rPr>
                <w:color w:val="auto"/>
                <w:sz w:val="24"/>
              </w:rPr>
            </w:pPr>
            <w:r>
              <w:rPr>
                <w:rFonts w:hint="eastAsia"/>
                <w:color w:val="auto"/>
                <w:sz w:val="24"/>
              </w:rPr>
              <w:t>32个标段采购合同</w:t>
            </w:r>
          </w:p>
        </w:tc>
        <w:tc>
          <w:tcPr>
            <w:tcW w:w="12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EF1B2C">
            <w:pPr>
              <w:spacing w:line="240" w:lineRule="auto"/>
              <w:ind w:firstLine="0" w:firstLineChars="0"/>
              <w:jc w:val="center"/>
              <w:rPr>
                <w:color w:val="auto"/>
                <w:sz w:val="24"/>
              </w:rPr>
            </w:pPr>
            <w:r>
              <w:rPr>
                <w:rFonts w:hint="eastAsia"/>
                <w:color w:val="auto"/>
                <w:sz w:val="24"/>
              </w:rPr>
              <w:t>34940.07</w:t>
            </w:r>
          </w:p>
        </w:tc>
        <w:tc>
          <w:tcPr>
            <w:tcW w:w="12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85A1D9">
            <w:pPr>
              <w:spacing w:line="240" w:lineRule="auto"/>
              <w:ind w:firstLine="0" w:firstLineChars="0"/>
              <w:jc w:val="center"/>
              <w:rPr>
                <w:color w:val="auto"/>
                <w:sz w:val="24"/>
              </w:rPr>
            </w:pPr>
            <w:r>
              <w:rPr>
                <w:rFonts w:hint="eastAsia"/>
                <w:color w:val="auto"/>
                <w:sz w:val="24"/>
              </w:rPr>
              <w:t>28737.08</w:t>
            </w:r>
          </w:p>
        </w:tc>
        <w:tc>
          <w:tcPr>
            <w:tcW w:w="10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ACFB5B">
            <w:pPr>
              <w:spacing w:line="240" w:lineRule="auto"/>
              <w:ind w:firstLine="0" w:firstLineChars="0"/>
              <w:jc w:val="center"/>
              <w:rPr>
                <w:color w:val="auto"/>
                <w:sz w:val="24"/>
              </w:rPr>
            </w:pPr>
            <w:r>
              <w:rPr>
                <w:rFonts w:hint="eastAsia"/>
                <w:color w:val="auto"/>
                <w:sz w:val="24"/>
              </w:rPr>
              <w:t>1437.80</w:t>
            </w: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808AEA">
            <w:pPr>
              <w:spacing w:line="240" w:lineRule="auto"/>
              <w:ind w:firstLine="0" w:firstLineChars="0"/>
              <w:jc w:val="center"/>
              <w:rPr>
                <w:color w:val="auto"/>
                <w:sz w:val="24"/>
              </w:rPr>
            </w:pPr>
            <w:r>
              <w:rPr>
                <w:rFonts w:hint="eastAsia"/>
                <w:color w:val="auto"/>
                <w:sz w:val="24"/>
              </w:rPr>
              <w:t>4630.76</w:t>
            </w:r>
          </w:p>
        </w:tc>
        <w:tc>
          <w:tcPr>
            <w:tcW w:w="8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9AAFF7">
            <w:pPr>
              <w:spacing w:line="240" w:lineRule="auto"/>
              <w:ind w:firstLine="0" w:firstLineChars="0"/>
              <w:jc w:val="center"/>
              <w:rPr>
                <w:color w:val="auto"/>
                <w:sz w:val="24"/>
              </w:rPr>
            </w:pPr>
            <w:r>
              <w:rPr>
                <w:rFonts w:hint="eastAsia"/>
                <w:color w:val="auto"/>
                <w:sz w:val="24"/>
              </w:rPr>
              <w:t>34805.64</w:t>
            </w:r>
          </w:p>
        </w:tc>
        <w:tc>
          <w:tcPr>
            <w:tcW w:w="10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53B99F">
            <w:pPr>
              <w:spacing w:line="240" w:lineRule="auto"/>
              <w:ind w:firstLine="0" w:firstLineChars="0"/>
              <w:jc w:val="center"/>
              <w:rPr>
                <w:color w:val="auto"/>
                <w:sz w:val="24"/>
              </w:rPr>
            </w:pPr>
            <w:r>
              <w:rPr>
                <w:rFonts w:hint="eastAsia"/>
                <w:color w:val="auto"/>
                <w:sz w:val="24"/>
              </w:rPr>
              <w:t>99.62%</w:t>
            </w:r>
          </w:p>
        </w:tc>
      </w:tr>
      <w:tr w14:paraId="4E789F64">
        <w:tblPrEx>
          <w:tblCellMar>
            <w:top w:w="0" w:type="dxa"/>
            <w:left w:w="108" w:type="dxa"/>
            <w:bottom w:w="0" w:type="dxa"/>
            <w:right w:w="108" w:type="dxa"/>
          </w:tblCellMar>
        </w:tblPrEx>
        <w:trPr>
          <w:trHeight w:val="322" w:hRule="atLeast"/>
          <w:jc w:val="center"/>
        </w:trPr>
        <w:tc>
          <w:tcPr>
            <w:tcW w:w="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F9624A">
            <w:pPr>
              <w:spacing w:line="240" w:lineRule="auto"/>
              <w:ind w:firstLine="0" w:firstLineChars="0"/>
              <w:jc w:val="center"/>
              <w:rPr>
                <w:color w:val="auto"/>
                <w:sz w:val="24"/>
              </w:rPr>
            </w:pPr>
            <w:r>
              <w:rPr>
                <w:rFonts w:hint="eastAsia"/>
                <w:color w:val="auto"/>
                <w:sz w:val="24"/>
              </w:rPr>
              <w:t>2</w:t>
            </w:r>
          </w:p>
        </w:tc>
        <w:tc>
          <w:tcPr>
            <w:tcW w:w="15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5C12E6">
            <w:pPr>
              <w:spacing w:line="240" w:lineRule="auto"/>
              <w:ind w:firstLine="0" w:firstLineChars="0"/>
              <w:jc w:val="center"/>
              <w:rPr>
                <w:color w:val="auto"/>
                <w:sz w:val="24"/>
              </w:rPr>
            </w:pPr>
            <w:r>
              <w:rPr>
                <w:rFonts w:hint="eastAsia"/>
                <w:color w:val="auto"/>
                <w:sz w:val="24"/>
              </w:rPr>
              <w:t>初步设计</w:t>
            </w:r>
          </w:p>
        </w:tc>
        <w:tc>
          <w:tcPr>
            <w:tcW w:w="12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665B8F">
            <w:pPr>
              <w:spacing w:line="240" w:lineRule="auto"/>
              <w:ind w:firstLine="0" w:firstLineChars="0"/>
              <w:jc w:val="center"/>
              <w:rPr>
                <w:color w:val="auto"/>
                <w:sz w:val="24"/>
              </w:rPr>
            </w:pPr>
            <w:r>
              <w:rPr>
                <w:rFonts w:hint="eastAsia"/>
                <w:color w:val="auto"/>
                <w:sz w:val="24"/>
              </w:rPr>
              <w:t>15.92</w:t>
            </w:r>
          </w:p>
        </w:tc>
        <w:tc>
          <w:tcPr>
            <w:tcW w:w="12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52897B">
            <w:pPr>
              <w:spacing w:line="240" w:lineRule="auto"/>
              <w:ind w:firstLine="0" w:firstLineChars="0"/>
              <w:jc w:val="center"/>
              <w:rPr>
                <w:color w:val="auto"/>
                <w:sz w:val="24"/>
              </w:rPr>
            </w:pPr>
            <w:r>
              <w:rPr>
                <w:rFonts w:hint="eastAsia"/>
                <w:color w:val="auto"/>
                <w:sz w:val="24"/>
              </w:rPr>
              <w:t>15.92</w:t>
            </w:r>
          </w:p>
        </w:tc>
        <w:tc>
          <w:tcPr>
            <w:tcW w:w="10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2B0E68">
            <w:pPr>
              <w:spacing w:line="240" w:lineRule="auto"/>
              <w:ind w:firstLine="0" w:firstLineChars="0"/>
              <w:jc w:val="center"/>
              <w:rPr>
                <w:color w:val="auto"/>
                <w:sz w:val="24"/>
              </w:rPr>
            </w:pPr>
            <w:r>
              <w:rPr>
                <w:rFonts w:hint="eastAsia"/>
                <w:color w:val="auto"/>
                <w:sz w:val="24"/>
              </w:rPr>
              <w:t>0.00</w:t>
            </w: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C34DD1">
            <w:pPr>
              <w:spacing w:line="240" w:lineRule="auto"/>
              <w:ind w:firstLine="0" w:firstLineChars="0"/>
              <w:jc w:val="center"/>
              <w:rPr>
                <w:color w:val="auto"/>
                <w:sz w:val="24"/>
              </w:rPr>
            </w:pPr>
            <w:r>
              <w:rPr>
                <w:rFonts w:hint="eastAsia"/>
                <w:color w:val="auto"/>
                <w:sz w:val="24"/>
              </w:rPr>
              <w:t>0.00</w:t>
            </w:r>
          </w:p>
        </w:tc>
        <w:tc>
          <w:tcPr>
            <w:tcW w:w="8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639289">
            <w:pPr>
              <w:spacing w:line="240" w:lineRule="auto"/>
              <w:ind w:firstLine="0" w:firstLineChars="0"/>
              <w:jc w:val="center"/>
              <w:rPr>
                <w:color w:val="auto"/>
                <w:sz w:val="24"/>
              </w:rPr>
            </w:pPr>
            <w:r>
              <w:rPr>
                <w:rFonts w:hint="eastAsia"/>
                <w:color w:val="auto"/>
                <w:sz w:val="24"/>
              </w:rPr>
              <w:t>15.92</w:t>
            </w:r>
          </w:p>
        </w:tc>
        <w:tc>
          <w:tcPr>
            <w:tcW w:w="10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AD79C7">
            <w:pPr>
              <w:spacing w:line="240" w:lineRule="auto"/>
              <w:ind w:firstLine="0" w:firstLineChars="0"/>
              <w:jc w:val="center"/>
              <w:rPr>
                <w:color w:val="auto"/>
                <w:sz w:val="24"/>
              </w:rPr>
            </w:pPr>
            <w:r>
              <w:rPr>
                <w:rFonts w:hint="eastAsia"/>
                <w:color w:val="auto"/>
                <w:sz w:val="24"/>
              </w:rPr>
              <w:t>100%</w:t>
            </w:r>
          </w:p>
        </w:tc>
      </w:tr>
      <w:tr w14:paraId="63C4765A">
        <w:tblPrEx>
          <w:tblCellMar>
            <w:top w:w="0" w:type="dxa"/>
            <w:left w:w="108" w:type="dxa"/>
            <w:bottom w:w="0" w:type="dxa"/>
            <w:right w:w="108" w:type="dxa"/>
          </w:tblCellMar>
        </w:tblPrEx>
        <w:trPr>
          <w:trHeight w:val="322" w:hRule="atLeast"/>
          <w:jc w:val="center"/>
        </w:trPr>
        <w:tc>
          <w:tcPr>
            <w:tcW w:w="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22E94E">
            <w:pPr>
              <w:spacing w:line="240" w:lineRule="auto"/>
              <w:ind w:firstLine="0" w:firstLineChars="0"/>
              <w:jc w:val="center"/>
              <w:rPr>
                <w:color w:val="auto"/>
                <w:sz w:val="24"/>
              </w:rPr>
            </w:pPr>
            <w:r>
              <w:rPr>
                <w:rFonts w:hint="eastAsia"/>
                <w:color w:val="auto"/>
                <w:sz w:val="24"/>
              </w:rPr>
              <w:t>3</w:t>
            </w:r>
          </w:p>
        </w:tc>
        <w:tc>
          <w:tcPr>
            <w:tcW w:w="15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D29C4B">
            <w:pPr>
              <w:spacing w:line="240" w:lineRule="auto"/>
              <w:ind w:firstLine="0" w:firstLineChars="0"/>
              <w:jc w:val="center"/>
              <w:rPr>
                <w:color w:val="auto"/>
                <w:sz w:val="24"/>
              </w:rPr>
            </w:pPr>
            <w:r>
              <w:rPr>
                <w:rFonts w:hint="eastAsia"/>
                <w:color w:val="auto"/>
                <w:sz w:val="24"/>
              </w:rPr>
              <w:t>造价咨询</w:t>
            </w:r>
          </w:p>
        </w:tc>
        <w:tc>
          <w:tcPr>
            <w:tcW w:w="12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DC8331">
            <w:pPr>
              <w:spacing w:line="240" w:lineRule="auto"/>
              <w:ind w:firstLine="0" w:firstLineChars="0"/>
              <w:jc w:val="center"/>
              <w:rPr>
                <w:color w:val="auto"/>
                <w:sz w:val="24"/>
              </w:rPr>
            </w:pPr>
            <w:r>
              <w:rPr>
                <w:rFonts w:hint="eastAsia"/>
                <w:color w:val="auto"/>
                <w:sz w:val="24"/>
              </w:rPr>
              <w:t>3.00</w:t>
            </w:r>
          </w:p>
        </w:tc>
        <w:tc>
          <w:tcPr>
            <w:tcW w:w="12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1D6022">
            <w:pPr>
              <w:spacing w:line="240" w:lineRule="auto"/>
              <w:ind w:firstLine="0" w:firstLineChars="0"/>
              <w:jc w:val="center"/>
              <w:rPr>
                <w:color w:val="auto"/>
                <w:sz w:val="24"/>
              </w:rPr>
            </w:pPr>
            <w:r>
              <w:rPr>
                <w:rFonts w:hint="eastAsia"/>
                <w:color w:val="auto"/>
                <w:sz w:val="24"/>
              </w:rPr>
              <w:t>3.00</w:t>
            </w:r>
          </w:p>
        </w:tc>
        <w:tc>
          <w:tcPr>
            <w:tcW w:w="10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8520D9">
            <w:pPr>
              <w:spacing w:line="240" w:lineRule="auto"/>
              <w:ind w:firstLine="0" w:firstLineChars="0"/>
              <w:jc w:val="center"/>
              <w:rPr>
                <w:color w:val="auto"/>
                <w:sz w:val="24"/>
              </w:rPr>
            </w:pPr>
            <w:r>
              <w:rPr>
                <w:rFonts w:hint="eastAsia"/>
                <w:color w:val="auto"/>
                <w:sz w:val="24"/>
              </w:rPr>
              <w:t>0.00</w:t>
            </w: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0768DA">
            <w:pPr>
              <w:spacing w:line="240" w:lineRule="auto"/>
              <w:ind w:firstLine="0" w:firstLineChars="0"/>
              <w:jc w:val="center"/>
              <w:rPr>
                <w:color w:val="auto"/>
                <w:sz w:val="24"/>
              </w:rPr>
            </w:pPr>
            <w:r>
              <w:rPr>
                <w:rFonts w:hint="eastAsia"/>
                <w:color w:val="auto"/>
                <w:sz w:val="24"/>
              </w:rPr>
              <w:t>0.00</w:t>
            </w:r>
          </w:p>
        </w:tc>
        <w:tc>
          <w:tcPr>
            <w:tcW w:w="8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5768D0">
            <w:pPr>
              <w:spacing w:line="240" w:lineRule="auto"/>
              <w:ind w:firstLine="0" w:firstLineChars="0"/>
              <w:jc w:val="center"/>
              <w:rPr>
                <w:color w:val="auto"/>
                <w:sz w:val="24"/>
              </w:rPr>
            </w:pPr>
            <w:r>
              <w:rPr>
                <w:rFonts w:hint="eastAsia"/>
                <w:color w:val="auto"/>
                <w:sz w:val="24"/>
              </w:rPr>
              <w:t>3.00</w:t>
            </w:r>
          </w:p>
        </w:tc>
        <w:tc>
          <w:tcPr>
            <w:tcW w:w="10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8B826C">
            <w:pPr>
              <w:spacing w:line="240" w:lineRule="auto"/>
              <w:ind w:firstLine="0" w:firstLineChars="0"/>
              <w:jc w:val="center"/>
              <w:rPr>
                <w:color w:val="auto"/>
                <w:sz w:val="24"/>
              </w:rPr>
            </w:pPr>
            <w:r>
              <w:rPr>
                <w:rFonts w:hint="eastAsia"/>
                <w:color w:val="auto"/>
                <w:sz w:val="24"/>
              </w:rPr>
              <w:t>100%</w:t>
            </w:r>
          </w:p>
        </w:tc>
      </w:tr>
      <w:tr w14:paraId="085F46FC">
        <w:tblPrEx>
          <w:tblCellMar>
            <w:top w:w="0" w:type="dxa"/>
            <w:left w:w="108" w:type="dxa"/>
            <w:bottom w:w="0" w:type="dxa"/>
            <w:right w:w="108" w:type="dxa"/>
          </w:tblCellMar>
        </w:tblPrEx>
        <w:trPr>
          <w:trHeight w:val="645" w:hRule="atLeast"/>
          <w:jc w:val="center"/>
        </w:trPr>
        <w:tc>
          <w:tcPr>
            <w:tcW w:w="6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041822">
            <w:pPr>
              <w:widowControl/>
              <w:spacing w:line="240" w:lineRule="auto"/>
              <w:ind w:firstLine="0" w:firstLineChars="0"/>
              <w:jc w:val="center"/>
              <w:textAlignment w:val="center"/>
              <w:rPr>
                <w:color w:val="auto"/>
                <w:sz w:val="24"/>
              </w:rPr>
            </w:pPr>
            <w:r>
              <w:rPr>
                <w:rFonts w:hint="eastAsia"/>
                <w:color w:val="auto"/>
                <w:sz w:val="24"/>
              </w:rPr>
              <w:t>4</w:t>
            </w:r>
          </w:p>
        </w:tc>
        <w:tc>
          <w:tcPr>
            <w:tcW w:w="15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6E0305">
            <w:pPr>
              <w:widowControl/>
              <w:spacing w:line="240" w:lineRule="auto"/>
              <w:ind w:firstLine="0" w:firstLineChars="0"/>
              <w:textAlignment w:val="center"/>
              <w:rPr>
                <w:color w:val="auto"/>
                <w:sz w:val="24"/>
              </w:rPr>
            </w:pPr>
            <w:r>
              <w:rPr>
                <w:rFonts w:hint="eastAsia"/>
                <w:color w:val="auto"/>
                <w:sz w:val="24"/>
              </w:rPr>
              <w:t>印花税</w:t>
            </w:r>
          </w:p>
        </w:tc>
        <w:tc>
          <w:tcPr>
            <w:tcW w:w="12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AFD03B">
            <w:pPr>
              <w:widowControl/>
              <w:spacing w:line="240" w:lineRule="auto"/>
              <w:ind w:firstLine="0" w:firstLineChars="0"/>
              <w:jc w:val="center"/>
              <w:textAlignment w:val="center"/>
              <w:rPr>
                <w:color w:val="auto"/>
                <w:sz w:val="24"/>
              </w:rPr>
            </w:pPr>
            <w:r>
              <w:rPr>
                <w:rFonts w:hint="eastAsia"/>
                <w:color w:val="auto"/>
                <w:sz w:val="24"/>
              </w:rPr>
              <w:t>5.23</w:t>
            </w:r>
          </w:p>
        </w:tc>
        <w:tc>
          <w:tcPr>
            <w:tcW w:w="12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CF2102">
            <w:pPr>
              <w:spacing w:line="240" w:lineRule="auto"/>
              <w:ind w:firstLine="0" w:firstLineChars="0"/>
              <w:jc w:val="center"/>
              <w:rPr>
                <w:color w:val="auto"/>
                <w:sz w:val="24"/>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3DA98C">
            <w:pPr>
              <w:spacing w:line="240" w:lineRule="auto"/>
              <w:ind w:firstLine="0" w:firstLineChars="0"/>
              <w:jc w:val="center"/>
              <w:rPr>
                <w:color w:val="auto"/>
                <w:sz w:val="24"/>
              </w:rPr>
            </w:pP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02BD32">
            <w:pPr>
              <w:spacing w:line="240" w:lineRule="auto"/>
              <w:ind w:firstLine="0" w:firstLineChars="0"/>
              <w:jc w:val="center"/>
              <w:rPr>
                <w:color w:val="auto"/>
                <w:sz w:val="24"/>
              </w:rPr>
            </w:pPr>
            <w:r>
              <w:rPr>
                <w:rFonts w:hint="eastAsia"/>
                <w:color w:val="auto"/>
                <w:sz w:val="24"/>
              </w:rPr>
              <w:t>5.23</w:t>
            </w:r>
          </w:p>
        </w:tc>
        <w:tc>
          <w:tcPr>
            <w:tcW w:w="8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4C64F2">
            <w:pPr>
              <w:spacing w:line="240" w:lineRule="auto"/>
              <w:ind w:firstLine="0" w:firstLineChars="0"/>
              <w:jc w:val="center"/>
              <w:rPr>
                <w:color w:val="auto"/>
                <w:sz w:val="24"/>
              </w:rPr>
            </w:pPr>
            <w:r>
              <w:rPr>
                <w:rFonts w:hint="eastAsia"/>
                <w:color w:val="auto"/>
                <w:sz w:val="24"/>
              </w:rPr>
              <w:t>5.23</w:t>
            </w:r>
          </w:p>
        </w:tc>
        <w:tc>
          <w:tcPr>
            <w:tcW w:w="10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3729B0">
            <w:pPr>
              <w:spacing w:line="240" w:lineRule="auto"/>
              <w:ind w:firstLine="0" w:firstLineChars="0"/>
              <w:jc w:val="center"/>
              <w:rPr>
                <w:color w:val="auto"/>
                <w:sz w:val="24"/>
              </w:rPr>
            </w:pPr>
            <w:r>
              <w:rPr>
                <w:rFonts w:hint="eastAsia"/>
                <w:color w:val="auto"/>
                <w:sz w:val="24"/>
              </w:rPr>
              <w:t>100%</w:t>
            </w:r>
          </w:p>
        </w:tc>
      </w:tr>
      <w:tr w14:paraId="18498B1C">
        <w:tblPrEx>
          <w:tblCellMar>
            <w:top w:w="0" w:type="dxa"/>
            <w:left w:w="108" w:type="dxa"/>
            <w:bottom w:w="0" w:type="dxa"/>
            <w:right w:w="108" w:type="dxa"/>
          </w:tblCellMar>
        </w:tblPrEx>
        <w:trPr>
          <w:trHeight w:val="645" w:hRule="atLeast"/>
          <w:jc w:val="center"/>
        </w:trPr>
        <w:tc>
          <w:tcPr>
            <w:tcW w:w="22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1361CAC">
            <w:pPr>
              <w:spacing w:line="240" w:lineRule="auto"/>
              <w:ind w:firstLine="0" w:firstLineChars="0"/>
              <w:jc w:val="center"/>
              <w:rPr>
                <w:color w:val="auto"/>
                <w:sz w:val="24"/>
              </w:rPr>
            </w:pPr>
            <w:r>
              <w:rPr>
                <w:rFonts w:hint="eastAsia"/>
                <w:color w:val="auto"/>
                <w:sz w:val="24"/>
              </w:rPr>
              <w:t>合计</w:t>
            </w:r>
          </w:p>
        </w:tc>
        <w:tc>
          <w:tcPr>
            <w:tcW w:w="12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0914F6">
            <w:pPr>
              <w:widowControl/>
              <w:spacing w:line="240" w:lineRule="auto"/>
              <w:ind w:firstLine="0" w:firstLineChars="0"/>
              <w:jc w:val="center"/>
              <w:textAlignment w:val="center"/>
              <w:rPr>
                <w:rFonts w:ascii="宋体" w:hAnsi="宋体" w:eastAsia="宋体" w:cs="宋体"/>
                <w:color w:val="auto"/>
                <w:sz w:val="22"/>
                <w:szCs w:val="22"/>
              </w:rPr>
            </w:pPr>
            <w:r>
              <w:rPr>
                <w:rFonts w:hint="eastAsia"/>
                <w:color w:val="auto"/>
                <w:sz w:val="24"/>
              </w:rPr>
              <w:t>34964.22</w:t>
            </w:r>
          </w:p>
        </w:tc>
        <w:tc>
          <w:tcPr>
            <w:tcW w:w="12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81F5CF">
            <w:pPr>
              <w:spacing w:line="240" w:lineRule="auto"/>
              <w:ind w:firstLine="0" w:firstLineChars="0"/>
              <w:jc w:val="center"/>
              <w:rPr>
                <w:color w:val="auto"/>
                <w:sz w:val="24"/>
              </w:rPr>
            </w:pPr>
            <w:r>
              <w:rPr>
                <w:rFonts w:hint="eastAsia"/>
                <w:color w:val="auto"/>
                <w:sz w:val="24"/>
              </w:rPr>
              <w:t>28756.00</w:t>
            </w:r>
          </w:p>
        </w:tc>
        <w:tc>
          <w:tcPr>
            <w:tcW w:w="10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084720">
            <w:pPr>
              <w:spacing w:line="240" w:lineRule="auto"/>
              <w:ind w:firstLine="0" w:firstLineChars="0"/>
              <w:jc w:val="center"/>
              <w:rPr>
                <w:color w:val="auto"/>
                <w:sz w:val="24"/>
              </w:rPr>
            </w:pPr>
            <w:r>
              <w:rPr>
                <w:rFonts w:hint="eastAsia"/>
                <w:color w:val="auto"/>
                <w:sz w:val="24"/>
              </w:rPr>
              <w:t>1437.80</w:t>
            </w: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4CABC2">
            <w:pPr>
              <w:spacing w:line="240" w:lineRule="auto"/>
              <w:ind w:firstLine="0" w:firstLineChars="0"/>
              <w:jc w:val="center"/>
              <w:rPr>
                <w:color w:val="auto"/>
                <w:sz w:val="24"/>
              </w:rPr>
            </w:pPr>
            <w:r>
              <w:rPr>
                <w:rFonts w:hint="eastAsia"/>
                <w:color w:val="auto"/>
                <w:sz w:val="24"/>
              </w:rPr>
              <w:t>4635.99</w:t>
            </w:r>
          </w:p>
        </w:tc>
        <w:tc>
          <w:tcPr>
            <w:tcW w:w="8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68F59D">
            <w:pPr>
              <w:spacing w:line="240" w:lineRule="auto"/>
              <w:ind w:firstLine="0" w:firstLineChars="0"/>
              <w:jc w:val="center"/>
              <w:rPr>
                <w:color w:val="auto"/>
                <w:sz w:val="24"/>
              </w:rPr>
            </w:pPr>
            <w:r>
              <w:rPr>
                <w:rFonts w:hint="eastAsia"/>
                <w:color w:val="auto"/>
                <w:sz w:val="24"/>
              </w:rPr>
              <w:t>34829.79</w:t>
            </w:r>
          </w:p>
        </w:tc>
        <w:tc>
          <w:tcPr>
            <w:tcW w:w="10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2CD280">
            <w:pPr>
              <w:spacing w:line="240" w:lineRule="auto"/>
              <w:ind w:firstLine="0" w:firstLineChars="0"/>
              <w:jc w:val="center"/>
              <w:rPr>
                <w:color w:val="auto"/>
                <w:sz w:val="24"/>
              </w:rPr>
            </w:pPr>
            <w:r>
              <w:rPr>
                <w:rFonts w:hint="eastAsia"/>
                <w:color w:val="auto"/>
                <w:sz w:val="24"/>
              </w:rPr>
              <w:t>99.62%</w:t>
            </w:r>
          </w:p>
        </w:tc>
      </w:tr>
    </w:tbl>
    <w:p w14:paraId="6C8683FB">
      <w:pPr>
        <w:pStyle w:val="3"/>
        <w:ind w:firstLine="643" w:firstLineChars="0"/>
        <w:rPr>
          <w:color w:val="auto"/>
        </w:rPr>
      </w:pPr>
      <w:r>
        <w:rPr>
          <w:color w:val="auto"/>
        </w:rPr>
        <w:t>项目预期绩效目标</w:t>
      </w:r>
    </w:p>
    <w:p w14:paraId="2AF374DD">
      <w:pPr>
        <w:pStyle w:val="4"/>
        <w:ind w:firstLine="643"/>
        <w:rPr>
          <w:rFonts w:hint="default"/>
          <w:color w:val="auto"/>
        </w:rPr>
      </w:pPr>
      <w:r>
        <w:rPr>
          <w:color w:val="auto"/>
        </w:rPr>
        <w:t>项目预期绩效</w:t>
      </w:r>
      <w:r>
        <w:rPr>
          <w:rFonts w:hint="default"/>
          <w:color w:val="auto"/>
        </w:rPr>
        <w:t>总目标</w:t>
      </w:r>
    </w:p>
    <w:p w14:paraId="7866292A">
      <w:pPr>
        <w:ind w:firstLine="640"/>
        <w:rPr>
          <w:rFonts w:eastAsiaTheme="minorEastAsia"/>
          <w:color w:val="auto"/>
        </w:rPr>
      </w:pPr>
      <w:r>
        <w:rPr>
          <w:color w:val="auto"/>
        </w:rPr>
        <w:t>项目</w:t>
      </w:r>
      <w:r>
        <w:rPr>
          <w:rFonts w:hint="eastAsia"/>
          <w:color w:val="auto"/>
        </w:rPr>
        <w:t>预期绩效总目标：通过移动排涝能力提升项目建设，提升城市应急排涝能力。</w:t>
      </w:r>
    </w:p>
    <w:p w14:paraId="752F4CA7">
      <w:pPr>
        <w:pStyle w:val="4"/>
        <w:ind w:firstLine="643"/>
        <w:rPr>
          <w:rFonts w:hint="default"/>
          <w:color w:val="auto"/>
        </w:rPr>
      </w:pPr>
      <w:r>
        <w:rPr>
          <w:rFonts w:hint="default"/>
          <w:color w:val="auto"/>
        </w:rPr>
        <w:t>阶段性（当年）绩效目标</w:t>
      </w:r>
      <w:r>
        <w:rPr>
          <w:color w:val="auto"/>
        </w:rPr>
        <w:t>和指标</w:t>
      </w:r>
    </w:p>
    <w:p w14:paraId="31B036ED">
      <w:pPr>
        <w:ind w:firstLine="640"/>
        <w:rPr>
          <w:color w:val="auto"/>
        </w:rPr>
      </w:pPr>
      <w:r>
        <w:rPr>
          <w:rFonts w:hint="eastAsia"/>
          <w:color w:val="auto"/>
        </w:rPr>
        <w:t>项目年度绩效目标：通过移动排涝能力提升项目建设，提升城市应急排涝能力。</w:t>
      </w:r>
    </w:p>
    <w:p w14:paraId="714CEED8">
      <w:pPr>
        <w:ind w:firstLine="640"/>
        <w:rPr>
          <w:color w:val="auto"/>
        </w:rPr>
      </w:pPr>
      <w:r>
        <w:rPr>
          <w:color w:val="auto"/>
        </w:rPr>
        <w:t>1）项目产出目标</w:t>
      </w:r>
    </w:p>
    <w:p w14:paraId="0B13CD88">
      <w:pPr>
        <w:ind w:firstLine="640"/>
        <w:rPr>
          <w:color w:val="auto"/>
        </w:rPr>
      </w:pPr>
      <w:r>
        <w:rPr>
          <w:color w:val="auto"/>
        </w:rPr>
        <w:t>①数量指标</w:t>
      </w:r>
      <w:r>
        <w:rPr>
          <w:rFonts w:hint="eastAsia"/>
          <w:color w:val="auto"/>
        </w:rPr>
        <w:t>（采购排涝设备）</w:t>
      </w:r>
    </w:p>
    <w:p w14:paraId="73725B69">
      <w:pPr>
        <w:ind w:firstLine="640"/>
        <w:rPr>
          <w:color w:val="auto"/>
        </w:rPr>
      </w:pPr>
      <w:r>
        <w:rPr>
          <w:color w:val="auto"/>
        </w:rPr>
        <w:t>“</w:t>
      </w:r>
      <w:r>
        <w:rPr>
          <w:rFonts w:hint="eastAsia"/>
          <w:color w:val="auto"/>
        </w:rPr>
        <w:t>采购排涝设备数</w:t>
      </w:r>
      <w:r>
        <w:rPr>
          <w:color w:val="auto"/>
        </w:rPr>
        <w:t>量”指标</w:t>
      </w:r>
      <w:r>
        <w:rPr>
          <w:rFonts w:hint="eastAsia"/>
          <w:color w:val="auto"/>
          <w:lang w:eastAsia="zh-CN"/>
        </w:rPr>
        <w:t>，</w:t>
      </w:r>
      <w:r>
        <w:rPr>
          <w:rFonts w:hint="eastAsia"/>
          <w:color w:val="auto"/>
          <w:lang w:val="en-US" w:eastAsia="zh-CN"/>
        </w:rPr>
        <w:t>预期指标</w:t>
      </w:r>
      <w:r>
        <w:rPr>
          <w:color w:val="auto"/>
        </w:rPr>
        <w:t>为</w:t>
      </w:r>
      <w:r>
        <w:rPr>
          <w:rFonts w:hint="eastAsia"/>
          <w:color w:val="auto"/>
        </w:rPr>
        <w:t>“≥171台”</w:t>
      </w:r>
      <w:r>
        <w:rPr>
          <w:color w:val="auto"/>
        </w:rPr>
        <w:t>；</w:t>
      </w:r>
    </w:p>
    <w:p w14:paraId="38B228B9">
      <w:pPr>
        <w:ind w:firstLine="640"/>
        <w:rPr>
          <w:color w:val="auto"/>
        </w:rPr>
      </w:pPr>
      <w:r>
        <w:rPr>
          <w:color w:val="auto"/>
        </w:rPr>
        <w:t>②质量指标</w:t>
      </w:r>
    </w:p>
    <w:p w14:paraId="7F1F3A4D">
      <w:pPr>
        <w:ind w:firstLine="640"/>
        <w:rPr>
          <w:rFonts w:hint="default" w:eastAsia="仿宋_GB2312"/>
          <w:color w:val="auto"/>
          <w:lang w:val="en-US" w:eastAsia="zh-CN"/>
        </w:rPr>
      </w:pPr>
      <w:r>
        <w:rPr>
          <w:color w:val="auto"/>
        </w:rPr>
        <w:t>“</w:t>
      </w:r>
      <w:r>
        <w:rPr>
          <w:rFonts w:hint="eastAsia"/>
          <w:color w:val="auto"/>
        </w:rPr>
        <w:t>交（竣）工验收合格率</w:t>
      </w:r>
      <w:r>
        <w:rPr>
          <w:color w:val="auto"/>
        </w:rPr>
        <w:t>”指标，预期指标为</w:t>
      </w:r>
      <w:r>
        <w:rPr>
          <w:rFonts w:hint="eastAsia"/>
          <w:color w:val="auto"/>
        </w:rPr>
        <w:t>“=100.00%”</w:t>
      </w:r>
      <w:r>
        <w:rPr>
          <w:color w:val="auto"/>
        </w:rPr>
        <w:t>；</w:t>
      </w:r>
      <w:r>
        <w:rPr>
          <w:rFonts w:hint="eastAsia"/>
          <w:color w:val="auto"/>
          <w:lang w:eastAsia="zh-CN"/>
        </w:rPr>
        <w:t>“</w:t>
      </w:r>
      <w:r>
        <w:rPr>
          <w:rFonts w:hint="eastAsia"/>
          <w:color w:val="auto"/>
          <w:lang w:val="en-US" w:eastAsia="zh-CN"/>
        </w:rPr>
        <w:t>项目设计变更率”预期指标值为“≤15%”。</w:t>
      </w:r>
    </w:p>
    <w:p w14:paraId="034581E4">
      <w:pPr>
        <w:ind w:firstLine="640"/>
        <w:rPr>
          <w:color w:val="auto"/>
        </w:rPr>
      </w:pPr>
      <w:r>
        <w:rPr>
          <w:color w:val="auto"/>
        </w:rPr>
        <w:t>③时效指标</w:t>
      </w:r>
    </w:p>
    <w:p w14:paraId="6800C2E1">
      <w:pPr>
        <w:ind w:firstLine="640"/>
        <w:rPr>
          <w:rFonts w:hint="default" w:eastAsia="仿宋_GB2312"/>
          <w:color w:val="auto"/>
          <w:lang w:val="en-US" w:eastAsia="zh-CN"/>
        </w:rPr>
      </w:pPr>
      <w:r>
        <w:rPr>
          <w:rFonts w:hint="eastAsia"/>
          <w:color w:val="auto"/>
        </w:rPr>
        <w:t>时效</w:t>
      </w:r>
      <w:r>
        <w:rPr>
          <w:color w:val="auto"/>
        </w:rPr>
        <w:t>指标，项目</w:t>
      </w:r>
      <w:r>
        <w:rPr>
          <w:rFonts w:hint="eastAsia"/>
          <w:color w:val="auto"/>
        </w:rPr>
        <w:t>按时开工率，</w:t>
      </w:r>
      <w:r>
        <w:rPr>
          <w:rFonts w:hint="eastAsia"/>
          <w:color w:val="auto"/>
          <w:lang w:val="en-US" w:eastAsia="zh-CN"/>
        </w:rPr>
        <w:t>预期指标</w:t>
      </w:r>
      <w:r>
        <w:rPr>
          <w:rFonts w:hint="eastAsia"/>
          <w:color w:val="auto"/>
        </w:rPr>
        <w:t>为“=100.00%”</w:t>
      </w:r>
      <w:r>
        <w:rPr>
          <w:color w:val="auto"/>
        </w:rPr>
        <w:t>；</w:t>
      </w:r>
      <w:r>
        <w:rPr>
          <w:rFonts w:hint="eastAsia"/>
          <w:color w:val="auto"/>
          <w:lang w:eastAsia="zh-CN"/>
        </w:rPr>
        <w:t>“</w:t>
      </w:r>
      <w:r>
        <w:rPr>
          <w:rFonts w:hint="eastAsia"/>
          <w:color w:val="auto"/>
          <w:lang w:val="en-US" w:eastAsia="zh-CN"/>
        </w:rPr>
        <w:t>工程完成时间”预期指标为“2024年12月31日”。</w:t>
      </w:r>
    </w:p>
    <w:p w14:paraId="129AB55C">
      <w:pPr>
        <w:ind w:firstLine="640"/>
        <w:rPr>
          <w:color w:val="auto"/>
        </w:rPr>
      </w:pPr>
      <w:r>
        <w:rPr>
          <w:color w:val="auto"/>
        </w:rPr>
        <w:t>④成本指标</w:t>
      </w:r>
    </w:p>
    <w:p w14:paraId="3D0325F8">
      <w:pPr>
        <w:ind w:firstLine="640"/>
        <w:rPr>
          <w:color w:val="auto"/>
        </w:rPr>
      </w:pPr>
      <w:r>
        <w:rPr>
          <w:color w:val="auto"/>
        </w:rPr>
        <w:t>成本指标，</w:t>
      </w:r>
      <w:r>
        <w:rPr>
          <w:rFonts w:hint="eastAsia"/>
          <w:color w:val="auto"/>
        </w:rPr>
        <w:t>石家庄市移动排涝能力提升项目</w:t>
      </w:r>
      <w:r>
        <w:rPr>
          <w:color w:val="auto"/>
        </w:rPr>
        <w:t>预期指标值为≤</w:t>
      </w:r>
      <w:r>
        <w:rPr>
          <w:rFonts w:hint="eastAsia"/>
          <w:color w:val="auto"/>
        </w:rPr>
        <w:t>35946.00万元</w:t>
      </w:r>
      <w:r>
        <w:rPr>
          <w:color w:val="auto"/>
        </w:rPr>
        <w:t>；</w:t>
      </w:r>
    </w:p>
    <w:p w14:paraId="3D7F5032">
      <w:pPr>
        <w:ind w:firstLine="640"/>
        <w:rPr>
          <w:color w:val="auto"/>
        </w:rPr>
      </w:pPr>
      <w:r>
        <w:rPr>
          <w:color w:val="auto"/>
        </w:rPr>
        <w:t>2）项目效益目标</w:t>
      </w:r>
    </w:p>
    <w:p w14:paraId="10DE1529">
      <w:pPr>
        <w:ind w:firstLine="640"/>
        <w:rPr>
          <w:rFonts w:hint="default" w:eastAsia="仿宋_GB2312"/>
          <w:color w:val="auto"/>
          <w:lang w:val="en-US" w:eastAsia="zh-CN"/>
        </w:rPr>
      </w:pPr>
      <w:r>
        <w:rPr>
          <w:color w:val="auto"/>
        </w:rPr>
        <w:t>社会效益指标</w:t>
      </w:r>
      <w:r>
        <w:rPr>
          <w:rFonts w:hint="eastAsia"/>
          <w:color w:val="auto"/>
        </w:rPr>
        <w:t>，排涝能力提升率，采购后抽排设备的排涝能力比上年提升≥90%;</w:t>
      </w:r>
      <w:r>
        <w:rPr>
          <w:rFonts w:hint="eastAsia"/>
          <w:color w:val="auto"/>
          <w:lang w:val="en-US" w:eastAsia="zh-CN"/>
        </w:rPr>
        <w:t>可持续影响，设备正常使用年限≥8年。</w:t>
      </w:r>
    </w:p>
    <w:p w14:paraId="7AAC611C">
      <w:pPr>
        <w:ind w:firstLine="640"/>
        <w:rPr>
          <w:color w:val="auto"/>
        </w:rPr>
      </w:pPr>
      <w:r>
        <w:rPr>
          <w:color w:val="auto"/>
        </w:rPr>
        <w:t>3）满意度目标</w:t>
      </w:r>
    </w:p>
    <w:p w14:paraId="0CE44B9E">
      <w:pPr>
        <w:ind w:firstLine="640"/>
        <w:rPr>
          <w:color w:val="auto"/>
        </w:rPr>
      </w:pPr>
      <w:r>
        <w:rPr>
          <w:color w:val="auto"/>
        </w:rPr>
        <w:t>“</w:t>
      </w:r>
      <w:r>
        <w:rPr>
          <w:rFonts w:hint="eastAsia"/>
          <w:color w:val="auto"/>
        </w:rPr>
        <w:t>服务对象满意度</w:t>
      </w:r>
      <w:r>
        <w:rPr>
          <w:color w:val="auto"/>
        </w:rPr>
        <w:t>”指标，</w:t>
      </w:r>
      <w:r>
        <w:rPr>
          <w:rFonts w:hint="eastAsia"/>
          <w:color w:val="auto"/>
        </w:rPr>
        <w:t>随机调查问卷，</w:t>
      </w:r>
      <w:r>
        <w:rPr>
          <w:color w:val="auto"/>
        </w:rPr>
        <w:t>对项目满意人数与调查总人数的比值预期指标值为</w:t>
      </w:r>
      <w:r>
        <w:rPr>
          <w:rFonts w:hint="eastAsia"/>
          <w:color w:val="auto"/>
        </w:rPr>
        <w:t>“≥</w:t>
      </w:r>
      <w:r>
        <w:rPr>
          <w:rFonts w:hint="eastAsia"/>
          <w:color w:val="auto"/>
          <w:lang w:val="en-US" w:eastAsia="zh-CN"/>
        </w:rPr>
        <w:t>9</w:t>
      </w:r>
      <w:r>
        <w:rPr>
          <w:rFonts w:hint="eastAsia"/>
          <w:color w:val="auto"/>
        </w:rPr>
        <w:t>5.00%”。</w:t>
      </w:r>
    </w:p>
    <w:p w14:paraId="49F21B64">
      <w:pPr>
        <w:pStyle w:val="2"/>
        <w:ind w:firstLine="643"/>
        <w:rPr>
          <w:color w:val="auto"/>
        </w:rPr>
      </w:pPr>
      <w:r>
        <w:rPr>
          <w:color w:val="auto"/>
        </w:rPr>
        <w:t>自评工作情况</w:t>
      </w:r>
    </w:p>
    <w:p w14:paraId="1B52D236">
      <w:pPr>
        <w:pStyle w:val="3"/>
        <w:ind w:firstLine="643" w:firstLineChars="0"/>
        <w:rPr>
          <w:color w:val="auto"/>
        </w:rPr>
      </w:pPr>
      <w:r>
        <w:rPr>
          <w:color w:val="auto"/>
        </w:rPr>
        <w:t>自评组织工作</w:t>
      </w:r>
    </w:p>
    <w:p w14:paraId="4EF64BF7">
      <w:pPr>
        <w:ind w:firstLine="640"/>
        <w:rPr>
          <w:color w:val="auto"/>
        </w:rPr>
      </w:pPr>
      <w:r>
        <w:rPr>
          <w:color w:val="auto"/>
        </w:rPr>
        <w:t>依据绩效考核实施办法，由本单位自行组织实施。遵循公平、公正、公开的原则，成立了项目绩效评价专项考核小组，事先制定绩效评价方案，根据预算绩效指标，通过收集整理政策文件、项目前期手续、预算执行情况等相关资料，制定具体评价方案，对评价人员进行分组，工作落实到个人，对石家庄市移动排涝能力提升项目的情况进行审核，重点关注项目组织实施情况、资金管理使用情况、项目产生效益情况、受益对象满意度等环节。</w:t>
      </w:r>
    </w:p>
    <w:p w14:paraId="778CB75B">
      <w:pPr>
        <w:ind w:firstLine="640"/>
        <w:rPr>
          <w:color w:val="auto"/>
        </w:rPr>
      </w:pPr>
      <w:r>
        <w:rPr>
          <w:color w:val="auto"/>
        </w:rPr>
        <w:t>1、项目评价资料收集</w:t>
      </w:r>
    </w:p>
    <w:p w14:paraId="2E258138">
      <w:pPr>
        <w:ind w:firstLine="640"/>
        <w:rPr>
          <w:color w:val="auto"/>
        </w:rPr>
      </w:pPr>
      <w:r>
        <w:rPr>
          <w:color w:val="auto"/>
        </w:rPr>
        <w:t>项目绩效自评的资料收集涵盖了项目的各个阶段，具体资料包括:项目立项审批文件、可行性研究报告、招投标文件、</w:t>
      </w:r>
      <w:r>
        <w:rPr>
          <w:rFonts w:hint="eastAsia"/>
          <w:color w:val="auto"/>
        </w:rPr>
        <w:t>设备采购验收单、</w:t>
      </w:r>
      <w:r>
        <w:rPr>
          <w:color w:val="auto"/>
        </w:rPr>
        <w:t>资金预算文件、支付凭证、绩效目标申报表等。</w:t>
      </w:r>
    </w:p>
    <w:p w14:paraId="321E0586">
      <w:pPr>
        <w:ind w:firstLine="640"/>
        <w:rPr>
          <w:color w:val="auto"/>
        </w:rPr>
      </w:pPr>
      <w:r>
        <w:rPr>
          <w:color w:val="auto"/>
        </w:rPr>
        <w:t>2、评价过程</w:t>
      </w:r>
    </w:p>
    <w:p w14:paraId="01D77CC3">
      <w:pPr>
        <w:ind w:firstLine="640"/>
        <w:rPr>
          <w:color w:val="auto"/>
        </w:rPr>
      </w:pPr>
      <w:r>
        <w:rPr>
          <w:color w:val="auto"/>
        </w:rPr>
        <w:t>通过对照绩效目标表，梳理项目实际完成投资额、</w:t>
      </w:r>
      <w:r>
        <w:rPr>
          <w:rFonts w:hint="eastAsia"/>
          <w:color w:val="auto"/>
        </w:rPr>
        <w:t>设备采购数量</w:t>
      </w:r>
      <w:r>
        <w:rPr>
          <w:color w:val="auto"/>
        </w:rPr>
        <w:t>、</w:t>
      </w:r>
      <w:r>
        <w:rPr>
          <w:rFonts w:hint="eastAsia"/>
          <w:color w:val="auto"/>
        </w:rPr>
        <w:t>采购时间</w:t>
      </w:r>
      <w:r>
        <w:rPr>
          <w:color w:val="auto"/>
        </w:rPr>
        <w:t>等核心数据，采用成本效益分析法，计算资金到位率、预算执行偏差率等指标。</w:t>
      </w:r>
    </w:p>
    <w:p w14:paraId="7404F5AD">
      <w:pPr>
        <w:ind w:firstLine="640"/>
        <w:rPr>
          <w:color w:val="auto"/>
        </w:rPr>
      </w:pPr>
      <w:r>
        <w:rPr>
          <w:color w:val="auto"/>
        </w:rPr>
        <w:t>撰写自评报告初稿，针对自评发现问题提出改进措施，并提交工作组审议。</w:t>
      </w:r>
    </w:p>
    <w:p w14:paraId="6FAAEBC7">
      <w:pPr>
        <w:numPr>
          <w:ilvl w:val="0"/>
          <w:numId w:val="3"/>
        </w:numPr>
        <w:ind w:firstLine="640"/>
        <w:rPr>
          <w:color w:val="auto"/>
        </w:rPr>
      </w:pPr>
      <w:r>
        <w:rPr>
          <w:color w:val="auto"/>
        </w:rPr>
        <w:t>评价工作管理组织</w:t>
      </w:r>
    </w:p>
    <w:p w14:paraId="6877A168">
      <w:pPr>
        <w:ind w:firstLine="640"/>
        <w:rPr>
          <w:color w:val="auto"/>
        </w:rPr>
      </w:pPr>
      <w:r>
        <w:rPr>
          <w:rFonts w:hint="eastAsia"/>
          <w:color w:val="auto"/>
        </w:rPr>
        <w:t>成立专项评价工作组成员构成：由业务科室牵头，联合财务部门、其他相关科室等组成评价工作组。</w:t>
      </w:r>
    </w:p>
    <w:p w14:paraId="37D2E5CE">
      <w:pPr>
        <w:ind w:firstLine="640"/>
        <w:rPr>
          <w:color w:val="auto"/>
        </w:rPr>
      </w:pPr>
      <w:r>
        <w:rPr>
          <w:rFonts w:hint="eastAsia"/>
          <w:color w:val="auto"/>
        </w:rPr>
        <w:t>组长：负责统筹协调自评工作。</w:t>
      </w:r>
    </w:p>
    <w:p w14:paraId="1F86CE54">
      <w:pPr>
        <w:ind w:firstLine="640"/>
        <w:rPr>
          <w:color w:val="auto"/>
        </w:rPr>
      </w:pPr>
      <w:r>
        <w:rPr>
          <w:rFonts w:hint="eastAsia"/>
          <w:color w:val="auto"/>
        </w:rPr>
        <w:t>副组长：协助组长，分管数据核查与质量控制。</w:t>
      </w:r>
    </w:p>
    <w:p w14:paraId="10427C85">
      <w:pPr>
        <w:ind w:firstLine="640"/>
        <w:rPr>
          <w:color w:val="auto"/>
        </w:rPr>
      </w:pPr>
      <w:r>
        <w:rPr>
          <w:rFonts w:hint="eastAsia"/>
          <w:color w:val="auto"/>
        </w:rPr>
        <w:t>组员：按职责分工负责资料收集、数据分析、实地调研等。</w:t>
      </w:r>
    </w:p>
    <w:tbl>
      <w:tblPr>
        <w:tblStyle w:val="21"/>
        <w:tblW w:w="75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90"/>
        <w:gridCol w:w="3790"/>
      </w:tblGrid>
      <w:tr w14:paraId="12E37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9" w:hRule="atLeast"/>
          <w:jc w:val="center"/>
        </w:trPr>
        <w:tc>
          <w:tcPr>
            <w:tcW w:w="3790" w:type="dxa"/>
            <w:vAlign w:val="center"/>
          </w:tcPr>
          <w:p w14:paraId="252B5C6F">
            <w:pPr>
              <w:spacing w:line="240" w:lineRule="auto"/>
              <w:ind w:firstLine="0" w:firstLineChars="0"/>
              <w:jc w:val="center"/>
              <w:rPr>
                <w:color w:val="auto"/>
                <w:sz w:val="28"/>
                <w:szCs w:val="28"/>
              </w:rPr>
            </w:pPr>
            <w:r>
              <w:rPr>
                <w:rFonts w:hint="eastAsia"/>
                <w:color w:val="auto"/>
                <w:sz w:val="28"/>
                <w:szCs w:val="28"/>
              </w:rPr>
              <w:t>工作组成员姓名</w:t>
            </w:r>
          </w:p>
        </w:tc>
        <w:tc>
          <w:tcPr>
            <w:tcW w:w="3790" w:type="dxa"/>
            <w:vAlign w:val="center"/>
          </w:tcPr>
          <w:p w14:paraId="38109B2A">
            <w:pPr>
              <w:spacing w:line="240" w:lineRule="auto"/>
              <w:ind w:firstLine="0" w:firstLineChars="0"/>
              <w:jc w:val="center"/>
              <w:rPr>
                <w:color w:val="auto"/>
                <w:sz w:val="28"/>
                <w:szCs w:val="28"/>
              </w:rPr>
            </w:pPr>
            <w:r>
              <w:rPr>
                <w:rFonts w:hint="eastAsia"/>
                <w:color w:val="auto"/>
                <w:sz w:val="28"/>
                <w:szCs w:val="28"/>
              </w:rPr>
              <w:t>职责</w:t>
            </w:r>
          </w:p>
        </w:tc>
      </w:tr>
      <w:tr w14:paraId="320ED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9" w:hRule="atLeast"/>
          <w:jc w:val="center"/>
        </w:trPr>
        <w:tc>
          <w:tcPr>
            <w:tcW w:w="3790" w:type="dxa"/>
            <w:vAlign w:val="center"/>
          </w:tcPr>
          <w:p w14:paraId="3596BBB9">
            <w:pPr>
              <w:spacing w:line="240" w:lineRule="auto"/>
              <w:ind w:firstLine="0" w:firstLineChars="0"/>
              <w:jc w:val="center"/>
              <w:rPr>
                <w:color w:val="auto"/>
                <w:sz w:val="28"/>
                <w:szCs w:val="28"/>
              </w:rPr>
            </w:pPr>
            <w:r>
              <w:rPr>
                <w:rFonts w:hint="eastAsia"/>
                <w:color w:val="auto"/>
                <w:sz w:val="28"/>
                <w:szCs w:val="28"/>
              </w:rPr>
              <w:t>李永青</w:t>
            </w:r>
          </w:p>
        </w:tc>
        <w:tc>
          <w:tcPr>
            <w:tcW w:w="3790" w:type="dxa"/>
            <w:vAlign w:val="center"/>
          </w:tcPr>
          <w:p w14:paraId="6EEFEEBA">
            <w:pPr>
              <w:spacing w:line="240" w:lineRule="auto"/>
              <w:ind w:firstLine="0" w:firstLineChars="0"/>
              <w:jc w:val="center"/>
              <w:rPr>
                <w:color w:val="auto"/>
                <w:sz w:val="28"/>
                <w:szCs w:val="28"/>
              </w:rPr>
            </w:pPr>
            <w:r>
              <w:rPr>
                <w:rFonts w:hint="eastAsia"/>
                <w:color w:val="auto"/>
                <w:sz w:val="28"/>
                <w:szCs w:val="28"/>
              </w:rPr>
              <w:t>评价组组长</w:t>
            </w:r>
          </w:p>
        </w:tc>
      </w:tr>
      <w:tr w14:paraId="57350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9" w:hRule="atLeast"/>
          <w:jc w:val="center"/>
        </w:trPr>
        <w:tc>
          <w:tcPr>
            <w:tcW w:w="3790" w:type="dxa"/>
            <w:vAlign w:val="center"/>
          </w:tcPr>
          <w:p w14:paraId="3DD6EC43">
            <w:pPr>
              <w:spacing w:line="240" w:lineRule="auto"/>
              <w:ind w:firstLine="0" w:firstLineChars="0"/>
              <w:jc w:val="center"/>
              <w:rPr>
                <w:color w:val="auto"/>
                <w:sz w:val="28"/>
                <w:szCs w:val="28"/>
              </w:rPr>
            </w:pPr>
            <w:r>
              <w:rPr>
                <w:rFonts w:hint="eastAsia"/>
                <w:color w:val="auto"/>
                <w:sz w:val="28"/>
                <w:szCs w:val="28"/>
              </w:rPr>
              <w:t>王辉</w:t>
            </w:r>
          </w:p>
        </w:tc>
        <w:tc>
          <w:tcPr>
            <w:tcW w:w="3790" w:type="dxa"/>
            <w:vAlign w:val="center"/>
          </w:tcPr>
          <w:p w14:paraId="32DCE133">
            <w:pPr>
              <w:spacing w:line="240" w:lineRule="auto"/>
              <w:ind w:firstLine="0" w:firstLineChars="0"/>
              <w:jc w:val="center"/>
              <w:rPr>
                <w:color w:val="auto"/>
                <w:sz w:val="28"/>
                <w:szCs w:val="28"/>
              </w:rPr>
            </w:pPr>
            <w:r>
              <w:rPr>
                <w:rFonts w:hint="eastAsia"/>
                <w:color w:val="auto"/>
                <w:sz w:val="28"/>
                <w:szCs w:val="28"/>
              </w:rPr>
              <w:t>评价组成员</w:t>
            </w:r>
          </w:p>
        </w:tc>
      </w:tr>
      <w:tr w14:paraId="6EF3F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7" w:hRule="atLeast"/>
          <w:jc w:val="center"/>
        </w:trPr>
        <w:tc>
          <w:tcPr>
            <w:tcW w:w="3790" w:type="dxa"/>
            <w:vAlign w:val="center"/>
          </w:tcPr>
          <w:p w14:paraId="3CFAAA9F">
            <w:pPr>
              <w:spacing w:line="240" w:lineRule="auto"/>
              <w:ind w:firstLine="0" w:firstLineChars="0"/>
              <w:jc w:val="center"/>
              <w:rPr>
                <w:color w:val="auto"/>
                <w:sz w:val="28"/>
                <w:szCs w:val="28"/>
              </w:rPr>
            </w:pPr>
            <w:r>
              <w:rPr>
                <w:rFonts w:hint="eastAsia"/>
                <w:color w:val="auto"/>
                <w:sz w:val="28"/>
                <w:szCs w:val="28"/>
              </w:rPr>
              <w:t>李士潮</w:t>
            </w:r>
          </w:p>
        </w:tc>
        <w:tc>
          <w:tcPr>
            <w:tcW w:w="3790" w:type="dxa"/>
            <w:vAlign w:val="center"/>
          </w:tcPr>
          <w:p w14:paraId="5D19E5A6">
            <w:pPr>
              <w:spacing w:line="240" w:lineRule="auto"/>
              <w:ind w:firstLine="0" w:firstLineChars="0"/>
              <w:jc w:val="center"/>
              <w:rPr>
                <w:color w:val="auto"/>
                <w:sz w:val="28"/>
                <w:szCs w:val="28"/>
              </w:rPr>
            </w:pPr>
            <w:r>
              <w:rPr>
                <w:rFonts w:hint="eastAsia"/>
                <w:color w:val="auto"/>
                <w:sz w:val="28"/>
                <w:szCs w:val="28"/>
              </w:rPr>
              <w:t>评价组成员</w:t>
            </w:r>
          </w:p>
        </w:tc>
      </w:tr>
      <w:tr w14:paraId="10D80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9" w:hRule="atLeast"/>
          <w:jc w:val="center"/>
        </w:trPr>
        <w:tc>
          <w:tcPr>
            <w:tcW w:w="3790" w:type="dxa"/>
            <w:vAlign w:val="center"/>
          </w:tcPr>
          <w:p w14:paraId="7CDB0BD6">
            <w:pPr>
              <w:spacing w:line="240" w:lineRule="auto"/>
              <w:ind w:firstLine="0" w:firstLineChars="0"/>
              <w:jc w:val="center"/>
              <w:rPr>
                <w:color w:val="auto"/>
                <w:sz w:val="28"/>
                <w:szCs w:val="28"/>
              </w:rPr>
            </w:pPr>
            <w:r>
              <w:rPr>
                <w:rFonts w:hint="eastAsia"/>
                <w:color w:val="auto"/>
                <w:sz w:val="28"/>
                <w:szCs w:val="28"/>
              </w:rPr>
              <w:t>杜锡淳</w:t>
            </w:r>
          </w:p>
        </w:tc>
        <w:tc>
          <w:tcPr>
            <w:tcW w:w="3790" w:type="dxa"/>
            <w:vAlign w:val="center"/>
          </w:tcPr>
          <w:p w14:paraId="4EB0DF09">
            <w:pPr>
              <w:spacing w:line="240" w:lineRule="auto"/>
              <w:ind w:firstLine="0" w:firstLineChars="0"/>
              <w:jc w:val="center"/>
              <w:rPr>
                <w:color w:val="auto"/>
                <w:sz w:val="28"/>
                <w:szCs w:val="28"/>
              </w:rPr>
            </w:pPr>
            <w:r>
              <w:rPr>
                <w:rFonts w:hint="eastAsia"/>
                <w:color w:val="auto"/>
                <w:sz w:val="28"/>
                <w:szCs w:val="28"/>
              </w:rPr>
              <w:t>评价组成员</w:t>
            </w:r>
          </w:p>
        </w:tc>
      </w:tr>
    </w:tbl>
    <w:p w14:paraId="50B5ABBF">
      <w:pPr>
        <w:pStyle w:val="3"/>
        <w:ind w:firstLine="643" w:firstLineChars="0"/>
        <w:rPr>
          <w:color w:val="auto"/>
        </w:rPr>
      </w:pPr>
      <w:r>
        <w:rPr>
          <w:color w:val="auto"/>
        </w:rPr>
        <w:t>自评方法与过程</w:t>
      </w:r>
    </w:p>
    <w:p w14:paraId="306F4F5E">
      <w:pPr>
        <w:ind w:firstLine="643"/>
        <w:rPr>
          <w:b/>
          <w:bCs/>
          <w:color w:val="auto"/>
          <w:szCs w:val="32"/>
        </w:rPr>
      </w:pPr>
      <w:r>
        <w:rPr>
          <w:rFonts w:hint="eastAsia"/>
          <w:b/>
          <w:bCs/>
          <w:color w:val="auto"/>
          <w:szCs w:val="32"/>
        </w:rPr>
        <w:t>1、自评的方法</w:t>
      </w:r>
    </w:p>
    <w:p w14:paraId="324B2757">
      <w:pPr>
        <w:ind w:firstLine="640"/>
        <w:rPr>
          <w:color w:val="auto"/>
          <w:szCs w:val="32"/>
        </w:rPr>
      </w:pPr>
      <w:r>
        <w:rPr>
          <w:rFonts w:hint="eastAsia"/>
          <w:color w:val="auto"/>
          <w:szCs w:val="32"/>
        </w:rPr>
        <w:t>依据《中华人民共和国预算法》、《项目支出绩效评价管理办法》（财预〔2020〕10号）、《增发2023年国债资金管理办法》；《河北省省级财政支出绩效评价管理办法》（冀财监〔2016〕15号）、《石家庄市财政支出绩效评价办法》（石财绩〔2013〕2号）、《石家庄市财政局关于做好增发国债项目资金绩效自评工作的通知》等要求，本次绩效自评秉承科学规范、公正公开、分级分类、绩效相关等原则，按照从投入、过程到产出效果和影响的绩效逻辑路径，结合石家庄市移动排涝能力提升项目实际开展情况，运用定量和定性分析相结合的方法，总结经验做法，反思项目实施和管理中的问题，以切实提升财政资金管理的科学化、规范化和精细化水平。</w:t>
      </w:r>
    </w:p>
    <w:p w14:paraId="0FE1DB92">
      <w:pPr>
        <w:ind w:firstLine="643"/>
        <w:rPr>
          <w:b/>
          <w:bCs/>
          <w:color w:val="auto"/>
          <w:szCs w:val="32"/>
        </w:rPr>
      </w:pPr>
      <w:r>
        <w:rPr>
          <w:rFonts w:hint="eastAsia"/>
          <w:b/>
          <w:bCs/>
          <w:color w:val="auto"/>
          <w:szCs w:val="32"/>
        </w:rPr>
        <w:t>2、自评的过程</w:t>
      </w:r>
    </w:p>
    <w:p w14:paraId="0AEB5761">
      <w:pPr>
        <w:ind w:firstLine="640"/>
        <w:rPr>
          <w:color w:val="auto"/>
          <w:szCs w:val="32"/>
        </w:rPr>
      </w:pPr>
      <w:r>
        <w:rPr>
          <w:rFonts w:hint="eastAsia"/>
          <w:color w:val="auto"/>
          <w:szCs w:val="32"/>
        </w:rPr>
        <w:t>（1）评价小组对指标体系的确定，分值及权值的确定。</w:t>
      </w:r>
    </w:p>
    <w:p w14:paraId="28BE9186">
      <w:pPr>
        <w:ind w:firstLine="640"/>
        <w:rPr>
          <w:color w:val="auto"/>
          <w:szCs w:val="32"/>
        </w:rPr>
      </w:pPr>
      <w:r>
        <w:rPr>
          <w:rFonts w:hint="eastAsia"/>
          <w:color w:val="auto"/>
          <w:szCs w:val="32"/>
        </w:rPr>
        <w:t>（2）由评价小组收集并审核基础数据资料。</w:t>
      </w:r>
    </w:p>
    <w:p w14:paraId="6EAF232B">
      <w:pPr>
        <w:ind w:firstLine="640"/>
        <w:rPr>
          <w:color w:val="auto"/>
          <w:szCs w:val="32"/>
        </w:rPr>
      </w:pPr>
      <w:r>
        <w:rPr>
          <w:rFonts w:hint="eastAsia"/>
          <w:color w:val="auto"/>
          <w:szCs w:val="32"/>
        </w:rPr>
        <w:t>（3）业务科室上报自评报告，并提供相关资料。</w:t>
      </w:r>
    </w:p>
    <w:p w14:paraId="2D4FEA98">
      <w:pPr>
        <w:numPr>
          <w:ilvl w:val="255"/>
          <w:numId w:val="0"/>
        </w:numPr>
        <w:ind w:firstLine="640"/>
        <w:rPr>
          <w:color w:val="auto"/>
          <w:szCs w:val="32"/>
        </w:rPr>
      </w:pPr>
      <w:r>
        <w:rPr>
          <w:rFonts w:hint="eastAsia"/>
          <w:color w:val="auto"/>
          <w:szCs w:val="32"/>
        </w:rPr>
        <w:t>（4）按方案分工由评价小组撰写评价报告；总结绩效评价经验，完善绩效评价指标和评价方案；提出下年度专项资金的部门预算安排意见。</w:t>
      </w:r>
    </w:p>
    <w:p w14:paraId="256D54AE">
      <w:pPr>
        <w:numPr>
          <w:ilvl w:val="255"/>
          <w:numId w:val="0"/>
        </w:numPr>
        <w:ind w:firstLine="640"/>
        <w:rPr>
          <w:b/>
          <w:bCs/>
          <w:color w:val="auto"/>
          <w:szCs w:val="32"/>
        </w:rPr>
      </w:pPr>
      <w:r>
        <w:rPr>
          <w:rFonts w:hint="eastAsia" w:ascii="楷体_GB2312" w:hAnsi="楷体_GB2312" w:eastAsia="楷体_GB2312" w:cs="楷体_GB2312"/>
          <w:b/>
          <w:bCs/>
          <w:color w:val="auto"/>
          <w:szCs w:val="32"/>
        </w:rPr>
        <w:t>（三）建立绩效评价指标体系</w:t>
      </w:r>
    </w:p>
    <w:p w14:paraId="63D59591">
      <w:pPr>
        <w:ind w:firstLine="640"/>
        <w:rPr>
          <w:color w:val="auto"/>
          <w:szCs w:val="32"/>
        </w:rPr>
      </w:pPr>
      <w:r>
        <w:rPr>
          <w:rFonts w:hint="eastAsia"/>
          <w:color w:val="auto"/>
          <w:szCs w:val="32"/>
        </w:rPr>
        <w:t>本绩效指标评价总分设定为100分。根据相关规范文件，参考历史数据，设置项目指标，具体指标如下：</w:t>
      </w:r>
    </w:p>
    <w:p w14:paraId="11AE202B">
      <w:pPr>
        <w:ind w:firstLine="640"/>
        <w:rPr>
          <w:color w:val="auto"/>
          <w:szCs w:val="32"/>
        </w:rPr>
      </w:pPr>
      <w:r>
        <w:rPr>
          <w:rFonts w:hint="eastAsia"/>
          <w:color w:val="auto"/>
          <w:szCs w:val="32"/>
        </w:rPr>
        <w:t>一级指标共设4个，包括产出指标、效益指标、预算执行率指标、满意度指标。</w:t>
      </w:r>
    </w:p>
    <w:p w14:paraId="100E9F09">
      <w:pPr>
        <w:ind w:firstLine="640"/>
        <w:rPr>
          <w:color w:val="auto"/>
          <w:szCs w:val="32"/>
        </w:rPr>
      </w:pPr>
      <w:r>
        <w:rPr>
          <w:rFonts w:hint="eastAsia"/>
          <w:color w:val="auto"/>
          <w:szCs w:val="32"/>
        </w:rPr>
        <w:t>二级指标共设8个，包括数量指标、质量指标、时效指标、成本指标、</w:t>
      </w:r>
      <w:r>
        <w:rPr>
          <w:rFonts w:hint="eastAsia"/>
          <w:color w:val="auto"/>
          <w:szCs w:val="32"/>
          <w:lang w:val="en-US" w:eastAsia="zh-CN"/>
        </w:rPr>
        <w:t>社会</w:t>
      </w:r>
      <w:r>
        <w:rPr>
          <w:rFonts w:hint="eastAsia"/>
          <w:color w:val="auto"/>
          <w:szCs w:val="32"/>
        </w:rPr>
        <w:t>效益指标、</w:t>
      </w:r>
      <w:r>
        <w:rPr>
          <w:rFonts w:hint="eastAsia"/>
          <w:color w:val="auto"/>
          <w:szCs w:val="32"/>
          <w:lang w:val="en-US" w:eastAsia="zh-CN"/>
        </w:rPr>
        <w:t>可持续影响、</w:t>
      </w:r>
      <w:r>
        <w:rPr>
          <w:rFonts w:hint="eastAsia"/>
          <w:color w:val="auto"/>
          <w:szCs w:val="32"/>
        </w:rPr>
        <w:t>服务对象满意度指标、预算执行率。</w:t>
      </w:r>
    </w:p>
    <w:p w14:paraId="1E8DEBC6">
      <w:pPr>
        <w:ind w:firstLine="640"/>
        <w:rPr>
          <w:color w:val="auto"/>
          <w:szCs w:val="32"/>
        </w:rPr>
      </w:pPr>
      <w:r>
        <w:rPr>
          <w:rFonts w:hint="eastAsia"/>
          <w:color w:val="auto"/>
          <w:szCs w:val="32"/>
        </w:rPr>
        <w:t>三级指标共设</w:t>
      </w:r>
      <w:r>
        <w:rPr>
          <w:rFonts w:hint="eastAsia"/>
          <w:color w:val="auto"/>
          <w:szCs w:val="32"/>
          <w:lang w:val="en-US" w:eastAsia="zh-CN"/>
        </w:rPr>
        <w:t>10</w:t>
      </w:r>
      <w:r>
        <w:rPr>
          <w:rFonts w:hint="eastAsia"/>
          <w:color w:val="auto"/>
          <w:szCs w:val="32"/>
        </w:rPr>
        <w:t>个，分别按照指标的重要程度、项目实施阶段等因素综合确定，包含</w:t>
      </w:r>
      <w:r>
        <w:rPr>
          <w:rFonts w:hint="eastAsia"/>
          <w:color w:val="auto"/>
          <w:szCs w:val="32"/>
          <w:lang w:val="en-US" w:eastAsia="zh-CN"/>
        </w:rPr>
        <w:t>排涝设备采购数量</w:t>
      </w:r>
      <w:r>
        <w:rPr>
          <w:rFonts w:hint="eastAsia"/>
          <w:color w:val="auto"/>
          <w:szCs w:val="32"/>
        </w:rPr>
        <w:t>、</w:t>
      </w:r>
      <w:r>
        <w:rPr>
          <w:rFonts w:hint="eastAsia"/>
          <w:color w:val="auto"/>
          <w:szCs w:val="32"/>
          <w:lang w:val="en-US" w:eastAsia="zh-CN"/>
        </w:rPr>
        <w:t>交（竣）工验收合格率、项目设计变更率、工程按时开工率、工程完成时间、设备成本控制率、排涝能力提升率、可持续使用时间、市民满意度、预算执行率</w:t>
      </w:r>
      <w:r>
        <w:rPr>
          <w:rFonts w:hint="eastAsia"/>
          <w:color w:val="auto"/>
          <w:szCs w:val="32"/>
        </w:rPr>
        <w:t>，能准确反映预算项目的产出和效果。</w:t>
      </w:r>
    </w:p>
    <w:p w14:paraId="26FDD82C">
      <w:pPr>
        <w:ind w:firstLine="640"/>
        <w:rPr>
          <w:color w:val="auto"/>
        </w:rPr>
      </w:pPr>
    </w:p>
    <w:p w14:paraId="1974580A">
      <w:pPr>
        <w:ind w:firstLine="640"/>
        <w:rPr>
          <w:color w:val="auto"/>
        </w:rPr>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pPr>
    </w:p>
    <w:tbl>
      <w:tblPr>
        <w:tblStyle w:val="2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6"/>
        <w:gridCol w:w="1370"/>
        <w:gridCol w:w="1299"/>
        <w:gridCol w:w="3741"/>
        <w:gridCol w:w="6818"/>
      </w:tblGrid>
      <w:tr w14:paraId="29BA1C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4" w:type="pct"/>
            <w:shd w:val="clear" w:color="auto" w:fill="auto"/>
            <w:vAlign w:val="center"/>
          </w:tcPr>
          <w:p w14:paraId="10E1A8D1">
            <w:pPr>
              <w:pStyle w:val="26"/>
              <w:rPr>
                <w:rFonts w:hint="default" w:cs="仿宋_GB2312"/>
                <w:color w:val="auto"/>
                <w:szCs w:val="28"/>
              </w:rPr>
            </w:pPr>
            <w:r>
              <w:rPr>
                <w:rFonts w:cs="仿宋_GB2312"/>
                <w:color w:val="auto"/>
                <w:szCs w:val="28"/>
              </w:rPr>
              <w:t>一级指标</w:t>
            </w:r>
          </w:p>
        </w:tc>
        <w:tc>
          <w:tcPr>
            <w:tcW w:w="483" w:type="pct"/>
            <w:shd w:val="clear" w:color="auto" w:fill="auto"/>
            <w:vAlign w:val="center"/>
          </w:tcPr>
          <w:p w14:paraId="7230AF2D">
            <w:pPr>
              <w:pStyle w:val="26"/>
              <w:rPr>
                <w:rFonts w:hint="default" w:cs="仿宋_GB2312"/>
                <w:color w:val="auto"/>
                <w:szCs w:val="28"/>
              </w:rPr>
            </w:pPr>
            <w:r>
              <w:rPr>
                <w:rFonts w:cs="仿宋_GB2312"/>
                <w:color w:val="auto"/>
                <w:szCs w:val="28"/>
              </w:rPr>
              <w:t>二级指标</w:t>
            </w:r>
          </w:p>
        </w:tc>
        <w:tc>
          <w:tcPr>
            <w:tcW w:w="458" w:type="pct"/>
            <w:shd w:val="clear" w:color="auto" w:fill="auto"/>
            <w:vAlign w:val="center"/>
          </w:tcPr>
          <w:p w14:paraId="6BEEAB60">
            <w:pPr>
              <w:pStyle w:val="26"/>
              <w:rPr>
                <w:rFonts w:hint="default" w:cs="仿宋_GB2312"/>
                <w:color w:val="auto"/>
                <w:szCs w:val="28"/>
              </w:rPr>
            </w:pPr>
            <w:r>
              <w:rPr>
                <w:rFonts w:cs="仿宋_GB2312"/>
                <w:color w:val="auto"/>
                <w:szCs w:val="28"/>
              </w:rPr>
              <w:t>三级指标</w:t>
            </w:r>
          </w:p>
        </w:tc>
        <w:tc>
          <w:tcPr>
            <w:tcW w:w="1319" w:type="pct"/>
            <w:shd w:val="clear" w:color="auto" w:fill="auto"/>
            <w:vAlign w:val="center"/>
          </w:tcPr>
          <w:p w14:paraId="2DBB1861">
            <w:pPr>
              <w:pStyle w:val="26"/>
              <w:rPr>
                <w:rFonts w:hint="default" w:cs="仿宋_GB2312"/>
                <w:color w:val="auto"/>
                <w:szCs w:val="28"/>
              </w:rPr>
            </w:pPr>
            <w:r>
              <w:rPr>
                <w:rFonts w:cs="仿宋_GB2312"/>
                <w:color w:val="auto"/>
                <w:szCs w:val="28"/>
              </w:rPr>
              <w:t>指标解释</w:t>
            </w:r>
          </w:p>
        </w:tc>
        <w:tc>
          <w:tcPr>
            <w:tcW w:w="2404" w:type="pct"/>
            <w:shd w:val="clear" w:color="auto" w:fill="auto"/>
            <w:vAlign w:val="center"/>
          </w:tcPr>
          <w:p w14:paraId="41F842B2">
            <w:pPr>
              <w:pStyle w:val="26"/>
              <w:rPr>
                <w:rFonts w:hint="default" w:cs="仿宋_GB2312"/>
                <w:color w:val="auto"/>
                <w:szCs w:val="28"/>
              </w:rPr>
            </w:pPr>
            <w:r>
              <w:rPr>
                <w:rFonts w:cs="仿宋_GB2312"/>
                <w:color w:val="auto"/>
                <w:szCs w:val="28"/>
              </w:rPr>
              <w:t>指标说明</w:t>
            </w:r>
          </w:p>
        </w:tc>
      </w:tr>
      <w:tr w14:paraId="3E961F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4" w:type="pct"/>
            <w:vMerge w:val="restart"/>
            <w:shd w:val="clear" w:color="auto" w:fill="auto"/>
            <w:vAlign w:val="center"/>
          </w:tcPr>
          <w:p w14:paraId="53D11EB7">
            <w:pPr>
              <w:pStyle w:val="26"/>
              <w:rPr>
                <w:rFonts w:hint="default" w:cs="仿宋_GB2312"/>
                <w:color w:val="auto"/>
                <w:szCs w:val="28"/>
              </w:rPr>
            </w:pPr>
            <w:r>
              <w:rPr>
                <w:rFonts w:cs="仿宋_GB2312"/>
                <w:color w:val="auto"/>
                <w:szCs w:val="28"/>
              </w:rPr>
              <w:t>产出指标（50分）</w:t>
            </w:r>
          </w:p>
        </w:tc>
        <w:tc>
          <w:tcPr>
            <w:tcW w:w="483" w:type="pct"/>
            <w:shd w:val="clear" w:color="auto" w:fill="auto"/>
            <w:vAlign w:val="center"/>
          </w:tcPr>
          <w:p w14:paraId="4E427BAD">
            <w:pPr>
              <w:pStyle w:val="26"/>
              <w:rPr>
                <w:rFonts w:hint="default" w:cs="仿宋_GB2312"/>
                <w:color w:val="auto"/>
                <w:szCs w:val="28"/>
              </w:rPr>
            </w:pPr>
            <w:r>
              <w:rPr>
                <w:rFonts w:cs="仿宋_GB2312"/>
                <w:color w:val="auto"/>
                <w:szCs w:val="28"/>
              </w:rPr>
              <w:t>数量指标</w:t>
            </w:r>
          </w:p>
        </w:tc>
        <w:tc>
          <w:tcPr>
            <w:tcW w:w="458" w:type="pct"/>
            <w:shd w:val="clear" w:color="auto" w:fill="auto"/>
            <w:vAlign w:val="center"/>
          </w:tcPr>
          <w:p w14:paraId="62F48762">
            <w:pPr>
              <w:pStyle w:val="26"/>
              <w:rPr>
                <w:rFonts w:hint="default" w:cs="仿宋_GB2312"/>
                <w:color w:val="auto"/>
                <w:szCs w:val="28"/>
              </w:rPr>
            </w:pPr>
            <w:r>
              <w:rPr>
                <w:rFonts w:cs="仿宋_GB2312"/>
                <w:color w:val="auto"/>
                <w:szCs w:val="28"/>
              </w:rPr>
              <w:t>采购排涝设备数量</w:t>
            </w:r>
          </w:p>
        </w:tc>
        <w:tc>
          <w:tcPr>
            <w:tcW w:w="1319" w:type="pct"/>
            <w:shd w:val="clear" w:color="auto" w:fill="auto"/>
            <w:vAlign w:val="center"/>
          </w:tcPr>
          <w:p w14:paraId="5DDA2AD1">
            <w:pPr>
              <w:pStyle w:val="26"/>
              <w:jc w:val="left"/>
              <w:rPr>
                <w:rFonts w:hint="default" w:cs="仿宋_GB2312"/>
                <w:color w:val="auto"/>
                <w:szCs w:val="28"/>
              </w:rPr>
            </w:pPr>
            <w:r>
              <w:rPr>
                <w:rFonts w:cs="仿宋_GB2312"/>
                <w:color w:val="auto"/>
                <w:szCs w:val="28"/>
              </w:rPr>
              <w:t>项目实施的实际采购数量与计划采购数量的比率，用以反映和考核项目产出数量目标的实现程度。</w:t>
            </w:r>
          </w:p>
        </w:tc>
        <w:tc>
          <w:tcPr>
            <w:tcW w:w="2404" w:type="pct"/>
            <w:shd w:val="clear" w:color="auto" w:fill="auto"/>
            <w:vAlign w:val="center"/>
          </w:tcPr>
          <w:p w14:paraId="5C176917">
            <w:pPr>
              <w:pStyle w:val="26"/>
              <w:jc w:val="left"/>
              <w:rPr>
                <w:rFonts w:hint="default" w:cs="仿宋_GB2312"/>
                <w:color w:val="auto"/>
                <w:szCs w:val="28"/>
              </w:rPr>
            </w:pPr>
            <w:r>
              <w:rPr>
                <w:rFonts w:cs="仿宋_GB2312"/>
                <w:color w:val="auto"/>
                <w:szCs w:val="28"/>
              </w:rPr>
              <w:t>对项目数量指标进行考核，达到年初设置的指标为满分；</w:t>
            </w:r>
          </w:p>
          <w:p w14:paraId="00813C72">
            <w:pPr>
              <w:pStyle w:val="26"/>
              <w:jc w:val="left"/>
              <w:rPr>
                <w:rFonts w:hint="default" w:cs="仿宋_GB2312"/>
                <w:color w:val="auto"/>
                <w:szCs w:val="28"/>
              </w:rPr>
            </w:pPr>
            <w:r>
              <w:rPr>
                <w:rFonts w:cs="仿宋_GB2312"/>
                <w:color w:val="auto"/>
                <w:szCs w:val="28"/>
              </w:rPr>
              <w:t>未达到年初设置的指标按照实际完成情况进行得分：</w:t>
            </w:r>
          </w:p>
          <w:p w14:paraId="43CD7EA4">
            <w:pPr>
              <w:pStyle w:val="26"/>
              <w:jc w:val="left"/>
              <w:rPr>
                <w:rFonts w:hint="default" w:cs="仿宋_GB2312"/>
                <w:color w:val="auto"/>
                <w:szCs w:val="28"/>
              </w:rPr>
            </w:pPr>
            <w:r>
              <w:rPr>
                <w:rFonts w:cs="仿宋_GB2312"/>
                <w:color w:val="auto"/>
                <w:szCs w:val="28"/>
              </w:rPr>
              <w:t>数量指标分数=实际采购数量/计划采购数量×100%×权重。</w:t>
            </w:r>
            <w:r>
              <w:rPr>
                <w:rFonts w:cs="仿宋_GB2312"/>
                <w:color w:val="auto"/>
                <w:szCs w:val="28"/>
              </w:rPr>
              <w:br w:type="textWrapping"/>
            </w:r>
            <w:r>
              <w:rPr>
                <w:rFonts w:cs="仿宋_GB2312"/>
                <w:color w:val="auto"/>
                <w:szCs w:val="28"/>
              </w:rPr>
              <w:t>实际采购数量：一定时期（本年度或项目期）内项目实际产出的产品或提供的服务数量。</w:t>
            </w:r>
            <w:r>
              <w:rPr>
                <w:rFonts w:cs="仿宋_GB2312"/>
                <w:color w:val="auto"/>
                <w:szCs w:val="28"/>
              </w:rPr>
              <w:br w:type="textWrapping"/>
            </w:r>
            <w:r>
              <w:rPr>
                <w:rFonts w:cs="仿宋_GB2312"/>
                <w:color w:val="auto"/>
                <w:szCs w:val="28"/>
              </w:rPr>
              <w:t>计划采购数量：项目绩效目标确定的在一定时期（本年度或项目期）内计划采购的数量。</w:t>
            </w:r>
          </w:p>
        </w:tc>
      </w:tr>
      <w:tr w14:paraId="2CACF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4" w:type="pct"/>
            <w:vMerge w:val="continue"/>
            <w:shd w:val="clear" w:color="auto" w:fill="auto"/>
            <w:vAlign w:val="center"/>
          </w:tcPr>
          <w:p w14:paraId="00329B48">
            <w:pPr>
              <w:pStyle w:val="26"/>
              <w:rPr>
                <w:rFonts w:hint="default" w:cs="仿宋_GB2312"/>
                <w:color w:val="auto"/>
                <w:szCs w:val="28"/>
              </w:rPr>
            </w:pPr>
          </w:p>
        </w:tc>
        <w:tc>
          <w:tcPr>
            <w:tcW w:w="483" w:type="pct"/>
            <w:shd w:val="clear" w:color="auto" w:fill="auto"/>
            <w:vAlign w:val="center"/>
          </w:tcPr>
          <w:p w14:paraId="0F15AFFE">
            <w:pPr>
              <w:pStyle w:val="26"/>
              <w:rPr>
                <w:rFonts w:hint="default" w:cs="仿宋_GB2312"/>
                <w:color w:val="auto"/>
                <w:szCs w:val="28"/>
              </w:rPr>
            </w:pPr>
            <w:r>
              <w:rPr>
                <w:rFonts w:cs="仿宋_GB2312"/>
                <w:color w:val="auto"/>
                <w:szCs w:val="28"/>
              </w:rPr>
              <w:t>质量指标</w:t>
            </w:r>
          </w:p>
        </w:tc>
        <w:tc>
          <w:tcPr>
            <w:tcW w:w="458" w:type="pct"/>
            <w:shd w:val="clear" w:color="auto" w:fill="auto"/>
            <w:vAlign w:val="center"/>
          </w:tcPr>
          <w:p w14:paraId="605443F0">
            <w:pPr>
              <w:pStyle w:val="26"/>
              <w:ind w:firstLine="0" w:firstLineChars="0"/>
              <w:rPr>
                <w:rFonts w:hint="default" w:cs="仿宋_GB2312"/>
                <w:color w:val="auto"/>
                <w:szCs w:val="28"/>
              </w:rPr>
            </w:pPr>
            <w:r>
              <w:rPr>
                <w:rFonts w:hint="eastAsia"/>
                <w:color w:val="auto"/>
                <w:lang w:val="en-US" w:eastAsia="zh-CN"/>
              </w:rPr>
              <w:t>交（竣）工验收合格率；项目设计变更率</w:t>
            </w:r>
          </w:p>
        </w:tc>
        <w:tc>
          <w:tcPr>
            <w:tcW w:w="1319" w:type="pct"/>
            <w:shd w:val="clear" w:color="auto" w:fill="auto"/>
            <w:vAlign w:val="center"/>
          </w:tcPr>
          <w:p w14:paraId="63F32C01">
            <w:pPr>
              <w:pStyle w:val="26"/>
              <w:jc w:val="left"/>
            </w:pPr>
            <w:r>
              <w:t>项目完成的质量达标产出数与实际产出数的比率，用以反映和考核项目产出质量目标的实现程度。</w:t>
            </w:r>
          </w:p>
          <w:p w14:paraId="18DD1AF3">
            <w:pPr>
              <w:pStyle w:val="26"/>
              <w:ind w:firstLine="0" w:firstLineChars="0"/>
              <w:jc w:val="left"/>
              <w:rPr>
                <w:rFonts w:hint="default" w:cs="仿宋_GB2312"/>
                <w:color w:val="auto"/>
                <w:szCs w:val="28"/>
              </w:rPr>
            </w:pPr>
            <w:r>
              <w:rPr>
                <w:rFonts w:hint="eastAsia" w:cs="仿宋_GB2312"/>
                <w:szCs w:val="28"/>
                <w:highlight w:val="none"/>
              </w:rPr>
              <w:t>项目在执行过程中，需求或计划发生变更的频率</w:t>
            </w:r>
            <w:r>
              <w:rPr>
                <w:rFonts w:hint="eastAsia" w:cs="仿宋_GB2312"/>
                <w:szCs w:val="28"/>
                <w:highlight w:val="none"/>
                <w:lang w:eastAsia="zh-CN"/>
              </w:rPr>
              <w:t>，反映项目设计变更情况</w:t>
            </w:r>
            <w:r>
              <w:rPr>
                <w:rFonts w:cs="仿宋_GB2312"/>
                <w:szCs w:val="28"/>
                <w:highlight w:val="none"/>
              </w:rPr>
              <w:t>。</w:t>
            </w:r>
          </w:p>
        </w:tc>
        <w:tc>
          <w:tcPr>
            <w:tcW w:w="2404" w:type="pct"/>
            <w:shd w:val="clear" w:color="auto" w:fill="auto"/>
            <w:vAlign w:val="center"/>
          </w:tcPr>
          <w:p w14:paraId="5A570F8B">
            <w:pPr>
              <w:pStyle w:val="26"/>
              <w:jc w:val="left"/>
              <w:rPr>
                <w:rFonts w:hint="default" w:eastAsia="仿宋_GB2312" w:cs="仿宋_GB2312"/>
                <w:szCs w:val="28"/>
                <w:highlight w:val="none"/>
                <w:lang w:val="en-US" w:eastAsia="zh-CN"/>
              </w:rPr>
            </w:pPr>
            <w:r>
              <w:rPr>
                <w:rFonts w:hint="eastAsia"/>
                <w:color w:val="auto"/>
                <w:lang w:val="en-US" w:eastAsia="zh-CN"/>
              </w:rPr>
              <w:t>交（竣）工验收合格率</w:t>
            </w:r>
            <w:r>
              <w:rPr>
                <w:rFonts w:hint="default"/>
                <w:color w:val="auto"/>
              </w:rPr>
              <w:t>=</w:t>
            </w:r>
            <w:r>
              <w:rPr>
                <w:rFonts w:hint="eastAsia" w:cs="仿宋_GB2312"/>
                <w:szCs w:val="28"/>
                <w:highlight w:val="none"/>
                <w:lang w:val="en-US" w:eastAsia="zh-CN"/>
              </w:rPr>
              <w:t>验收合格设备数量</w:t>
            </w:r>
            <w:r>
              <w:rPr>
                <w:rFonts w:cs="仿宋_GB2312"/>
                <w:szCs w:val="28"/>
                <w:highlight w:val="none"/>
              </w:rPr>
              <w:t>/</w:t>
            </w:r>
            <w:r>
              <w:rPr>
                <w:rFonts w:hint="eastAsia" w:cs="仿宋_GB2312"/>
                <w:szCs w:val="28"/>
                <w:highlight w:val="none"/>
                <w:lang w:val="en-US" w:eastAsia="zh-CN"/>
              </w:rPr>
              <w:t>采购设备总数量。</w:t>
            </w:r>
          </w:p>
          <w:p w14:paraId="45118920">
            <w:pPr>
              <w:pStyle w:val="26"/>
              <w:jc w:val="left"/>
              <w:rPr>
                <w:rFonts w:hint="default" w:cs="仿宋_GB2312"/>
                <w:szCs w:val="28"/>
                <w:highlight w:val="none"/>
              </w:rPr>
            </w:pPr>
            <w:r>
              <w:rPr>
                <w:rFonts w:hint="eastAsia" w:cs="仿宋_GB2312"/>
                <w:szCs w:val="28"/>
                <w:highlight w:val="none"/>
              </w:rPr>
              <w:t>设计变更率=设计变更总费用÷</w:t>
            </w:r>
            <w:r>
              <w:rPr>
                <w:rFonts w:hint="eastAsia" w:cs="仿宋_GB2312"/>
                <w:szCs w:val="28"/>
                <w:highlight w:val="none"/>
                <w:lang w:val="en-US" w:eastAsia="zh-CN"/>
              </w:rPr>
              <w:t>工程费用</w:t>
            </w:r>
            <w:r>
              <w:rPr>
                <w:rFonts w:cs="仿宋_GB2312"/>
                <w:szCs w:val="28"/>
                <w:highlight w:val="none"/>
              </w:rPr>
              <w:t>。</w:t>
            </w:r>
          </w:p>
          <w:p w14:paraId="00E340D2">
            <w:pPr>
              <w:pStyle w:val="26"/>
              <w:ind w:firstLine="0" w:firstLineChars="0"/>
              <w:jc w:val="left"/>
              <w:rPr>
                <w:rFonts w:hint="default" w:cs="仿宋_GB2312"/>
                <w:color w:val="auto"/>
                <w:szCs w:val="28"/>
              </w:rPr>
            </w:pPr>
          </w:p>
        </w:tc>
      </w:tr>
      <w:tr w14:paraId="6C53CE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4" w:type="pct"/>
            <w:vMerge w:val="continue"/>
            <w:shd w:val="clear" w:color="auto" w:fill="auto"/>
            <w:vAlign w:val="center"/>
          </w:tcPr>
          <w:p w14:paraId="0A2D43BB">
            <w:pPr>
              <w:pStyle w:val="26"/>
              <w:rPr>
                <w:rFonts w:hint="default" w:cs="仿宋_GB2312"/>
                <w:color w:val="auto"/>
                <w:szCs w:val="28"/>
              </w:rPr>
            </w:pPr>
          </w:p>
        </w:tc>
        <w:tc>
          <w:tcPr>
            <w:tcW w:w="483" w:type="pct"/>
            <w:shd w:val="clear" w:color="auto" w:fill="auto"/>
            <w:vAlign w:val="center"/>
          </w:tcPr>
          <w:p w14:paraId="577A13B7">
            <w:pPr>
              <w:pStyle w:val="26"/>
              <w:rPr>
                <w:rFonts w:hint="default" w:cs="仿宋_GB2312"/>
                <w:color w:val="auto"/>
                <w:szCs w:val="28"/>
              </w:rPr>
            </w:pPr>
            <w:r>
              <w:rPr>
                <w:rFonts w:cs="仿宋_GB2312"/>
                <w:color w:val="auto"/>
                <w:szCs w:val="28"/>
              </w:rPr>
              <w:t>时效指标</w:t>
            </w:r>
          </w:p>
        </w:tc>
        <w:tc>
          <w:tcPr>
            <w:tcW w:w="458" w:type="pct"/>
            <w:shd w:val="clear" w:color="auto" w:fill="auto"/>
            <w:vAlign w:val="center"/>
          </w:tcPr>
          <w:p w14:paraId="3F9989E8">
            <w:pPr>
              <w:pStyle w:val="26"/>
              <w:ind w:firstLine="0" w:firstLineChars="0"/>
              <w:rPr>
                <w:rFonts w:hint="default" w:cs="仿宋_GB2312"/>
                <w:color w:val="auto"/>
                <w:szCs w:val="28"/>
              </w:rPr>
            </w:pPr>
            <w:r>
              <w:rPr>
                <w:rFonts w:hint="eastAsia"/>
                <w:color w:val="auto"/>
                <w:lang w:val="en-US" w:eastAsia="zh-CN"/>
              </w:rPr>
              <w:t>工程按时开工率；工程完成时间</w:t>
            </w:r>
          </w:p>
        </w:tc>
        <w:tc>
          <w:tcPr>
            <w:tcW w:w="1319" w:type="pct"/>
            <w:shd w:val="clear" w:color="auto" w:fill="auto"/>
            <w:vAlign w:val="center"/>
          </w:tcPr>
          <w:p w14:paraId="5770B1AF">
            <w:pPr>
              <w:pStyle w:val="26"/>
              <w:ind w:firstLine="0" w:firstLineChars="0"/>
              <w:jc w:val="left"/>
              <w:rPr>
                <w:rFonts w:hint="default" w:cs="仿宋_GB2312"/>
                <w:color w:val="auto"/>
                <w:szCs w:val="28"/>
              </w:rPr>
            </w:pPr>
            <w:r>
              <w:rPr>
                <w:rFonts w:hint="default"/>
                <w:color w:val="auto"/>
              </w:rPr>
              <w:t>项目实际</w:t>
            </w:r>
            <w:r>
              <w:rPr>
                <w:rFonts w:hint="eastAsia"/>
                <w:color w:val="auto"/>
                <w:lang w:val="en-US" w:eastAsia="zh-CN"/>
              </w:rPr>
              <w:t>开工时间与计划开工时间的比较；项目</w:t>
            </w:r>
            <w:r>
              <w:rPr>
                <w:rFonts w:hint="default"/>
                <w:color w:val="auto"/>
              </w:rPr>
              <w:t>完成时间与计划完成时间的比较，用以反映和考核项目产出时效目标的实现程度</w:t>
            </w:r>
            <w:r>
              <w:t>。</w:t>
            </w:r>
          </w:p>
        </w:tc>
        <w:tc>
          <w:tcPr>
            <w:tcW w:w="2404" w:type="pct"/>
            <w:shd w:val="clear" w:color="auto" w:fill="auto"/>
            <w:vAlign w:val="center"/>
          </w:tcPr>
          <w:p w14:paraId="149D6D84">
            <w:pPr>
              <w:pStyle w:val="26"/>
              <w:ind w:firstLine="0" w:firstLineChars="0"/>
              <w:jc w:val="left"/>
              <w:rPr>
                <w:rFonts w:hint="default" w:cs="仿宋_GB2312"/>
                <w:color w:val="auto"/>
                <w:szCs w:val="28"/>
              </w:rPr>
            </w:pPr>
            <w:r>
              <w:rPr>
                <w:rFonts w:hint="eastAsia"/>
                <w:color w:val="auto"/>
                <w:lang w:val="en-US" w:eastAsia="zh-CN"/>
              </w:rPr>
              <w:t>项目在计划时间内开工、完成，得满分。如果未在计划期限内开始建设项目、完成项目，则酌情扣分。</w:t>
            </w:r>
          </w:p>
        </w:tc>
      </w:tr>
      <w:tr w14:paraId="27869A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4" w:type="pct"/>
            <w:vMerge w:val="continue"/>
            <w:shd w:val="clear" w:color="auto" w:fill="auto"/>
            <w:vAlign w:val="center"/>
          </w:tcPr>
          <w:p w14:paraId="7870873D">
            <w:pPr>
              <w:pStyle w:val="26"/>
              <w:rPr>
                <w:rFonts w:hint="default" w:cs="仿宋_GB2312"/>
                <w:color w:val="auto"/>
                <w:szCs w:val="28"/>
              </w:rPr>
            </w:pPr>
          </w:p>
        </w:tc>
        <w:tc>
          <w:tcPr>
            <w:tcW w:w="483" w:type="pct"/>
            <w:shd w:val="clear" w:color="auto" w:fill="auto"/>
            <w:vAlign w:val="center"/>
          </w:tcPr>
          <w:p w14:paraId="5C080265">
            <w:pPr>
              <w:pStyle w:val="26"/>
              <w:rPr>
                <w:rFonts w:hint="default" w:cs="仿宋_GB2312"/>
                <w:color w:val="auto"/>
                <w:szCs w:val="28"/>
              </w:rPr>
            </w:pPr>
            <w:r>
              <w:rPr>
                <w:rFonts w:cs="仿宋_GB2312"/>
                <w:color w:val="auto"/>
                <w:szCs w:val="28"/>
              </w:rPr>
              <w:t>成本指标</w:t>
            </w:r>
          </w:p>
        </w:tc>
        <w:tc>
          <w:tcPr>
            <w:tcW w:w="458" w:type="pct"/>
            <w:shd w:val="clear" w:color="auto" w:fill="auto"/>
            <w:vAlign w:val="center"/>
          </w:tcPr>
          <w:p w14:paraId="5849564D">
            <w:pPr>
              <w:pStyle w:val="26"/>
              <w:rPr>
                <w:rFonts w:hint="default" w:cs="仿宋_GB2312"/>
                <w:color w:val="auto"/>
                <w:szCs w:val="28"/>
              </w:rPr>
            </w:pPr>
            <w:r>
              <w:rPr>
                <w:rFonts w:cs="仿宋_GB2312"/>
                <w:color w:val="auto"/>
                <w:szCs w:val="28"/>
              </w:rPr>
              <w:t>成本指标</w:t>
            </w:r>
          </w:p>
        </w:tc>
        <w:tc>
          <w:tcPr>
            <w:tcW w:w="1319" w:type="pct"/>
            <w:shd w:val="clear" w:color="auto" w:fill="auto"/>
            <w:vAlign w:val="center"/>
          </w:tcPr>
          <w:p w14:paraId="2FC575E5">
            <w:pPr>
              <w:pStyle w:val="26"/>
              <w:jc w:val="left"/>
              <w:rPr>
                <w:rFonts w:hint="default" w:cs="仿宋_GB2312"/>
                <w:color w:val="auto"/>
                <w:szCs w:val="28"/>
              </w:rPr>
            </w:pPr>
            <w:r>
              <w:rPr>
                <w:rFonts w:cs="仿宋_GB2312"/>
                <w:color w:val="auto"/>
                <w:szCs w:val="28"/>
              </w:rPr>
              <w:t>设备成本控制情况</w:t>
            </w:r>
          </w:p>
        </w:tc>
        <w:tc>
          <w:tcPr>
            <w:tcW w:w="2404" w:type="pct"/>
            <w:shd w:val="clear" w:color="auto" w:fill="auto"/>
            <w:vAlign w:val="center"/>
          </w:tcPr>
          <w:p w14:paraId="59739107">
            <w:pPr>
              <w:pStyle w:val="26"/>
              <w:jc w:val="left"/>
              <w:rPr>
                <w:rFonts w:hint="default" w:cs="仿宋_GB2312"/>
                <w:color w:val="auto"/>
                <w:szCs w:val="28"/>
              </w:rPr>
            </w:pPr>
            <w:r>
              <w:rPr>
                <w:rFonts w:cs="仿宋_GB2312"/>
                <w:color w:val="auto"/>
                <w:szCs w:val="28"/>
              </w:rPr>
              <w:t>项目实际成本在计划成本范围内，则本项指标满分。如超过计划成本，则本项不得分。</w:t>
            </w:r>
            <w:r>
              <w:rPr>
                <w:rFonts w:cs="仿宋_GB2312"/>
                <w:color w:val="auto"/>
                <w:szCs w:val="28"/>
              </w:rPr>
              <w:br w:type="textWrapping"/>
            </w:r>
            <w:r>
              <w:rPr>
                <w:rFonts w:cs="仿宋_GB2312"/>
                <w:color w:val="auto"/>
                <w:szCs w:val="28"/>
              </w:rPr>
              <w:t>实际成本：项目实施单位如期、保质、保量完成既定工作目标实际所耗费的支出。</w:t>
            </w:r>
            <w:r>
              <w:rPr>
                <w:rFonts w:cs="仿宋_GB2312"/>
                <w:color w:val="auto"/>
                <w:szCs w:val="28"/>
              </w:rPr>
              <w:br w:type="textWrapping"/>
            </w:r>
            <w:r>
              <w:rPr>
                <w:rFonts w:cs="仿宋_GB2312"/>
                <w:color w:val="auto"/>
                <w:szCs w:val="28"/>
              </w:rPr>
              <w:t>计划成本：项目实施单位为完成工作目标计划安排的支出，一般以项目预算为参考。</w:t>
            </w:r>
          </w:p>
        </w:tc>
      </w:tr>
      <w:tr w14:paraId="4F2C7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0" w:hRule="atLeast"/>
          <w:jc w:val="center"/>
        </w:trPr>
        <w:tc>
          <w:tcPr>
            <w:tcW w:w="334" w:type="pct"/>
            <w:vMerge w:val="restart"/>
            <w:shd w:val="clear" w:color="auto" w:fill="auto"/>
            <w:vAlign w:val="center"/>
          </w:tcPr>
          <w:p w14:paraId="7CED714B">
            <w:pPr>
              <w:pStyle w:val="26"/>
              <w:rPr>
                <w:rFonts w:hint="default" w:cs="仿宋_GB2312"/>
                <w:color w:val="auto"/>
                <w:szCs w:val="28"/>
              </w:rPr>
            </w:pPr>
            <w:r>
              <w:rPr>
                <w:rFonts w:cs="仿宋_GB2312"/>
                <w:color w:val="auto"/>
                <w:szCs w:val="28"/>
              </w:rPr>
              <w:t>效益指标（30分）</w:t>
            </w:r>
          </w:p>
        </w:tc>
        <w:tc>
          <w:tcPr>
            <w:tcW w:w="483" w:type="pct"/>
            <w:shd w:val="clear" w:color="auto" w:fill="auto"/>
            <w:vAlign w:val="center"/>
          </w:tcPr>
          <w:p w14:paraId="6E9D9CCB">
            <w:pPr>
              <w:pStyle w:val="26"/>
              <w:rPr>
                <w:rFonts w:hint="default" w:cs="仿宋_GB2312"/>
                <w:color w:val="auto"/>
                <w:szCs w:val="28"/>
              </w:rPr>
            </w:pPr>
            <w:r>
              <w:rPr>
                <w:rFonts w:cs="仿宋_GB2312"/>
                <w:color w:val="auto"/>
                <w:szCs w:val="28"/>
              </w:rPr>
              <w:t>社会效益指标</w:t>
            </w:r>
          </w:p>
        </w:tc>
        <w:tc>
          <w:tcPr>
            <w:tcW w:w="458" w:type="pct"/>
            <w:shd w:val="clear" w:color="auto" w:fill="auto"/>
            <w:vAlign w:val="center"/>
          </w:tcPr>
          <w:p w14:paraId="7FE629EA">
            <w:pPr>
              <w:pStyle w:val="26"/>
              <w:ind w:firstLine="0" w:firstLineChars="0"/>
              <w:rPr>
                <w:rFonts w:hint="default" w:cs="仿宋_GB2312"/>
                <w:color w:val="auto"/>
                <w:szCs w:val="28"/>
              </w:rPr>
            </w:pPr>
            <w:r>
              <w:rPr>
                <w:rFonts w:hint="eastAsia"/>
              </w:rPr>
              <w:t>排涝能力提升率</w:t>
            </w:r>
          </w:p>
        </w:tc>
        <w:tc>
          <w:tcPr>
            <w:tcW w:w="1319" w:type="pct"/>
            <w:shd w:val="clear" w:color="auto" w:fill="auto"/>
            <w:vAlign w:val="center"/>
          </w:tcPr>
          <w:p w14:paraId="2AD6A6BE">
            <w:pPr>
              <w:pStyle w:val="26"/>
              <w:ind w:firstLine="0" w:firstLineChars="0"/>
              <w:jc w:val="left"/>
              <w:rPr>
                <w:rFonts w:hint="default" w:cs="仿宋_GB2312"/>
                <w:color w:val="auto"/>
                <w:szCs w:val="28"/>
              </w:rPr>
            </w:pPr>
            <w:r>
              <w:rPr>
                <w:rFonts w:hint="eastAsia" w:cstheme="minorBidi"/>
                <w:color w:val="auto"/>
                <w:kern w:val="2"/>
                <w:sz w:val="28"/>
                <w:szCs w:val="24"/>
                <w:highlight w:val="none"/>
                <w:lang w:val="en-US" w:eastAsia="zh-CN" w:bidi="ar-SA"/>
              </w:rPr>
              <w:t>考核项目建设后，较项目实施前排涝能力提升的情况。</w:t>
            </w:r>
          </w:p>
        </w:tc>
        <w:tc>
          <w:tcPr>
            <w:tcW w:w="2404" w:type="pct"/>
            <w:shd w:val="clear" w:color="auto" w:fill="auto"/>
            <w:vAlign w:val="center"/>
          </w:tcPr>
          <w:p w14:paraId="53EAF96D">
            <w:pPr>
              <w:pStyle w:val="26"/>
              <w:ind w:firstLine="0" w:firstLineChars="0"/>
              <w:jc w:val="left"/>
              <w:rPr>
                <w:rFonts w:hint="default" w:cs="仿宋_GB2312"/>
                <w:color w:val="auto"/>
                <w:szCs w:val="28"/>
              </w:rPr>
            </w:pPr>
            <w:r>
              <w:rPr>
                <w:rFonts w:hint="eastAsia"/>
                <w:color w:val="auto"/>
                <w:highlight w:val="none"/>
                <w:lang w:val="en-US" w:eastAsia="zh-CN"/>
              </w:rPr>
              <w:t>项目实施后，排涝能力提升情况在预期指标范围内，则本项指标得满分</w:t>
            </w:r>
            <w:r>
              <w:rPr>
                <w:rFonts w:hint="default"/>
                <w:color w:val="auto"/>
                <w:highlight w:val="none"/>
              </w:rPr>
              <w:t>。</w:t>
            </w:r>
          </w:p>
        </w:tc>
      </w:tr>
      <w:tr w14:paraId="55B4FF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0" w:hRule="atLeast"/>
          <w:jc w:val="center"/>
        </w:trPr>
        <w:tc>
          <w:tcPr>
            <w:tcW w:w="334" w:type="pct"/>
            <w:vMerge w:val="continue"/>
            <w:shd w:val="clear" w:color="auto" w:fill="auto"/>
            <w:vAlign w:val="center"/>
          </w:tcPr>
          <w:p w14:paraId="441E806E">
            <w:pPr>
              <w:pStyle w:val="26"/>
              <w:rPr>
                <w:rFonts w:cs="仿宋_GB2312"/>
                <w:color w:val="auto"/>
                <w:szCs w:val="28"/>
              </w:rPr>
            </w:pPr>
          </w:p>
        </w:tc>
        <w:tc>
          <w:tcPr>
            <w:tcW w:w="483" w:type="pct"/>
            <w:shd w:val="clear" w:color="auto" w:fill="auto"/>
            <w:vAlign w:val="center"/>
          </w:tcPr>
          <w:p w14:paraId="2E086DD4">
            <w:pPr>
              <w:pStyle w:val="26"/>
              <w:ind w:firstLine="0" w:firstLineChars="0"/>
              <w:rPr>
                <w:rFonts w:hint="eastAsia" w:ascii="仿宋_GB2312" w:hAnsi="仿宋_GB2312" w:eastAsia="仿宋_GB2312" w:cstheme="minorBidi"/>
                <w:kern w:val="2"/>
                <w:sz w:val="28"/>
                <w:szCs w:val="24"/>
                <w:lang w:val="en-US" w:eastAsia="zh-CN" w:bidi="ar-SA"/>
              </w:rPr>
            </w:pPr>
            <w:r>
              <w:rPr>
                <w:rFonts w:hint="eastAsia"/>
              </w:rPr>
              <w:t>可持续影响</w:t>
            </w:r>
          </w:p>
        </w:tc>
        <w:tc>
          <w:tcPr>
            <w:tcW w:w="458" w:type="pct"/>
            <w:shd w:val="clear" w:color="auto" w:fill="auto"/>
            <w:vAlign w:val="center"/>
          </w:tcPr>
          <w:p w14:paraId="2D842D8D">
            <w:pPr>
              <w:pStyle w:val="26"/>
              <w:ind w:firstLine="0" w:firstLineChars="0"/>
              <w:rPr>
                <w:rFonts w:hint="eastAsia" w:ascii="仿宋_GB2312" w:hAnsi="仿宋_GB2312" w:eastAsia="仿宋_GB2312" w:cstheme="minorBidi"/>
                <w:kern w:val="2"/>
                <w:sz w:val="28"/>
                <w:szCs w:val="24"/>
                <w:lang w:val="en-US" w:eastAsia="zh-CN" w:bidi="ar-SA"/>
              </w:rPr>
            </w:pPr>
            <w:r>
              <w:rPr>
                <w:rFonts w:hint="eastAsia"/>
              </w:rPr>
              <w:t>可持续使用时间</w:t>
            </w:r>
          </w:p>
        </w:tc>
        <w:tc>
          <w:tcPr>
            <w:tcW w:w="1319" w:type="pct"/>
            <w:shd w:val="clear" w:color="auto" w:fill="auto"/>
            <w:vAlign w:val="center"/>
          </w:tcPr>
          <w:p w14:paraId="53D94B90">
            <w:pPr>
              <w:pStyle w:val="26"/>
              <w:ind w:firstLine="0" w:firstLineChars="0"/>
              <w:jc w:val="left"/>
              <w:rPr>
                <w:rFonts w:hint="eastAsia" w:ascii="仿宋_GB2312" w:hAnsi="仿宋_GB2312" w:eastAsia="仿宋_GB2312" w:cstheme="minorBidi"/>
                <w:kern w:val="2"/>
                <w:sz w:val="28"/>
                <w:szCs w:val="24"/>
                <w:lang w:val="en-US" w:eastAsia="zh-CN" w:bidi="ar-SA"/>
              </w:rPr>
            </w:pPr>
            <w:r>
              <w:rPr>
                <w:rFonts w:hint="eastAsia"/>
                <w:color w:val="auto"/>
                <w:highlight w:val="none"/>
                <w:lang w:val="en-US" w:eastAsia="zh-CN"/>
              </w:rPr>
              <w:t>反映工程建成后正常使用年限。</w:t>
            </w:r>
          </w:p>
        </w:tc>
        <w:tc>
          <w:tcPr>
            <w:tcW w:w="2404" w:type="pct"/>
            <w:shd w:val="clear" w:color="auto" w:fill="auto"/>
            <w:vAlign w:val="center"/>
          </w:tcPr>
          <w:p w14:paraId="3552B851">
            <w:pPr>
              <w:pStyle w:val="26"/>
              <w:ind w:firstLine="0" w:firstLineChars="0"/>
              <w:jc w:val="left"/>
              <w:rPr>
                <w:rFonts w:hint="eastAsia" w:ascii="仿宋_GB2312" w:hAnsi="仿宋_GB2312" w:eastAsia="仿宋_GB2312" w:cstheme="minorBidi"/>
                <w:kern w:val="2"/>
                <w:sz w:val="28"/>
                <w:szCs w:val="24"/>
                <w:lang w:val="en-US" w:eastAsia="zh-CN" w:bidi="ar-SA"/>
              </w:rPr>
            </w:pPr>
            <w:r>
              <w:rPr>
                <w:rFonts w:hint="eastAsia"/>
                <w:color w:val="auto"/>
                <w:highlight w:val="none"/>
                <w:lang w:val="en-US" w:eastAsia="zh-CN"/>
              </w:rPr>
              <w:t>项目实施后，可持续影响得分=正常使用年限/预期可使用年限*权重</w:t>
            </w:r>
          </w:p>
        </w:tc>
      </w:tr>
      <w:tr w14:paraId="519407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4" w:type="pct"/>
            <w:shd w:val="clear" w:color="auto" w:fill="auto"/>
            <w:vAlign w:val="center"/>
          </w:tcPr>
          <w:p w14:paraId="6445A1B9">
            <w:pPr>
              <w:pStyle w:val="26"/>
              <w:rPr>
                <w:rFonts w:hint="default" w:cs="仿宋_GB2312"/>
                <w:color w:val="auto"/>
                <w:szCs w:val="28"/>
              </w:rPr>
            </w:pPr>
            <w:r>
              <w:rPr>
                <w:rFonts w:cs="仿宋_GB2312"/>
                <w:color w:val="auto"/>
                <w:szCs w:val="28"/>
              </w:rPr>
              <w:t>满意度指标（10分）</w:t>
            </w:r>
          </w:p>
        </w:tc>
        <w:tc>
          <w:tcPr>
            <w:tcW w:w="483" w:type="pct"/>
            <w:shd w:val="clear" w:color="auto" w:fill="auto"/>
            <w:vAlign w:val="center"/>
          </w:tcPr>
          <w:p w14:paraId="2E65BB6F">
            <w:pPr>
              <w:pStyle w:val="26"/>
              <w:rPr>
                <w:rFonts w:hint="default" w:cs="仿宋_GB2312"/>
                <w:color w:val="auto"/>
                <w:szCs w:val="28"/>
              </w:rPr>
            </w:pPr>
            <w:r>
              <w:rPr>
                <w:rFonts w:cs="仿宋_GB2312"/>
                <w:color w:val="auto"/>
                <w:szCs w:val="28"/>
              </w:rPr>
              <w:t>服务对象满意度指标</w:t>
            </w:r>
          </w:p>
        </w:tc>
        <w:tc>
          <w:tcPr>
            <w:tcW w:w="458" w:type="pct"/>
            <w:shd w:val="clear" w:color="auto" w:fill="auto"/>
            <w:vAlign w:val="center"/>
          </w:tcPr>
          <w:p w14:paraId="5F9AA308">
            <w:pPr>
              <w:pStyle w:val="26"/>
              <w:rPr>
                <w:rFonts w:hint="default" w:cs="仿宋_GB2312"/>
                <w:color w:val="auto"/>
                <w:szCs w:val="28"/>
              </w:rPr>
            </w:pPr>
            <w:r>
              <w:rPr>
                <w:rFonts w:cs="仿宋_GB2312"/>
                <w:color w:val="auto"/>
                <w:szCs w:val="28"/>
              </w:rPr>
              <w:t>市民满意度</w:t>
            </w:r>
          </w:p>
        </w:tc>
        <w:tc>
          <w:tcPr>
            <w:tcW w:w="1319" w:type="pct"/>
            <w:shd w:val="clear" w:color="auto" w:fill="auto"/>
            <w:vAlign w:val="center"/>
          </w:tcPr>
          <w:p w14:paraId="760D26B4">
            <w:pPr>
              <w:pStyle w:val="26"/>
              <w:jc w:val="left"/>
              <w:rPr>
                <w:rFonts w:hint="default" w:cs="仿宋_GB2312"/>
                <w:color w:val="auto"/>
                <w:szCs w:val="28"/>
              </w:rPr>
            </w:pPr>
            <w:r>
              <w:rPr>
                <w:color w:val="auto"/>
              </w:rPr>
              <w:t>随机调查问卷，对项目</w:t>
            </w:r>
            <w:r>
              <w:rPr>
                <w:rFonts w:cs="仿宋_GB2312"/>
                <w:color w:val="auto"/>
                <w:szCs w:val="28"/>
              </w:rPr>
              <w:t>满意</w:t>
            </w:r>
            <w:r>
              <w:rPr>
                <w:color w:val="auto"/>
              </w:rPr>
              <w:t>人数与调查总人数的比值。</w:t>
            </w:r>
          </w:p>
        </w:tc>
        <w:tc>
          <w:tcPr>
            <w:tcW w:w="2404" w:type="pct"/>
            <w:shd w:val="clear" w:color="auto" w:fill="auto"/>
            <w:vAlign w:val="center"/>
          </w:tcPr>
          <w:p w14:paraId="4AE70F75">
            <w:pPr>
              <w:pStyle w:val="26"/>
              <w:jc w:val="left"/>
              <w:rPr>
                <w:color w:val="auto"/>
              </w:rPr>
            </w:pPr>
            <w:r>
              <w:rPr>
                <w:color w:val="auto"/>
              </w:rPr>
              <w:t>满意度指标，“服务对象满意度”指标，随机调查问卷，对项目</w:t>
            </w:r>
            <w:r>
              <w:rPr>
                <w:rFonts w:hint="default" w:cs="仿宋_GB2312"/>
                <w:color w:val="auto"/>
                <w:szCs w:val="28"/>
              </w:rPr>
              <w:t>满意</w:t>
            </w:r>
            <w:r>
              <w:rPr>
                <w:color w:val="auto"/>
              </w:rPr>
              <w:t>人数与调查总人数的比值预期指标值为“≥</w:t>
            </w:r>
            <w:r>
              <w:rPr>
                <w:rFonts w:hint="eastAsia"/>
                <w:color w:val="auto"/>
                <w:lang w:val="en-US" w:eastAsia="zh-CN"/>
              </w:rPr>
              <w:t>9</w:t>
            </w:r>
            <w:r>
              <w:rPr>
                <w:color w:val="auto"/>
              </w:rPr>
              <w:t>5.00%”。</w:t>
            </w:r>
          </w:p>
          <w:p w14:paraId="20C94D35">
            <w:pPr>
              <w:pStyle w:val="26"/>
              <w:jc w:val="left"/>
              <w:rPr>
                <w:rFonts w:hint="default" w:cs="仿宋_GB2312"/>
                <w:color w:val="auto"/>
                <w:szCs w:val="28"/>
              </w:rPr>
            </w:pPr>
          </w:p>
        </w:tc>
      </w:tr>
      <w:tr w14:paraId="0FA70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4" w:type="pct"/>
            <w:shd w:val="clear" w:color="auto" w:fill="auto"/>
            <w:vAlign w:val="center"/>
          </w:tcPr>
          <w:p w14:paraId="744F222A">
            <w:pPr>
              <w:pStyle w:val="26"/>
              <w:rPr>
                <w:rFonts w:hint="default" w:cs="仿宋_GB2312"/>
                <w:color w:val="auto"/>
                <w:szCs w:val="28"/>
              </w:rPr>
            </w:pPr>
            <w:r>
              <w:rPr>
                <w:rFonts w:cs="仿宋_GB2312"/>
                <w:color w:val="auto"/>
                <w:szCs w:val="28"/>
              </w:rPr>
              <w:t>预算执行率指标（10分）</w:t>
            </w:r>
          </w:p>
        </w:tc>
        <w:tc>
          <w:tcPr>
            <w:tcW w:w="483" w:type="pct"/>
            <w:shd w:val="clear" w:color="auto" w:fill="auto"/>
            <w:vAlign w:val="center"/>
          </w:tcPr>
          <w:p w14:paraId="2EA32464">
            <w:pPr>
              <w:pStyle w:val="26"/>
              <w:rPr>
                <w:rFonts w:hint="default" w:cs="仿宋_GB2312"/>
                <w:color w:val="auto"/>
                <w:szCs w:val="28"/>
              </w:rPr>
            </w:pPr>
            <w:r>
              <w:rPr>
                <w:rFonts w:cs="仿宋_GB2312"/>
                <w:color w:val="auto"/>
                <w:szCs w:val="28"/>
              </w:rPr>
              <w:t>预算执行率指标</w:t>
            </w:r>
          </w:p>
        </w:tc>
        <w:tc>
          <w:tcPr>
            <w:tcW w:w="458" w:type="pct"/>
            <w:shd w:val="clear" w:color="auto" w:fill="auto"/>
            <w:vAlign w:val="center"/>
          </w:tcPr>
          <w:p w14:paraId="396EB1B0">
            <w:pPr>
              <w:pStyle w:val="26"/>
              <w:rPr>
                <w:rFonts w:hint="default" w:cs="仿宋_GB2312"/>
                <w:color w:val="auto"/>
                <w:szCs w:val="28"/>
              </w:rPr>
            </w:pPr>
            <w:r>
              <w:rPr>
                <w:rFonts w:cs="仿宋_GB2312"/>
                <w:color w:val="auto"/>
                <w:szCs w:val="28"/>
              </w:rPr>
              <w:t>预算执行率</w:t>
            </w:r>
          </w:p>
        </w:tc>
        <w:tc>
          <w:tcPr>
            <w:tcW w:w="1319" w:type="pct"/>
            <w:shd w:val="clear" w:color="auto" w:fill="auto"/>
            <w:vAlign w:val="center"/>
          </w:tcPr>
          <w:p w14:paraId="48852D4D">
            <w:pPr>
              <w:pStyle w:val="26"/>
              <w:jc w:val="left"/>
              <w:rPr>
                <w:rFonts w:hint="default" w:cs="仿宋_GB2312"/>
                <w:color w:val="auto"/>
                <w:szCs w:val="28"/>
              </w:rPr>
            </w:pPr>
            <w:r>
              <w:rPr>
                <w:rFonts w:cs="仿宋_GB2312"/>
                <w:color w:val="auto"/>
                <w:szCs w:val="28"/>
              </w:rPr>
              <w:t>实际支出与预算的匹配程度，预算执行率越高得分越高。</w:t>
            </w:r>
          </w:p>
        </w:tc>
        <w:tc>
          <w:tcPr>
            <w:tcW w:w="2404" w:type="pct"/>
            <w:shd w:val="clear" w:color="auto" w:fill="auto"/>
            <w:vAlign w:val="center"/>
          </w:tcPr>
          <w:p w14:paraId="541816A6">
            <w:pPr>
              <w:pStyle w:val="26"/>
              <w:jc w:val="left"/>
              <w:rPr>
                <w:rFonts w:hint="default" w:cs="仿宋_GB2312"/>
                <w:color w:val="auto"/>
                <w:szCs w:val="28"/>
              </w:rPr>
            </w:pPr>
            <w:r>
              <w:rPr>
                <w:rFonts w:cs="仿宋_GB2312"/>
                <w:color w:val="auto"/>
                <w:szCs w:val="28"/>
              </w:rPr>
              <w:t>“预算执行率”指标得分为系统自动生成，当“预算执行进度≥95%”时，“预算执行率”指标自评得分自动显示为10分；当“预算执行进度＜95%”时，“预算执行率”指标自评得分=预算执行进度*10。</w:t>
            </w:r>
          </w:p>
          <w:p w14:paraId="58B68988">
            <w:pPr>
              <w:pStyle w:val="26"/>
              <w:jc w:val="left"/>
              <w:rPr>
                <w:rFonts w:hint="default" w:cs="仿宋_GB2312"/>
                <w:color w:val="auto"/>
                <w:szCs w:val="28"/>
              </w:rPr>
            </w:pPr>
            <w:r>
              <w:rPr>
                <w:rFonts w:cs="仿宋_GB2312"/>
                <w:color w:val="auto"/>
                <w:szCs w:val="28"/>
              </w:rPr>
              <w:t>“预算执行进度”由系统自动生成，计算公式为：预算执行进度=执行数/预算数*100%；</w:t>
            </w:r>
          </w:p>
        </w:tc>
      </w:tr>
    </w:tbl>
    <w:p w14:paraId="63FD486F">
      <w:pPr>
        <w:pStyle w:val="2"/>
        <w:numPr>
          <w:ilvl w:val="0"/>
          <w:numId w:val="0"/>
        </w:numPr>
        <w:ind w:left="640" w:leftChars="200"/>
        <w:rPr>
          <w:color w:val="auto"/>
        </w:rPr>
        <w:sectPr>
          <w:pgSz w:w="16838" w:h="11906" w:orient="landscape"/>
          <w:pgMar w:top="1800" w:right="1440" w:bottom="1800" w:left="1440" w:header="851" w:footer="992" w:gutter="0"/>
          <w:cols w:space="425" w:num="1"/>
          <w:docGrid w:type="lines" w:linePitch="312" w:charSpace="0"/>
        </w:sectPr>
      </w:pPr>
    </w:p>
    <w:p w14:paraId="180ABD10">
      <w:pPr>
        <w:pStyle w:val="2"/>
        <w:ind w:firstLine="643"/>
        <w:rPr>
          <w:color w:val="auto"/>
        </w:rPr>
      </w:pPr>
      <w:r>
        <w:rPr>
          <w:color w:val="auto"/>
        </w:rPr>
        <w:t>项目执行及绩效实现情况</w:t>
      </w:r>
    </w:p>
    <w:p w14:paraId="188FB8D0">
      <w:pPr>
        <w:pStyle w:val="3"/>
        <w:ind w:firstLine="643" w:firstLineChars="0"/>
        <w:rPr>
          <w:color w:val="auto"/>
        </w:rPr>
      </w:pPr>
      <w:r>
        <w:rPr>
          <w:color w:val="auto"/>
        </w:rPr>
        <w:t>预算执行情况</w:t>
      </w:r>
      <w:r>
        <w:rPr>
          <w:rFonts w:hint="eastAsia"/>
          <w:color w:val="auto"/>
        </w:rPr>
        <w:t>（10分）</w:t>
      </w:r>
    </w:p>
    <w:p w14:paraId="384FE19E">
      <w:pPr>
        <w:pStyle w:val="4"/>
        <w:ind w:firstLine="643"/>
        <w:rPr>
          <w:rFonts w:hint="default"/>
          <w:color w:val="auto"/>
        </w:rPr>
      </w:pPr>
      <w:r>
        <w:rPr>
          <w:rFonts w:hint="default"/>
          <w:color w:val="auto"/>
        </w:rPr>
        <w:t>预算执行率分析</w:t>
      </w:r>
    </w:p>
    <w:p w14:paraId="0EB44940">
      <w:pPr>
        <w:ind w:firstLine="640"/>
        <w:rPr>
          <w:color w:val="auto"/>
        </w:rPr>
      </w:pPr>
      <w:r>
        <w:rPr>
          <w:color w:val="auto"/>
        </w:rPr>
        <w:t>石家庄市移动排涝能力提升项目预算安排总额</w:t>
      </w:r>
      <w:r>
        <w:rPr>
          <w:rFonts w:hint="eastAsia"/>
          <w:color w:val="auto"/>
        </w:rPr>
        <w:t>35946.00</w:t>
      </w:r>
      <w:r>
        <w:rPr>
          <w:color w:val="auto"/>
        </w:rPr>
        <w:t>万元，其中：国债中央补助资金28756.00万元，省级补助资金1437.80万元，市级配套资金</w:t>
      </w:r>
      <w:r>
        <w:rPr>
          <w:rFonts w:hint="eastAsia"/>
          <w:color w:val="auto"/>
        </w:rPr>
        <w:t>5752.20</w:t>
      </w:r>
      <w:r>
        <w:rPr>
          <w:color w:val="auto"/>
        </w:rPr>
        <w:t>万元。</w:t>
      </w:r>
    </w:p>
    <w:p w14:paraId="776C8A6B">
      <w:pPr>
        <w:ind w:firstLine="640"/>
        <w:rPr>
          <w:color w:val="auto"/>
        </w:rPr>
      </w:pPr>
      <w:r>
        <w:rPr>
          <w:rFonts w:hint="eastAsia"/>
          <w:color w:val="auto"/>
        </w:rPr>
        <w:t>本项目实际支付资金34829.79万元，其中：</w:t>
      </w:r>
      <w:r>
        <w:rPr>
          <w:color w:val="auto"/>
        </w:rPr>
        <w:t>国债中央补助资金</w:t>
      </w:r>
      <w:r>
        <w:rPr>
          <w:rFonts w:hint="eastAsia"/>
          <w:color w:val="auto"/>
        </w:rPr>
        <w:t>支付28756.00万元，</w:t>
      </w:r>
      <w:r>
        <w:rPr>
          <w:color w:val="auto"/>
        </w:rPr>
        <w:t>省级补助资金</w:t>
      </w:r>
      <w:r>
        <w:rPr>
          <w:rFonts w:hint="eastAsia"/>
          <w:color w:val="auto"/>
        </w:rPr>
        <w:t>支付1437.80万元</w:t>
      </w:r>
      <w:r>
        <w:rPr>
          <w:color w:val="auto"/>
        </w:rPr>
        <w:t>，市级配套资金已支付</w:t>
      </w:r>
      <w:r>
        <w:rPr>
          <w:rFonts w:hint="eastAsia"/>
          <w:color w:val="auto"/>
        </w:rPr>
        <w:t>4635.99</w:t>
      </w:r>
      <w:r>
        <w:rPr>
          <w:color w:val="auto"/>
        </w:rPr>
        <w:t>万元。</w:t>
      </w:r>
      <w:r>
        <w:rPr>
          <w:rFonts w:hint="eastAsia"/>
          <w:color w:val="auto"/>
        </w:rPr>
        <w:t>资金支付率96.89%。</w:t>
      </w:r>
    </w:p>
    <w:p w14:paraId="73424B3F">
      <w:pPr>
        <w:ind w:firstLine="640"/>
        <w:rPr>
          <w:color w:val="auto"/>
        </w:rPr>
      </w:pPr>
      <w:r>
        <w:rPr>
          <w:rFonts w:hint="eastAsia"/>
          <w:color w:val="auto"/>
        </w:rPr>
        <w:t>此项满分10分，评价得分10分。</w:t>
      </w:r>
    </w:p>
    <w:p w14:paraId="714D015E">
      <w:pPr>
        <w:pStyle w:val="3"/>
        <w:ind w:firstLine="643" w:firstLineChars="0"/>
        <w:rPr>
          <w:color w:val="auto"/>
        </w:rPr>
      </w:pPr>
      <w:r>
        <w:rPr>
          <w:color w:val="auto"/>
        </w:rPr>
        <w:t>项目产出</w:t>
      </w:r>
      <w:r>
        <w:rPr>
          <w:rFonts w:hint="eastAsia"/>
          <w:color w:val="auto"/>
        </w:rPr>
        <w:t>（50分）</w:t>
      </w:r>
    </w:p>
    <w:p w14:paraId="19B9F384">
      <w:pPr>
        <w:pStyle w:val="4"/>
        <w:ind w:firstLine="643"/>
        <w:rPr>
          <w:rFonts w:hint="default"/>
          <w:color w:val="auto"/>
        </w:rPr>
      </w:pPr>
      <w:r>
        <w:rPr>
          <w:rFonts w:hint="default"/>
          <w:color w:val="auto"/>
        </w:rPr>
        <w:t>数量完成情况</w:t>
      </w:r>
    </w:p>
    <w:p w14:paraId="64C0D580">
      <w:pPr>
        <w:ind w:firstLine="640"/>
        <w:rPr>
          <w:color w:val="auto"/>
        </w:rPr>
      </w:pPr>
      <w:r>
        <w:rPr>
          <w:rFonts w:hint="eastAsia"/>
          <w:color w:val="auto"/>
        </w:rPr>
        <w:t>项目采购排涝设备数量预期指标值为“≥171台”；项目实际采购排涝设备数量171台，符合计划数量指标。</w:t>
      </w:r>
    </w:p>
    <w:p w14:paraId="742525A0">
      <w:pPr>
        <w:ind w:firstLine="640"/>
        <w:rPr>
          <w:color w:val="auto"/>
        </w:rPr>
      </w:pPr>
      <w:r>
        <w:rPr>
          <w:rFonts w:hint="eastAsia"/>
          <w:color w:val="auto"/>
        </w:rPr>
        <w:t>此项满分10分，评价得分10分。</w:t>
      </w:r>
    </w:p>
    <w:p w14:paraId="02DD102B">
      <w:pPr>
        <w:pStyle w:val="4"/>
        <w:ind w:firstLine="643"/>
        <w:rPr>
          <w:rFonts w:hint="default"/>
          <w:color w:val="auto"/>
        </w:rPr>
      </w:pPr>
      <w:r>
        <w:rPr>
          <w:rFonts w:hint="default"/>
          <w:color w:val="auto"/>
        </w:rPr>
        <w:t>质量达标情况</w:t>
      </w:r>
    </w:p>
    <w:p w14:paraId="24451890">
      <w:pPr>
        <w:ind w:firstLine="640"/>
        <w:rPr>
          <w:rFonts w:hint="eastAsia"/>
          <w:color w:val="auto"/>
          <w:lang w:val="en-US" w:eastAsia="zh-CN"/>
        </w:rPr>
      </w:pPr>
      <w:r>
        <w:rPr>
          <w:rFonts w:hint="eastAsia"/>
          <w:color w:val="auto"/>
        </w:rPr>
        <w:t>项目质量验收合格率预期指标值为“=100.00%”；根据项目采购设备验收单，已全部交付并验收合格</w:t>
      </w:r>
      <w:r>
        <w:rPr>
          <w:rFonts w:hint="eastAsia"/>
          <w:color w:val="auto"/>
          <w:lang w:eastAsia="zh-CN"/>
        </w:rPr>
        <w:t>，</w:t>
      </w:r>
      <w:r>
        <w:rPr>
          <w:rFonts w:hint="eastAsia"/>
          <w:color w:val="auto"/>
        </w:rPr>
        <w:t>实际质量验收合格率100%</w:t>
      </w:r>
      <w:r>
        <w:rPr>
          <w:rFonts w:hint="eastAsia"/>
          <w:color w:val="auto"/>
          <w:lang w:eastAsia="zh-CN"/>
        </w:rPr>
        <w:t>，</w:t>
      </w:r>
      <w:r>
        <w:rPr>
          <w:rFonts w:hint="eastAsia"/>
          <w:color w:val="auto"/>
          <w:lang w:val="en-US" w:eastAsia="zh-CN"/>
        </w:rPr>
        <w:t>此项得8分。</w:t>
      </w:r>
    </w:p>
    <w:p w14:paraId="42BDC53C">
      <w:pPr>
        <w:ind w:firstLine="640"/>
        <w:rPr>
          <w:rFonts w:hint="eastAsia"/>
          <w:color w:val="auto"/>
          <w:lang w:val="en-US" w:eastAsia="zh-CN"/>
        </w:rPr>
      </w:pPr>
      <w:r>
        <w:rPr>
          <w:rFonts w:hint="eastAsia"/>
          <w:color w:val="auto"/>
          <w:lang w:val="en-US" w:eastAsia="zh-CN"/>
        </w:rPr>
        <w:t>项目设计变更率预期指标为“≤15%”，按照项目实际完成情况，</w:t>
      </w:r>
      <w:r>
        <w:rPr>
          <w:rFonts w:hint="eastAsia"/>
          <w:color w:val="auto"/>
        </w:rPr>
        <w:t>配套4台油罐车</w:t>
      </w:r>
      <w:r>
        <w:rPr>
          <w:rFonts w:hint="eastAsia"/>
          <w:color w:val="auto"/>
          <w:lang w:val="en-US" w:eastAsia="zh-CN"/>
        </w:rPr>
        <w:t>因资质问题未购买，不再采购，设计变更率为3%，设计变革率在预期指标范围内，此项得8分。</w:t>
      </w:r>
    </w:p>
    <w:p w14:paraId="77920ACE">
      <w:pPr>
        <w:ind w:firstLine="640"/>
        <w:rPr>
          <w:rFonts w:hint="default"/>
          <w:color w:val="auto"/>
          <w:lang w:val="en-US" w:eastAsia="zh-CN"/>
        </w:rPr>
      </w:pPr>
      <w:r>
        <w:rPr>
          <w:rFonts w:hint="eastAsia"/>
          <w:color w:val="auto"/>
          <w:lang w:val="en-US" w:eastAsia="zh-CN"/>
        </w:rPr>
        <w:t>质量指标满分16分，评价得16分。</w:t>
      </w:r>
    </w:p>
    <w:p w14:paraId="3512BB23">
      <w:pPr>
        <w:pStyle w:val="4"/>
        <w:ind w:firstLine="643"/>
        <w:rPr>
          <w:rFonts w:hint="default"/>
          <w:color w:val="auto"/>
        </w:rPr>
      </w:pPr>
      <w:r>
        <w:rPr>
          <w:rFonts w:hint="default"/>
          <w:color w:val="auto"/>
        </w:rPr>
        <w:t>时效</w:t>
      </w:r>
      <w:r>
        <w:rPr>
          <w:color w:val="auto"/>
        </w:rPr>
        <w:t>控制情况</w:t>
      </w:r>
    </w:p>
    <w:p w14:paraId="5A068132">
      <w:pPr>
        <w:ind w:firstLine="640"/>
        <w:rPr>
          <w:rFonts w:hint="eastAsia"/>
          <w:color w:val="auto"/>
          <w:lang w:val="en-US" w:eastAsia="zh-CN"/>
        </w:rPr>
      </w:pPr>
      <w:r>
        <w:rPr>
          <w:rFonts w:hint="eastAsia"/>
          <w:color w:val="auto"/>
        </w:rPr>
        <w:t>项目</w:t>
      </w:r>
      <w:r>
        <w:rPr>
          <w:rFonts w:hint="eastAsia"/>
          <w:color w:val="auto"/>
          <w:lang w:val="en-US" w:eastAsia="zh-CN"/>
        </w:rPr>
        <w:t>工程按时开工率预期指标为“＝100%”，项目开始时间符合工作计划，按时开工率为100%</w:t>
      </w:r>
      <w:r>
        <w:rPr>
          <w:rFonts w:hint="eastAsia"/>
          <w:color w:val="auto"/>
        </w:rPr>
        <w:t>，符合</w:t>
      </w:r>
      <w:r>
        <w:rPr>
          <w:color w:val="auto"/>
        </w:rPr>
        <w:t>时效控制</w:t>
      </w:r>
      <w:r>
        <w:rPr>
          <w:rFonts w:hint="eastAsia"/>
          <w:color w:val="auto"/>
        </w:rPr>
        <w:t>指标</w:t>
      </w:r>
      <w:r>
        <w:rPr>
          <w:rFonts w:hint="eastAsia"/>
          <w:color w:val="auto"/>
          <w:lang w:eastAsia="zh-CN"/>
        </w:rPr>
        <w:t>，</w:t>
      </w:r>
      <w:r>
        <w:rPr>
          <w:rFonts w:hint="eastAsia"/>
          <w:color w:val="auto"/>
          <w:lang w:val="en-US" w:eastAsia="zh-CN"/>
        </w:rPr>
        <w:t>此项得8分。</w:t>
      </w:r>
    </w:p>
    <w:p w14:paraId="291DF0BA">
      <w:pPr>
        <w:ind w:firstLine="640"/>
        <w:rPr>
          <w:rFonts w:hint="default"/>
          <w:color w:val="auto"/>
          <w:lang w:val="en-US" w:eastAsia="zh-CN"/>
        </w:rPr>
      </w:pPr>
      <w:r>
        <w:rPr>
          <w:rFonts w:hint="eastAsia"/>
          <w:color w:val="auto"/>
          <w:lang w:val="en-US" w:eastAsia="zh-CN"/>
        </w:rPr>
        <w:t>工程完成时间预期指标为“2024年12月31日”，截至2024年12月31日，本项目已经完成，此项得8分。</w:t>
      </w:r>
    </w:p>
    <w:p w14:paraId="0B1D81E3">
      <w:pPr>
        <w:ind w:firstLine="640"/>
        <w:rPr>
          <w:color w:val="auto"/>
        </w:rPr>
      </w:pPr>
      <w:r>
        <w:rPr>
          <w:rFonts w:hint="eastAsia"/>
          <w:color w:val="auto"/>
          <w:lang w:val="en-US" w:eastAsia="zh-CN"/>
        </w:rPr>
        <w:t>时效指标</w:t>
      </w:r>
      <w:r>
        <w:rPr>
          <w:rFonts w:hint="eastAsia"/>
          <w:color w:val="auto"/>
        </w:rPr>
        <w:t>满分1</w:t>
      </w:r>
      <w:r>
        <w:rPr>
          <w:rFonts w:hint="eastAsia"/>
          <w:color w:val="auto"/>
          <w:lang w:val="en-US" w:eastAsia="zh-CN"/>
        </w:rPr>
        <w:t>6</w:t>
      </w:r>
      <w:r>
        <w:rPr>
          <w:rFonts w:hint="eastAsia"/>
          <w:color w:val="auto"/>
        </w:rPr>
        <w:t>分，评价得分1</w:t>
      </w:r>
      <w:r>
        <w:rPr>
          <w:rFonts w:hint="eastAsia"/>
          <w:color w:val="auto"/>
          <w:lang w:val="en-US" w:eastAsia="zh-CN"/>
        </w:rPr>
        <w:t>6</w:t>
      </w:r>
      <w:r>
        <w:rPr>
          <w:rFonts w:hint="eastAsia"/>
          <w:color w:val="auto"/>
        </w:rPr>
        <w:t>分。</w:t>
      </w:r>
    </w:p>
    <w:p w14:paraId="52A6D91D">
      <w:pPr>
        <w:pStyle w:val="4"/>
        <w:ind w:firstLine="643"/>
        <w:rPr>
          <w:rFonts w:hint="default"/>
          <w:color w:val="auto"/>
        </w:rPr>
      </w:pPr>
      <w:r>
        <w:rPr>
          <w:color w:val="auto"/>
        </w:rPr>
        <w:t>成本控制情况</w:t>
      </w:r>
    </w:p>
    <w:p w14:paraId="5026FBAE">
      <w:pPr>
        <w:ind w:firstLine="640"/>
        <w:rPr>
          <w:color w:val="auto"/>
        </w:rPr>
      </w:pPr>
      <w:r>
        <w:rPr>
          <w:color w:val="auto"/>
        </w:rPr>
        <w:t>项目成本预期指标值为≤</w:t>
      </w:r>
      <w:r>
        <w:rPr>
          <w:rFonts w:hint="eastAsia"/>
          <w:color w:val="auto"/>
        </w:rPr>
        <w:t>35946.00万元</w:t>
      </w:r>
      <w:r>
        <w:rPr>
          <w:color w:val="auto"/>
        </w:rPr>
        <w:t>；</w:t>
      </w:r>
      <w:r>
        <w:rPr>
          <w:rFonts w:hint="eastAsia"/>
          <w:color w:val="auto"/>
        </w:rPr>
        <w:t>实际项目竣工时成本控制值为34829.79万元，</w:t>
      </w:r>
      <w:r>
        <w:rPr>
          <w:rFonts w:hint="eastAsia"/>
          <w:color w:val="auto"/>
          <w:szCs w:val="32"/>
        </w:rPr>
        <w:t>在成本计划指标范围内。</w:t>
      </w:r>
    </w:p>
    <w:p w14:paraId="2C9DE627">
      <w:pPr>
        <w:ind w:firstLine="640"/>
        <w:rPr>
          <w:color w:val="auto"/>
          <w:highlight w:val="yellow"/>
        </w:rPr>
      </w:pPr>
      <w:r>
        <w:rPr>
          <w:rFonts w:hint="eastAsia"/>
          <w:color w:val="auto"/>
        </w:rPr>
        <w:t>此项满分</w:t>
      </w:r>
      <w:r>
        <w:rPr>
          <w:rFonts w:hint="eastAsia"/>
          <w:color w:val="auto"/>
          <w:lang w:val="en-US" w:eastAsia="zh-CN"/>
        </w:rPr>
        <w:t>8</w:t>
      </w:r>
      <w:r>
        <w:rPr>
          <w:rFonts w:hint="eastAsia"/>
          <w:color w:val="auto"/>
        </w:rPr>
        <w:t>分，评价得分</w:t>
      </w:r>
      <w:r>
        <w:rPr>
          <w:rFonts w:hint="eastAsia"/>
          <w:color w:val="auto"/>
          <w:lang w:val="en-US" w:eastAsia="zh-CN"/>
        </w:rPr>
        <w:t>8</w:t>
      </w:r>
      <w:r>
        <w:rPr>
          <w:rFonts w:hint="eastAsia"/>
          <w:color w:val="auto"/>
        </w:rPr>
        <w:t>分。</w:t>
      </w:r>
    </w:p>
    <w:p w14:paraId="1119BB41">
      <w:pPr>
        <w:pStyle w:val="3"/>
        <w:ind w:firstLine="643" w:firstLineChars="0"/>
        <w:rPr>
          <w:color w:val="auto"/>
        </w:rPr>
      </w:pPr>
      <w:r>
        <w:rPr>
          <w:color w:val="auto"/>
        </w:rPr>
        <w:t>项目效益</w:t>
      </w:r>
      <w:r>
        <w:rPr>
          <w:rFonts w:hint="eastAsia"/>
          <w:color w:val="auto"/>
        </w:rPr>
        <w:t>（30分）</w:t>
      </w:r>
    </w:p>
    <w:p w14:paraId="30552B01">
      <w:pPr>
        <w:pStyle w:val="4"/>
        <w:ind w:firstLine="643"/>
        <w:rPr>
          <w:rFonts w:hint="default"/>
          <w:color w:val="auto"/>
        </w:rPr>
      </w:pPr>
      <w:r>
        <w:rPr>
          <w:rFonts w:hint="default"/>
          <w:color w:val="auto"/>
        </w:rPr>
        <w:t>社会效益</w:t>
      </w:r>
    </w:p>
    <w:p w14:paraId="002C30B5">
      <w:pPr>
        <w:ind w:firstLine="640"/>
        <w:rPr>
          <w:rFonts w:hint="eastAsia"/>
          <w:color w:val="auto"/>
          <w:lang w:val="en-US" w:eastAsia="zh-CN"/>
        </w:rPr>
      </w:pPr>
      <w:r>
        <w:rPr>
          <w:rFonts w:hint="eastAsia"/>
          <w:color w:val="auto"/>
        </w:rPr>
        <w:t>项目社会效益预期指标值为“</w:t>
      </w:r>
      <w:r>
        <w:rPr>
          <w:rFonts w:hint="eastAsia"/>
          <w:color w:val="auto"/>
          <w:lang w:val="en-US" w:eastAsia="zh-CN"/>
        </w:rPr>
        <w:t>排涝能力提升率≥90%</w:t>
      </w:r>
      <w:r>
        <w:rPr>
          <w:rFonts w:hint="eastAsia"/>
          <w:color w:val="auto"/>
        </w:rPr>
        <w:t>”；项目计划提升应急排涝能力24.53万m³/h，在去年汛期以及支援涿州市排涝抢险工作中发挥了重要作用</w:t>
      </w:r>
      <w:r>
        <w:rPr>
          <w:rFonts w:hint="eastAsia"/>
          <w:color w:val="auto"/>
          <w:lang w:eastAsia="zh-CN"/>
        </w:rPr>
        <w:t>，</w:t>
      </w:r>
      <w:r>
        <w:rPr>
          <w:rFonts w:hint="eastAsia"/>
          <w:color w:val="auto"/>
          <w:lang w:val="en-US" w:eastAsia="zh-CN"/>
        </w:rPr>
        <w:t>排涝能力提升率为95%。</w:t>
      </w:r>
    </w:p>
    <w:p w14:paraId="52434AC4">
      <w:pPr>
        <w:ind w:firstLine="640"/>
        <w:rPr>
          <w:color w:val="auto"/>
        </w:rPr>
      </w:pPr>
      <w:r>
        <w:rPr>
          <w:color w:val="auto"/>
        </w:rPr>
        <w:t>此项满分</w:t>
      </w:r>
      <w:r>
        <w:rPr>
          <w:rFonts w:hint="eastAsia"/>
          <w:color w:val="auto"/>
          <w:lang w:val="en-US" w:eastAsia="zh-CN"/>
        </w:rPr>
        <w:t>15</w:t>
      </w:r>
      <w:r>
        <w:rPr>
          <w:color w:val="auto"/>
        </w:rPr>
        <w:t>分，评价得分</w:t>
      </w:r>
      <w:r>
        <w:rPr>
          <w:rFonts w:hint="eastAsia"/>
          <w:color w:val="auto"/>
          <w:lang w:val="en-US" w:eastAsia="zh-CN"/>
        </w:rPr>
        <w:t>15</w:t>
      </w:r>
      <w:r>
        <w:rPr>
          <w:color w:val="auto"/>
        </w:rPr>
        <w:t>分。</w:t>
      </w:r>
    </w:p>
    <w:p w14:paraId="470106CF">
      <w:pPr>
        <w:pStyle w:val="4"/>
        <w:bidi w:val="0"/>
        <w:ind w:left="0" w:leftChars="0" w:firstLine="643" w:firstLineChars="200"/>
        <w:rPr>
          <w:rFonts w:hint="eastAsia"/>
          <w:lang w:val="en-US" w:eastAsia="zh-CN"/>
        </w:rPr>
      </w:pPr>
      <w:r>
        <w:rPr>
          <w:rFonts w:hint="eastAsia"/>
          <w:lang w:val="en-US" w:eastAsia="zh-CN"/>
        </w:rPr>
        <w:t>可持续影响</w:t>
      </w:r>
    </w:p>
    <w:p w14:paraId="16AC7B04">
      <w:pPr>
        <w:ind w:firstLine="640"/>
        <w:rPr>
          <w:rFonts w:hint="eastAsia"/>
          <w:color w:val="auto"/>
          <w:lang w:val="en-US" w:eastAsia="zh-CN"/>
        </w:rPr>
      </w:pPr>
      <w:r>
        <w:rPr>
          <w:rFonts w:hint="eastAsia"/>
          <w:color w:val="auto"/>
          <w:lang w:val="en-US" w:eastAsia="zh-CN"/>
        </w:rPr>
        <w:t>设备可持续使用时间预期指标“≥8年”，通过定期维护和升级，设备在整个生命周期内保持正常使用，最大化延长使用寿命，符合可持续发展目标。</w:t>
      </w:r>
    </w:p>
    <w:p w14:paraId="7D5E44BD">
      <w:pPr>
        <w:ind w:firstLine="640"/>
        <w:rPr>
          <w:rFonts w:hint="default"/>
          <w:color w:val="auto"/>
          <w:lang w:val="en-US" w:eastAsia="zh-CN"/>
        </w:rPr>
      </w:pPr>
      <w:r>
        <w:rPr>
          <w:rFonts w:hint="eastAsia"/>
          <w:color w:val="auto"/>
          <w:lang w:val="en-US" w:eastAsia="zh-CN"/>
        </w:rPr>
        <w:t>此项满分15分，评价得15分。</w:t>
      </w:r>
    </w:p>
    <w:p w14:paraId="40C8BC45">
      <w:pPr>
        <w:pStyle w:val="3"/>
        <w:ind w:firstLine="643" w:firstLineChars="0"/>
        <w:rPr>
          <w:color w:val="auto"/>
        </w:rPr>
      </w:pPr>
      <w:r>
        <w:rPr>
          <w:rFonts w:hint="eastAsia"/>
          <w:color w:val="auto"/>
        </w:rPr>
        <w:t>满意度指标（10分）</w:t>
      </w:r>
    </w:p>
    <w:p w14:paraId="34C7138D">
      <w:pPr>
        <w:ind w:firstLine="640"/>
        <w:jc w:val="left"/>
        <w:rPr>
          <w:color w:val="auto"/>
        </w:rPr>
      </w:pPr>
      <w:r>
        <w:rPr>
          <w:rFonts w:hint="eastAsia"/>
          <w:color w:val="auto"/>
        </w:rPr>
        <w:t>随机调查问卷，对项目满意人数与调查总人数的比值标值为96</w:t>
      </w:r>
      <w:r>
        <w:rPr>
          <w:color w:val="auto"/>
        </w:rPr>
        <w:t>.00%</w:t>
      </w:r>
      <w:r>
        <w:rPr>
          <w:rFonts w:hint="eastAsia"/>
          <w:color w:val="auto"/>
        </w:rPr>
        <w:t>，符合满意度指标。</w:t>
      </w:r>
    </w:p>
    <w:p w14:paraId="009C51C1">
      <w:pPr>
        <w:ind w:firstLine="640"/>
        <w:rPr>
          <w:color w:val="auto"/>
        </w:rPr>
      </w:pPr>
      <w:r>
        <w:rPr>
          <w:color w:val="auto"/>
        </w:rPr>
        <w:t>此项满分</w:t>
      </w:r>
      <w:r>
        <w:rPr>
          <w:rFonts w:hint="eastAsia"/>
          <w:color w:val="auto"/>
        </w:rPr>
        <w:t>10</w:t>
      </w:r>
      <w:r>
        <w:rPr>
          <w:color w:val="auto"/>
        </w:rPr>
        <w:t>分，评价得分</w:t>
      </w:r>
      <w:r>
        <w:rPr>
          <w:rFonts w:hint="eastAsia"/>
          <w:color w:val="auto"/>
        </w:rPr>
        <w:t>10</w:t>
      </w:r>
      <w:r>
        <w:rPr>
          <w:color w:val="auto"/>
        </w:rPr>
        <w:t>分。</w:t>
      </w:r>
    </w:p>
    <w:p w14:paraId="3EABDDEC">
      <w:pPr>
        <w:pStyle w:val="2"/>
        <w:ind w:firstLine="643"/>
        <w:rPr>
          <w:color w:val="auto"/>
        </w:rPr>
      </w:pPr>
      <w:r>
        <w:rPr>
          <w:color w:val="auto"/>
        </w:rPr>
        <w:t>项目综合评价结论</w:t>
      </w:r>
      <w:r>
        <w:rPr>
          <w:rFonts w:hint="eastAsia"/>
          <w:color w:val="auto"/>
        </w:rPr>
        <w:t>和评价</w:t>
      </w:r>
      <w:r>
        <w:rPr>
          <w:color w:val="auto"/>
        </w:rPr>
        <w:t>等级</w:t>
      </w:r>
    </w:p>
    <w:p w14:paraId="638E4BCC">
      <w:pPr>
        <w:ind w:firstLine="640"/>
        <w:rPr>
          <w:color w:val="auto"/>
          <w:lang w:val="zh-TW"/>
        </w:rPr>
      </w:pPr>
      <w:r>
        <w:rPr>
          <w:rFonts w:hint="eastAsia"/>
          <w:color w:val="auto"/>
        </w:rPr>
        <w:t>此次绩效评价</w:t>
      </w:r>
      <w:r>
        <w:rPr>
          <w:rFonts w:hint="eastAsia"/>
          <w:color w:val="auto"/>
          <w:lang w:val="zh-TW"/>
        </w:rPr>
        <w:t>通过组织论证的评价指标体系及评分标准，</w:t>
      </w:r>
      <w:r>
        <w:rPr>
          <w:rFonts w:hint="eastAsia"/>
          <w:color w:val="auto"/>
        </w:rPr>
        <w:t>采用比较法、公众评判等方法，对石家庄市移动排涝能力提升项目的业务资料、财务资料和统计数据进行分析，对部门整体支出预算编制情况、预算执行情况、资金使用效益等方面进行全面详细分析计算，最终绩效自评综合得分为100分，</w:t>
      </w:r>
      <w:r>
        <w:rPr>
          <w:rFonts w:hint="eastAsia"/>
          <w:color w:val="auto"/>
          <w:lang w:val="zh-TW"/>
        </w:rPr>
        <w:t>绩效评级为“</w:t>
      </w:r>
      <w:r>
        <w:rPr>
          <w:rFonts w:hint="eastAsia"/>
          <w:color w:val="auto"/>
        </w:rPr>
        <w:t>优秀</w:t>
      </w:r>
      <w:r>
        <w:rPr>
          <w:rFonts w:hint="eastAsia"/>
          <w:color w:val="auto"/>
          <w:lang w:val="zh-TW"/>
        </w:rPr>
        <w:t>”。</w:t>
      </w:r>
    </w:p>
    <w:p w14:paraId="6C25A406">
      <w:pPr>
        <w:pStyle w:val="27"/>
        <w:rPr>
          <w:rFonts w:hint="default"/>
          <w:color w:val="auto"/>
        </w:rPr>
      </w:pPr>
      <w:r>
        <w:rPr>
          <w:color w:val="auto"/>
        </w:rPr>
        <w:t>石家庄市移动排涝能力提升项目</w:t>
      </w:r>
    </w:p>
    <w:p w14:paraId="30BCF716">
      <w:pPr>
        <w:pStyle w:val="27"/>
        <w:rPr>
          <w:rFonts w:hint="default"/>
          <w:color w:val="auto"/>
        </w:rPr>
      </w:pPr>
      <w:r>
        <w:rPr>
          <w:color w:val="auto"/>
        </w:rPr>
        <w:t>项目得分表</w:t>
      </w:r>
    </w:p>
    <w:tbl>
      <w:tblPr>
        <w:tblStyle w:val="20"/>
        <w:tblW w:w="5000" w:type="pct"/>
        <w:jc w:val="center"/>
        <w:tblLayout w:type="autofit"/>
        <w:tblCellMar>
          <w:top w:w="0" w:type="dxa"/>
          <w:left w:w="0" w:type="dxa"/>
          <w:bottom w:w="0" w:type="dxa"/>
          <w:right w:w="0" w:type="dxa"/>
        </w:tblCellMar>
      </w:tblPr>
      <w:tblGrid>
        <w:gridCol w:w="1882"/>
        <w:gridCol w:w="1882"/>
        <w:gridCol w:w="1512"/>
        <w:gridCol w:w="1512"/>
        <w:gridCol w:w="774"/>
        <w:gridCol w:w="774"/>
      </w:tblGrid>
      <w:tr w14:paraId="0F3B4D48">
        <w:tblPrEx>
          <w:tblCellMar>
            <w:top w:w="0" w:type="dxa"/>
            <w:left w:w="0" w:type="dxa"/>
            <w:bottom w:w="0" w:type="dxa"/>
            <w:right w:w="0" w:type="dxa"/>
          </w:tblCellMar>
        </w:tblPrEx>
        <w:trPr>
          <w:trHeight w:val="375" w:hRule="atLeast"/>
          <w:jc w:val="center"/>
        </w:trPr>
        <w:tc>
          <w:tcPr>
            <w:tcW w:w="112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E0104D">
            <w:pPr>
              <w:pStyle w:val="26"/>
              <w:rPr>
                <w:rFonts w:hint="default"/>
                <w:b/>
                <w:bCs/>
                <w:color w:val="auto"/>
              </w:rPr>
            </w:pPr>
            <w:r>
              <w:rPr>
                <w:b/>
                <w:bCs/>
                <w:color w:val="auto"/>
              </w:rPr>
              <w:t>指标类别</w:t>
            </w:r>
          </w:p>
        </w:tc>
        <w:tc>
          <w:tcPr>
            <w:tcW w:w="112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879F6A">
            <w:pPr>
              <w:pStyle w:val="26"/>
              <w:rPr>
                <w:rFonts w:hint="default"/>
                <w:b/>
                <w:bCs/>
                <w:color w:val="auto"/>
              </w:rPr>
            </w:pPr>
            <w:r>
              <w:rPr>
                <w:b/>
                <w:bCs/>
                <w:color w:val="auto"/>
              </w:rPr>
              <w:t>预算执行率</w:t>
            </w:r>
          </w:p>
        </w:tc>
        <w:tc>
          <w:tcPr>
            <w:tcW w:w="90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7AE82D">
            <w:pPr>
              <w:pStyle w:val="26"/>
              <w:rPr>
                <w:rFonts w:hint="default"/>
                <w:b/>
                <w:bCs/>
                <w:color w:val="auto"/>
              </w:rPr>
            </w:pPr>
            <w:r>
              <w:rPr>
                <w:b/>
                <w:bCs/>
                <w:color w:val="auto"/>
              </w:rPr>
              <w:t>项目产出</w:t>
            </w:r>
          </w:p>
        </w:tc>
        <w:tc>
          <w:tcPr>
            <w:tcW w:w="90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F71C86">
            <w:pPr>
              <w:pStyle w:val="26"/>
              <w:rPr>
                <w:rFonts w:hint="default"/>
                <w:b/>
                <w:bCs/>
                <w:color w:val="auto"/>
              </w:rPr>
            </w:pPr>
            <w:r>
              <w:rPr>
                <w:b/>
                <w:bCs/>
                <w:color w:val="auto"/>
              </w:rPr>
              <w:t>项目效益</w:t>
            </w:r>
          </w:p>
        </w:tc>
        <w:tc>
          <w:tcPr>
            <w:tcW w:w="464" w:type="pct"/>
            <w:tcBorders>
              <w:top w:val="single" w:color="000000" w:sz="4" w:space="0"/>
              <w:left w:val="single" w:color="000000" w:sz="4" w:space="0"/>
              <w:bottom w:val="single" w:color="000000" w:sz="4" w:space="0"/>
              <w:right w:val="single" w:color="000000" w:sz="4" w:space="0"/>
            </w:tcBorders>
          </w:tcPr>
          <w:p w14:paraId="0133A70A">
            <w:pPr>
              <w:pStyle w:val="26"/>
              <w:rPr>
                <w:b/>
                <w:bCs/>
                <w:color w:val="auto"/>
              </w:rPr>
            </w:pPr>
            <w:r>
              <w:rPr>
                <w:b/>
                <w:bCs/>
                <w:color w:val="auto"/>
              </w:rPr>
              <w:t>项目满意度</w:t>
            </w:r>
          </w:p>
        </w:tc>
        <w:tc>
          <w:tcPr>
            <w:tcW w:w="46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8F17EE">
            <w:pPr>
              <w:pStyle w:val="26"/>
              <w:rPr>
                <w:rFonts w:hint="default"/>
                <w:b/>
                <w:bCs/>
                <w:color w:val="auto"/>
              </w:rPr>
            </w:pPr>
            <w:r>
              <w:rPr>
                <w:b/>
                <w:bCs/>
                <w:color w:val="auto"/>
              </w:rPr>
              <w:t>合计</w:t>
            </w:r>
          </w:p>
        </w:tc>
      </w:tr>
      <w:tr w14:paraId="7C48A772">
        <w:tblPrEx>
          <w:tblCellMar>
            <w:top w:w="0" w:type="dxa"/>
            <w:left w:w="0" w:type="dxa"/>
            <w:bottom w:w="0" w:type="dxa"/>
            <w:right w:w="0" w:type="dxa"/>
          </w:tblCellMar>
        </w:tblPrEx>
        <w:trPr>
          <w:trHeight w:val="375" w:hRule="atLeast"/>
          <w:jc w:val="center"/>
        </w:trPr>
        <w:tc>
          <w:tcPr>
            <w:tcW w:w="112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E9527A">
            <w:pPr>
              <w:pStyle w:val="26"/>
              <w:rPr>
                <w:rFonts w:hint="default"/>
                <w:color w:val="auto"/>
              </w:rPr>
            </w:pPr>
            <w:r>
              <w:rPr>
                <w:color w:val="auto"/>
              </w:rPr>
              <w:t>满分分值（分）</w:t>
            </w:r>
          </w:p>
        </w:tc>
        <w:tc>
          <w:tcPr>
            <w:tcW w:w="112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CA9A34">
            <w:pPr>
              <w:pStyle w:val="26"/>
              <w:rPr>
                <w:rFonts w:hint="default"/>
                <w:color w:val="auto"/>
              </w:rPr>
            </w:pPr>
            <w:r>
              <w:rPr>
                <w:color w:val="auto"/>
              </w:rPr>
              <w:t>10</w:t>
            </w:r>
          </w:p>
        </w:tc>
        <w:tc>
          <w:tcPr>
            <w:tcW w:w="90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B5A47F">
            <w:pPr>
              <w:pStyle w:val="26"/>
              <w:rPr>
                <w:rFonts w:hint="default"/>
                <w:color w:val="auto"/>
              </w:rPr>
            </w:pPr>
            <w:r>
              <w:rPr>
                <w:color w:val="auto"/>
              </w:rPr>
              <w:t>50</w:t>
            </w:r>
          </w:p>
        </w:tc>
        <w:tc>
          <w:tcPr>
            <w:tcW w:w="90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CD6BD9">
            <w:pPr>
              <w:pStyle w:val="26"/>
              <w:rPr>
                <w:rFonts w:hint="default"/>
                <w:color w:val="auto"/>
              </w:rPr>
            </w:pPr>
            <w:r>
              <w:rPr>
                <w:color w:val="auto"/>
              </w:rPr>
              <w:t>30</w:t>
            </w:r>
          </w:p>
        </w:tc>
        <w:tc>
          <w:tcPr>
            <w:tcW w:w="464" w:type="pct"/>
            <w:tcBorders>
              <w:top w:val="single" w:color="000000" w:sz="4" w:space="0"/>
              <w:left w:val="single" w:color="000000" w:sz="4" w:space="0"/>
              <w:bottom w:val="single" w:color="000000" w:sz="4" w:space="0"/>
              <w:right w:val="single" w:color="000000" w:sz="4" w:space="0"/>
            </w:tcBorders>
          </w:tcPr>
          <w:p w14:paraId="7FEB3C96">
            <w:pPr>
              <w:pStyle w:val="26"/>
              <w:rPr>
                <w:color w:val="auto"/>
              </w:rPr>
            </w:pPr>
            <w:r>
              <w:rPr>
                <w:color w:val="auto"/>
              </w:rPr>
              <w:t>10</w:t>
            </w:r>
          </w:p>
        </w:tc>
        <w:tc>
          <w:tcPr>
            <w:tcW w:w="46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BB8966">
            <w:pPr>
              <w:pStyle w:val="26"/>
              <w:rPr>
                <w:rFonts w:hint="default"/>
                <w:color w:val="auto"/>
              </w:rPr>
            </w:pPr>
            <w:r>
              <w:rPr>
                <w:color w:val="auto"/>
              </w:rPr>
              <w:t>100</w:t>
            </w:r>
          </w:p>
        </w:tc>
      </w:tr>
      <w:tr w14:paraId="4FC0207A">
        <w:tblPrEx>
          <w:tblCellMar>
            <w:top w:w="0" w:type="dxa"/>
            <w:left w:w="0" w:type="dxa"/>
            <w:bottom w:w="0" w:type="dxa"/>
            <w:right w:w="0" w:type="dxa"/>
          </w:tblCellMar>
        </w:tblPrEx>
        <w:trPr>
          <w:trHeight w:val="90" w:hRule="atLeast"/>
          <w:jc w:val="center"/>
        </w:trPr>
        <w:tc>
          <w:tcPr>
            <w:tcW w:w="112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FA865B">
            <w:pPr>
              <w:pStyle w:val="26"/>
              <w:rPr>
                <w:rFonts w:hint="default"/>
                <w:color w:val="auto"/>
              </w:rPr>
            </w:pPr>
            <w:r>
              <w:rPr>
                <w:color w:val="auto"/>
              </w:rPr>
              <w:t>自评得分（分）</w:t>
            </w:r>
          </w:p>
        </w:tc>
        <w:tc>
          <w:tcPr>
            <w:tcW w:w="112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017116">
            <w:pPr>
              <w:pStyle w:val="26"/>
              <w:rPr>
                <w:rFonts w:hint="default"/>
                <w:color w:val="auto"/>
              </w:rPr>
            </w:pPr>
            <w:r>
              <w:rPr>
                <w:color w:val="auto"/>
              </w:rPr>
              <w:t>10</w:t>
            </w:r>
          </w:p>
        </w:tc>
        <w:tc>
          <w:tcPr>
            <w:tcW w:w="90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70D8FC">
            <w:pPr>
              <w:pStyle w:val="26"/>
              <w:rPr>
                <w:rFonts w:hint="default"/>
                <w:color w:val="auto"/>
              </w:rPr>
            </w:pPr>
            <w:r>
              <w:rPr>
                <w:color w:val="auto"/>
              </w:rPr>
              <w:t>50</w:t>
            </w:r>
          </w:p>
        </w:tc>
        <w:tc>
          <w:tcPr>
            <w:tcW w:w="90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4F4AEF">
            <w:pPr>
              <w:pStyle w:val="26"/>
              <w:rPr>
                <w:rFonts w:hint="default"/>
                <w:color w:val="auto"/>
              </w:rPr>
            </w:pPr>
            <w:r>
              <w:rPr>
                <w:color w:val="auto"/>
              </w:rPr>
              <w:t>30</w:t>
            </w:r>
          </w:p>
        </w:tc>
        <w:tc>
          <w:tcPr>
            <w:tcW w:w="464" w:type="pct"/>
            <w:tcBorders>
              <w:top w:val="single" w:color="000000" w:sz="4" w:space="0"/>
              <w:left w:val="single" w:color="000000" w:sz="4" w:space="0"/>
              <w:bottom w:val="single" w:color="000000" w:sz="4" w:space="0"/>
              <w:right w:val="single" w:color="000000" w:sz="4" w:space="0"/>
            </w:tcBorders>
          </w:tcPr>
          <w:p w14:paraId="288A9EA3">
            <w:pPr>
              <w:pStyle w:val="26"/>
              <w:rPr>
                <w:color w:val="auto"/>
              </w:rPr>
            </w:pPr>
            <w:r>
              <w:rPr>
                <w:color w:val="auto"/>
              </w:rPr>
              <w:t>10</w:t>
            </w:r>
          </w:p>
        </w:tc>
        <w:tc>
          <w:tcPr>
            <w:tcW w:w="46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F64C9B">
            <w:pPr>
              <w:pStyle w:val="26"/>
              <w:rPr>
                <w:rFonts w:hint="default"/>
                <w:color w:val="auto"/>
              </w:rPr>
            </w:pPr>
            <w:r>
              <w:rPr>
                <w:color w:val="auto"/>
              </w:rPr>
              <w:t>100</w:t>
            </w:r>
          </w:p>
        </w:tc>
      </w:tr>
    </w:tbl>
    <w:p w14:paraId="63F69046">
      <w:pPr>
        <w:pStyle w:val="2"/>
        <w:ind w:firstLine="643"/>
        <w:rPr>
          <w:color w:val="auto"/>
        </w:rPr>
      </w:pPr>
      <w:r>
        <w:rPr>
          <w:color w:val="auto"/>
        </w:rPr>
        <w:t>存在的问题及改进措施</w:t>
      </w:r>
    </w:p>
    <w:p w14:paraId="3E57AA82">
      <w:pPr>
        <w:pStyle w:val="3"/>
        <w:ind w:firstLine="643" w:firstLineChars="0"/>
        <w:rPr>
          <w:color w:val="auto"/>
        </w:rPr>
      </w:pPr>
      <w:r>
        <w:rPr>
          <w:rFonts w:hint="eastAsia"/>
          <w:color w:val="auto"/>
        </w:rPr>
        <w:t>项目存在的</w:t>
      </w:r>
      <w:r>
        <w:rPr>
          <w:color w:val="auto"/>
        </w:rPr>
        <w:t>主要问题</w:t>
      </w:r>
    </w:p>
    <w:p w14:paraId="2369B470">
      <w:pPr>
        <w:ind w:firstLine="640"/>
        <w:rPr>
          <w:color w:val="auto"/>
        </w:rPr>
      </w:pPr>
      <w:r>
        <w:rPr>
          <w:rFonts w:hint="eastAsia"/>
          <w:color w:val="auto"/>
          <w:lang w:val="en-US" w:eastAsia="zh-CN"/>
        </w:rPr>
        <w:t>1、</w:t>
      </w:r>
      <w:r>
        <w:rPr>
          <w:rFonts w:hint="eastAsia"/>
          <w:color w:val="auto"/>
        </w:rPr>
        <w:t>项目已经完成，预算未全部支出。根据可研报告，排涝配套用车包含4台油罐车，在项目实施过程中，由于油罐车属于危险品，部门不具备购买资质，4台油罐车不再购买。</w:t>
      </w:r>
    </w:p>
    <w:p w14:paraId="7EF95F51">
      <w:pPr>
        <w:ind w:firstLine="0" w:firstLineChars="0"/>
        <w:jc w:val="center"/>
        <w:rPr>
          <w:color w:val="auto"/>
        </w:rPr>
      </w:pPr>
      <w:r>
        <w:drawing>
          <wp:inline distT="0" distB="0" distL="114300" distR="114300">
            <wp:extent cx="4779645" cy="3397885"/>
            <wp:effectExtent l="0" t="0" r="1905"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a:stretch>
                      <a:fillRect/>
                    </a:stretch>
                  </pic:blipFill>
                  <pic:spPr>
                    <a:xfrm>
                      <a:off x="0" y="0"/>
                      <a:ext cx="4779645" cy="3397885"/>
                    </a:xfrm>
                    <a:prstGeom prst="rect">
                      <a:avLst/>
                    </a:prstGeom>
                    <a:noFill/>
                    <a:ln>
                      <a:noFill/>
                    </a:ln>
                  </pic:spPr>
                </pic:pic>
              </a:graphicData>
            </a:graphic>
          </wp:inline>
        </w:drawing>
      </w:r>
      <w:bookmarkStart w:id="0" w:name="_GoBack"/>
      <w:bookmarkEnd w:id="0"/>
    </w:p>
    <w:p w14:paraId="3B9EF6EE">
      <w:pPr>
        <w:ind w:firstLine="640"/>
        <w:rPr>
          <w:rFonts w:hint="default"/>
          <w:color w:val="auto"/>
          <w:lang w:val="en-US" w:eastAsia="zh-CN"/>
        </w:rPr>
      </w:pPr>
      <w:r>
        <w:rPr>
          <w:rFonts w:hint="eastAsia"/>
          <w:color w:val="auto"/>
          <w:lang w:val="en-US" w:eastAsia="zh-CN"/>
        </w:rPr>
        <w:t>2、缺少应急装备的日常管理、保管维护等相关经费，目前无法开展设备养护、调试、培训演练和应急救援等工作。</w:t>
      </w:r>
    </w:p>
    <w:p w14:paraId="2BB56644">
      <w:pPr>
        <w:pStyle w:val="3"/>
        <w:ind w:firstLine="643" w:firstLineChars="0"/>
        <w:rPr>
          <w:color w:val="auto"/>
        </w:rPr>
      </w:pPr>
      <w:r>
        <w:rPr>
          <w:rFonts w:hint="eastAsia"/>
          <w:color w:val="auto"/>
        </w:rPr>
        <w:t>针对问题提出具体的</w:t>
      </w:r>
      <w:r>
        <w:rPr>
          <w:color w:val="auto"/>
        </w:rPr>
        <w:t>改进措施</w:t>
      </w:r>
      <w:r>
        <w:rPr>
          <w:rFonts w:hint="eastAsia"/>
          <w:color w:val="auto"/>
        </w:rPr>
        <w:t>或</w:t>
      </w:r>
      <w:r>
        <w:rPr>
          <w:color w:val="auto"/>
        </w:rPr>
        <w:t>建议</w:t>
      </w:r>
    </w:p>
    <w:p w14:paraId="761404E3">
      <w:pPr>
        <w:ind w:firstLine="640"/>
        <w:rPr>
          <w:rFonts w:hint="eastAsia"/>
          <w:color w:val="auto"/>
        </w:rPr>
      </w:pPr>
      <w:r>
        <w:rPr>
          <w:rFonts w:hint="eastAsia"/>
          <w:color w:val="auto"/>
        </w:rPr>
        <w:t>项目前期论证工作要充分,切实加强组织领导,制定工作方案,细化任务分工,确保工作扎实有序推进。合理预估初期预算，提高预算准确性。项目实施过程中，加强绩效监控，及时调整预算。</w:t>
      </w:r>
    </w:p>
    <w:p w14:paraId="46B6C37F">
      <w:pPr>
        <w:ind w:firstLine="640"/>
        <w:rPr>
          <w:rFonts w:hint="eastAsia"/>
          <w:color w:val="auto"/>
        </w:rPr>
      </w:pPr>
      <w:r>
        <w:rPr>
          <w:rFonts w:hint="eastAsia"/>
          <w:color w:val="auto"/>
        </w:rPr>
        <w:t>建议</w:t>
      </w:r>
      <w:r>
        <w:rPr>
          <w:rFonts w:hint="eastAsia"/>
          <w:color w:val="auto"/>
          <w:lang w:val="en-US" w:eastAsia="zh-CN"/>
        </w:rPr>
        <w:t>制定设备管理制度，明确责任分工，完善维护计划，加强</w:t>
      </w:r>
      <w:r>
        <w:rPr>
          <w:rFonts w:hint="eastAsia"/>
          <w:color w:val="auto"/>
        </w:rPr>
        <w:t>日常管理、保管维护及设备养护，确保装备处于良好状态</w:t>
      </w:r>
      <w:r>
        <w:rPr>
          <w:rFonts w:hint="eastAsia"/>
          <w:color w:val="auto"/>
          <w:lang w:eastAsia="zh-CN"/>
        </w:rPr>
        <w:t>，</w:t>
      </w:r>
      <w:r>
        <w:rPr>
          <w:rFonts w:hint="eastAsia"/>
          <w:color w:val="auto"/>
        </w:rPr>
        <w:t>随时可用，保障应急救援工作的顺利开展。</w:t>
      </w:r>
    </w:p>
    <w:p w14:paraId="515B1E84">
      <w:pPr>
        <w:pStyle w:val="2"/>
        <w:ind w:firstLine="643"/>
        <w:rPr>
          <w:color w:val="auto"/>
        </w:rPr>
      </w:pPr>
      <w:r>
        <w:rPr>
          <w:color w:val="auto"/>
        </w:rPr>
        <w:t>评价工作组人员名单</w:t>
      </w:r>
      <w:r>
        <w:rPr>
          <w:rFonts w:hint="eastAsia"/>
          <w:color w:val="auto"/>
        </w:rPr>
        <w:t>及签字</w:t>
      </w:r>
    </w:p>
    <w:tbl>
      <w:tblPr>
        <w:tblStyle w:val="21"/>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9"/>
        <w:gridCol w:w="2521"/>
        <w:gridCol w:w="1958"/>
        <w:gridCol w:w="1911"/>
      </w:tblGrid>
      <w:tr w14:paraId="4883C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1249" w:type="pct"/>
          </w:tcPr>
          <w:p w14:paraId="5E37FE25">
            <w:pPr>
              <w:pStyle w:val="26"/>
              <w:rPr>
                <w:rFonts w:hint="default" w:cs="仿宋_GB2312"/>
                <w:color w:val="auto"/>
              </w:rPr>
            </w:pPr>
            <w:r>
              <w:rPr>
                <w:rFonts w:cs="仿宋_GB2312"/>
                <w:color w:val="auto"/>
              </w:rPr>
              <w:t>姓名</w:t>
            </w:r>
          </w:p>
        </w:tc>
        <w:tc>
          <w:tcPr>
            <w:tcW w:w="1479" w:type="pct"/>
          </w:tcPr>
          <w:p w14:paraId="6EB134EE">
            <w:pPr>
              <w:pStyle w:val="26"/>
              <w:rPr>
                <w:rFonts w:hint="default" w:cs="仿宋_GB2312"/>
                <w:color w:val="auto"/>
              </w:rPr>
            </w:pPr>
            <w:r>
              <w:rPr>
                <w:rFonts w:cs="仿宋_GB2312"/>
                <w:color w:val="auto"/>
              </w:rPr>
              <w:t>工作单位</w:t>
            </w:r>
          </w:p>
        </w:tc>
        <w:tc>
          <w:tcPr>
            <w:tcW w:w="1149" w:type="pct"/>
          </w:tcPr>
          <w:p w14:paraId="01FF1137">
            <w:pPr>
              <w:pStyle w:val="26"/>
              <w:rPr>
                <w:rFonts w:hint="default" w:cs="仿宋_GB2312"/>
                <w:color w:val="auto"/>
              </w:rPr>
            </w:pPr>
            <w:r>
              <w:rPr>
                <w:rFonts w:cs="仿宋_GB2312"/>
                <w:color w:val="auto"/>
              </w:rPr>
              <w:t>职务</w:t>
            </w:r>
          </w:p>
        </w:tc>
        <w:tc>
          <w:tcPr>
            <w:tcW w:w="1121" w:type="pct"/>
          </w:tcPr>
          <w:p w14:paraId="0A37E1E9">
            <w:pPr>
              <w:pStyle w:val="26"/>
              <w:rPr>
                <w:rFonts w:hint="default" w:cs="仿宋_GB2312"/>
                <w:color w:val="auto"/>
              </w:rPr>
            </w:pPr>
            <w:r>
              <w:rPr>
                <w:rFonts w:cs="仿宋_GB2312"/>
                <w:color w:val="auto"/>
              </w:rPr>
              <w:t>签字</w:t>
            </w:r>
          </w:p>
        </w:tc>
      </w:tr>
      <w:tr w14:paraId="08E55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9" w:type="pct"/>
            <w:vAlign w:val="center"/>
          </w:tcPr>
          <w:p w14:paraId="44813110">
            <w:pPr>
              <w:spacing w:line="240" w:lineRule="auto"/>
              <w:ind w:firstLine="0" w:firstLineChars="0"/>
              <w:jc w:val="center"/>
              <w:rPr>
                <w:color w:val="auto"/>
              </w:rPr>
            </w:pPr>
            <w:r>
              <w:rPr>
                <w:rFonts w:hint="eastAsia"/>
                <w:color w:val="auto"/>
                <w:sz w:val="28"/>
                <w:szCs w:val="28"/>
              </w:rPr>
              <w:t>李永青</w:t>
            </w:r>
          </w:p>
        </w:tc>
        <w:tc>
          <w:tcPr>
            <w:tcW w:w="1479" w:type="pct"/>
          </w:tcPr>
          <w:p w14:paraId="0C45F600">
            <w:pPr>
              <w:pStyle w:val="26"/>
              <w:rPr>
                <w:rFonts w:hint="default"/>
                <w:color w:val="auto"/>
              </w:rPr>
            </w:pPr>
            <w:r>
              <w:rPr>
                <w:color w:val="auto"/>
              </w:rPr>
              <w:t>石家庄市城市管理综合行政执法局</w:t>
            </w:r>
          </w:p>
        </w:tc>
        <w:tc>
          <w:tcPr>
            <w:tcW w:w="1149" w:type="pct"/>
          </w:tcPr>
          <w:p w14:paraId="1930DEB0">
            <w:pPr>
              <w:pStyle w:val="26"/>
              <w:rPr>
                <w:rFonts w:hint="default"/>
                <w:color w:val="auto"/>
              </w:rPr>
            </w:pPr>
            <w:r>
              <w:rPr>
                <w:color w:val="auto"/>
              </w:rPr>
              <w:t>副局长</w:t>
            </w:r>
          </w:p>
        </w:tc>
        <w:tc>
          <w:tcPr>
            <w:tcW w:w="1121" w:type="pct"/>
          </w:tcPr>
          <w:p w14:paraId="1CF4249A">
            <w:pPr>
              <w:pStyle w:val="26"/>
              <w:rPr>
                <w:rFonts w:hint="default"/>
                <w:color w:val="auto"/>
              </w:rPr>
            </w:pPr>
          </w:p>
        </w:tc>
      </w:tr>
      <w:tr w14:paraId="2F424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9" w:type="pct"/>
            <w:vAlign w:val="center"/>
          </w:tcPr>
          <w:p w14:paraId="65AC5379">
            <w:pPr>
              <w:spacing w:line="240" w:lineRule="auto"/>
              <w:ind w:firstLine="0" w:firstLineChars="0"/>
              <w:jc w:val="center"/>
              <w:rPr>
                <w:color w:val="auto"/>
              </w:rPr>
            </w:pPr>
            <w:r>
              <w:rPr>
                <w:rFonts w:hint="eastAsia"/>
                <w:color w:val="auto"/>
                <w:sz w:val="28"/>
                <w:szCs w:val="28"/>
              </w:rPr>
              <w:t>王辉</w:t>
            </w:r>
          </w:p>
        </w:tc>
        <w:tc>
          <w:tcPr>
            <w:tcW w:w="1479" w:type="pct"/>
          </w:tcPr>
          <w:p w14:paraId="2146CAAF">
            <w:pPr>
              <w:pStyle w:val="26"/>
              <w:rPr>
                <w:rFonts w:hint="default"/>
                <w:color w:val="auto"/>
              </w:rPr>
            </w:pPr>
            <w:r>
              <w:rPr>
                <w:color w:val="auto"/>
              </w:rPr>
              <w:t>石家庄市城市管理综合行政执法局</w:t>
            </w:r>
          </w:p>
        </w:tc>
        <w:tc>
          <w:tcPr>
            <w:tcW w:w="1149" w:type="pct"/>
          </w:tcPr>
          <w:p w14:paraId="151D785C">
            <w:pPr>
              <w:pStyle w:val="26"/>
              <w:rPr>
                <w:rFonts w:hint="default"/>
                <w:color w:val="auto"/>
              </w:rPr>
            </w:pPr>
            <w:r>
              <w:rPr>
                <w:color w:val="auto"/>
              </w:rPr>
              <w:t>财务科科长</w:t>
            </w:r>
          </w:p>
        </w:tc>
        <w:tc>
          <w:tcPr>
            <w:tcW w:w="1121" w:type="pct"/>
          </w:tcPr>
          <w:p w14:paraId="79706BF0">
            <w:pPr>
              <w:pStyle w:val="26"/>
              <w:rPr>
                <w:rFonts w:hint="default"/>
                <w:color w:val="auto"/>
              </w:rPr>
            </w:pPr>
          </w:p>
        </w:tc>
      </w:tr>
      <w:tr w14:paraId="3C13A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9" w:type="pct"/>
            <w:vAlign w:val="center"/>
          </w:tcPr>
          <w:p w14:paraId="1F2D99E3">
            <w:pPr>
              <w:spacing w:line="240" w:lineRule="auto"/>
              <w:ind w:firstLine="0" w:firstLineChars="0"/>
              <w:jc w:val="center"/>
              <w:rPr>
                <w:color w:val="auto"/>
              </w:rPr>
            </w:pPr>
            <w:r>
              <w:rPr>
                <w:rFonts w:hint="eastAsia"/>
                <w:color w:val="auto"/>
                <w:sz w:val="28"/>
                <w:szCs w:val="28"/>
              </w:rPr>
              <w:t>李士潮</w:t>
            </w:r>
          </w:p>
        </w:tc>
        <w:tc>
          <w:tcPr>
            <w:tcW w:w="1479" w:type="pct"/>
          </w:tcPr>
          <w:p w14:paraId="6796596B">
            <w:pPr>
              <w:pStyle w:val="26"/>
              <w:rPr>
                <w:rFonts w:hint="default"/>
                <w:color w:val="auto"/>
              </w:rPr>
            </w:pPr>
            <w:r>
              <w:rPr>
                <w:color w:val="auto"/>
              </w:rPr>
              <w:t>石家庄市城市管理综合行政执法局</w:t>
            </w:r>
          </w:p>
        </w:tc>
        <w:tc>
          <w:tcPr>
            <w:tcW w:w="1149" w:type="pct"/>
          </w:tcPr>
          <w:p w14:paraId="7EBAFABE">
            <w:pPr>
              <w:pStyle w:val="26"/>
              <w:rPr>
                <w:rFonts w:hint="default"/>
                <w:color w:val="auto"/>
              </w:rPr>
            </w:pPr>
            <w:r>
              <w:rPr>
                <w:color w:val="auto"/>
              </w:rPr>
              <w:t>数字信息科科长（防汛办主任）</w:t>
            </w:r>
          </w:p>
        </w:tc>
        <w:tc>
          <w:tcPr>
            <w:tcW w:w="1121" w:type="pct"/>
          </w:tcPr>
          <w:p w14:paraId="542D79B3">
            <w:pPr>
              <w:pStyle w:val="26"/>
              <w:rPr>
                <w:rFonts w:hint="default"/>
                <w:color w:val="auto"/>
              </w:rPr>
            </w:pPr>
          </w:p>
        </w:tc>
      </w:tr>
      <w:tr w14:paraId="07DE3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9" w:type="pct"/>
            <w:vAlign w:val="center"/>
          </w:tcPr>
          <w:p w14:paraId="174DF465">
            <w:pPr>
              <w:spacing w:line="240" w:lineRule="auto"/>
              <w:ind w:firstLine="0" w:firstLineChars="0"/>
              <w:jc w:val="center"/>
              <w:rPr>
                <w:color w:val="auto"/>
                <w:sz w:val="28"/>
                <w:szCs w:val="28"/>
              </w:rPr>
            </w:pPr>
            <w:r>
              <w:rPr>
                <w:rFonts w:hint="eastAsia"/>
                <w:color w:val="auto"/>
                <w:sz w:val="28"/>
                <w:szCs w:val="28"/>
              </w:rPr>
              <w:t>杜锡淳</w:t>
            </w:r>
          </w:p>
        </w:tc>
        <w:tc>
          <w:tcPr>
            <w:tcW w:w="1479" w:type="pct"/>
          </w:tcPr>
          <w:p w14:paraId="610F7BE6">
            <w:pPr>
              <w:pStyle w:val="26"/>
              <w:rPr>
                <w:rFonts w:hint="default"/>
                <w:color w:val="auto"/>
              </w:rPr>
            </w:pPr>
            <w:r>
              <w:rPr>
                <w:color w:val="auto"/>
              </w:rPr>
              <w:t>石家庄市城市管理综合行政执法局</w:t>
            </w:r>
          </w:p>
        </w:tc>
        <w:tc>
          <w:tcPr>
            <w:tcW w:w="1149" w:type="pct"/>
          </w:tcPr>
          <w:p w14:paraId="5F383C97">
            <w:pPr>
              <w:pStyle w:val="26"/>
              <w:rPr>
                <w:rFonts w:hint="default"/>
                <w:color w:val="auto"/>
              </w:rPr>
            </w:pPr>
            <w:r>
              <w:rPr>
                <w:color w:val="auto"/>
              </w:rPr>
              <w:t>防汛办工作人员</w:t>
            </w:r>
          </w:p>
        </w:tc>
        <w:tc>
          <w:tcPr>
            <w:tcW w:w="1121" w:type="pct"/>
          </w:tcPr>
          <w:p w14:paraId="7CEE73B4">
            <w:pPr>
              <w:pStyle w:val="26"/>
              <w:rPr>
                <w:rFonts w:hint="default"/>
                <w:color w:val="auto"/>
              </w:rPr>
            </w:pPr>
          </w:p>
        </w:tc>
      </w:tr>
    </w:tbl>
    <w:p w14:paraId="63D3C418">
      <w:pPr>
        <w:ind w:firstLine="640"/>
        <w:rPr>
          <w:color w:val="auto"/>
        </w:rPr>
      </w:pPr>
    </w:p>
    <w:p w14:paraId="5ADDB875">
      <w:pPr>
        <w:ind w:firstLine="640"/>
        <w:rPr>
          <w:rFonts w:eastAsiaTheme="minorEastAsia"/>
          <w:color w:val="auto"/>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小标宋简体">
    <w:altName w:val="方正舒体"/>
    <w:panose1 w:val="03000509000000000000"/>
    <w:charset w:val="86"/>
    <w:family w:val="script"/>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方正黑体_GBK">
    <w:altName w:val="微软雅黑"/>
    <w:panose1 w:val="00000000000000000000"/>
    <w:charset w:val="86"/>
    <w:family w:val="auto"/>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4D413E">
    <w:pPr>
      <w:pStyle w:val="15"/>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052CC4EC">
                          <w:pPr>
                            <w:pStyle w:val="15"/>
                            <w:rPr>
                              <w:sz w:val="21"/>
                              <w:szCs w:val="21"/>
                            </w:rPr>
                          </w:pPr>
                          <w:r>
                            <w:rPr>
                              <w:sz w:val="21"/>
                              <w:szCs w:val="21"/>
                            </w:rPr>
                            <w:fldChar w:fldCharType="begin"/>
                          </w:r>
                          <w:r>
                            <w:rPr>
                              <w:sz w:val="21"/>
                              <w:szCs w:val="21"/>
                            </w:rPr>
                            <w:instrText xml:space="preserve"> PAGE  \* MERGEFORMAT </w:instrText>
                          </w:r>
                          <w:r>
                            <w:rPr>
                              <w:sz w:val="21"/>
                              <w:szCs w:val="21"/>
                            </w:rPr>
                            <w:fldChar w:fldCharType="separate"/>
                          </w:r>
                          <w:r>
                            <w:rPr>
                              <w:sz w:val="21"/>
                              <w:szCs w:val="21"/>
                            </w:rPr>
                            <w:t>17</w:t>
                          </w:r>
                          <w:r>
                            <w:rPr>
                              <w:sz w:val="21"/>
                              <w:szCs w:val="21"/>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RluSI4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J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dLSuPlTd&#10;A0yhZWGrd5bHNFEqb1fHAGmT4lGgThV0Kh4wh6ln/c7EQf/znKIe/ye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BGW5IjgCAABvBAAADgAAAAAAAAABACAAAAAfAQAAZHJzL2Uyb0RvYy54&#10;bWxQSwUGAAAAAAYABgBZAQAAyQUAAAAA&#10;">
              <v:fill on="f" focussize="0,0"/>
              <v:stroke on="f" weight="0.5pt"/>
              <v:imagedata o:title=""/>
              <o:lock v:ext="edit" aspectratio="f"/>
              <v:textbox inset="0mm,0mm,0mm,0mm" style="mso-fit-shape-to-text:t;">
                <w:txbxContent>
                  <w:p w14:paraId="052CC4EC">
                    <w:pPr>
                      <w:pStyle w:val="15"/>
                      <w:rPr>
                        <w:sz w:val="21"/>
                        <w:szCs w:val="21"/>
                      </w:rPr>
                    </w:pPr>
                    <w:r>
                      <w:rPr>
                        <w:sz w:val="21"/>
                        <w:szCs w:val="21"/>
                      </w:rPr>
                      <w:fldChar w:fldCharType="begin"/>
                    </w:r>
                    <w:r>
                      <w:rPr>
                        <w:sz w:val="21"/>
                        <w:szCs w:val="21"/>
                      </w:rPr>
                      <w:instrText xml:space="preserve"> PAGE  \* MERGEFORMAT </w:instrText>
                    </w:r>
                    <w:r>
                      <w:rPr>
                        <w:sz w:val="21"/>
                        <w:szCs w:val="21"/>
                      </w:rPr>
                      <w:fldChar w:fldCharType="separate"/>
                    </w:r>
                    <w:r>
                      <w:rPr>
                        <w:sz w:val="21"/>
                        <w:szCs w:val="21"/>
                      </w:rPr>
                      <w:t>17</w:t>
                    </w:r>
                    <w:r>
                      <w:rPr>
                        <w:sz w:val="21"/>
                        <w:szCs w:val="21"/>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1A4D5A">
    <w:pPr>
      <w:pStyle w:val="15"/>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235074">
    <w:pPr>
      <w:pStyle w:val="15"/>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640"/>
      </w:pPr>
      <w:r>
        <w:separator/>
      </w:r>
    </w:p>
  </w:footnote>
  <w:footnote w:type="continuationSeparator" w:id="1">
    <w:p>
      <w:pPr>
        <w:spacing w:line="36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153D44">
    <w:pPr>
      <w:pStyle w:val="16"/>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7C14CE">
    <w:pPr>
      <w:pStyle w:val="16"/>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828E11">
    <w:pPr>
      <w:pStyle w:val="16"/>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BC61DA"/>
    <w:multiLevelType w:val="multilevel"/>
    <w:tmpl w:val="82BC61DA"/>
    <w:lvl w:ilvl="0" w:tentative="0">
      <w:start w:val="1"/>
      <w:numFmt w:val="chineseCounting"/>
      <w:pStyle w:val="2"/>
      <w:suff w:val="nothing"/>
      <w:lvlText w:val="%1、"/>
      <w:lvlJc w:val="left"/>
      <w:pPr>
        <w:tabs>
          <w:tab w:val="left" w:pos="0"/>
        </w:tabs>
        <w:ind w:left="0" w:firstLine="0"/>
      </w:pPr>
      <w:rPr>
        <w:rFonts w:hint="eastAsia" w:eastAsia="黑体"/>
        <w:sz w:val="32"/>
      </w:rPr>
    </w:lvl>
    <w:lvl w:ilvl="1" w:tentative="0">
      <w:start w:val="1"/>
      <w:numFmt w:val="chineseCounting"/>
      <w:pStyle w:val="3"/>
      <w:suff w:val="nothing"/>
      <w:lvlText w:val="（%2）"/>
      <w:lvlJc w:val="left"/>
      <w:pPr>
        <w:tabs>
          <w:tab w:val="left" w:pos="0"/>
        </w:tabs>
        <w:ind w:left="-3" w:firstLine="0"/>
      </w:pPr>
      <w:rPr>
        <w:rFonts w:hint="eastAsia" w:eastAsia="楷体"/>
        <w:b/>
        <w:sz w:val="32"/>
      </w:rPr>
    </w:lvl>
    <w:lvl w:ilvl="2" w:tentative="0">
      <w:start w:val="1"/>
      <w:numFmt w:val="decimal"/>
      <w:pStyle w:val="4"/>
      <w:suff w:val="nothing"/>
      <w:lvlText w:val="%3、"/>
      <w:lvlJc w:val="left"/>
      <w:pPr>
        <w:ind w:left="0" w:firstLine="400"/>
      </w:pPr>
      <w:rPr>
        <w:rFonts w:hint="eastAsia" w:eastAsia="仿宋_GB2312"/>
        <w:b/>
        <w:sz w:val="32"/>
      </w:rPr>
    </w:lvl>
    <w:lvl w:ilvl="3" w:tentative="0">
      <w:start w:val="1"/>
      <w:numFmt w:val="decimal"/>
      <w:pStyle w:val="5"/>
      <w:suff w:val="nothing"/>
      <w:lvlText w:val="（%4）"/>
      <w:lvlJc w:val="left"/>
      <w:pPr>
        <w:tabs>
          <w:tab w:val="left" w:pos="0"/>
        </w:tabs>
        <w:ind w:left="0" w:firstLine="402"/>
      </w:pPr>
      <w:rPr>
        <w:rFonts w:hint="eastAsia" w:ascii="仿宋_GB2312" w:hAnsi="仿宋_GB2312" w:eastAsia="仿宋_GB2312" w:cs="仿宋_GB2312"/>
        <w:sz w:val="32"/>
        <w:szCs w:val="32"/>
      </w:rPr>
    </w:lvl>
    <w:lvl w:ilvl="4" w:tentative="0">
      <w:start w:val="1"/>
      <w:numFmt w:val="decimalEnclosedCircleChinese"/>
      <w:pStyle w:val="6"/>
      <w:suff w:val="nothing"/>
      <w:lvlText w:val="%5"/>
      <w:lvlJc w:val="left"/>
      <w:pPr>
        <w:ind w:left="0" w:firstLine="402"/>
      </w:pPr>
      <w:rPr>
        <w:rFonts w:hint="eastAsia"/>
      </w:rPr>
    </w:lvl>
    <w:lvl w:ilvl="5" w:tentative="0">
      <w:start w:val="1"/>
      <w:numFmt w:val="decimal"/>
      <w:pStyle w:val="7"/>
      <w:suff w:val="nothing"/>
      <w:lvlText w:val="%6）"/>
      <w:lvlJc w:val="left"/>
      <w:pPr>
        <w:ind w:left="0" w:firstLine="402"/>
      </w:pPr>
      <w:rPr>
        <w:rFonts w:hint="eastAsia"/>
      </w:rPr>
    </w:lvl>
    <w:lvl w:ilvl="6" w:tentative="0">
      <w:start w:val="1"/>
      <w:numFmt w:val="lowerLetter"/>
      <w:pStyle w:val="8"/>
      <w:suff w:val="nothing"/>
      <w:lvlText w:val="%7．"/>
      <w:lvlJc w:val="left"/>
      <w:pPr>
        <w:ind w:left="0" w:firstLine="402"/>
      </w:pPr>
      <w:rPr>
        <w:rFonts w:hint="eastAsia"/>
      </w:rPr>
    </w:lvl>
    <w:lvl w:ilvl="7" w:tentative="0">
      <w:start w:val="1"/>
      <w:numFmt w:val="lowerLetter"/>
      <w:pStyle w:val="9"/>
      <w:suff w:val="nothing"/>
      <w:lvlText w:val="%8）"/>
      <w:lvlJc w:val="left"/>
      <w:pPr>
        <w:ind w:left="0" w:firstLine="402"/>
      </w:pPr>
      <w:rPr>
        <w:rFonts w:hint="eastAsia"/>
      </w:rPr>
    </w:lvl>
    <w:lvl w:ilvl="8" w:tentative="0">
      <w:start w:val="1"/>
      <w:numFmt w:val="lowerRoman"/>
      <w:pStyle w:val="10"/>
      <w:suff w:val="nothing"/>
      <w:lvlText w:val="%9 "/>
      <w:lvlJc w:val="left"/>
      <w:pPr>
        <w:ind w:left="0" w:firstLine="402"/>
      </w:pPr>
      <w:rPr>
        <w:rFonts w:hint="eastAsia"/>
      </w:rPr>
    </w:lvl>
  </w:abstractNum>
  <w:abstractNum w:abstractNumId="1">
    <w:nsid w:val="1A64FCA8"/>
    <w:multiLevelType w:val="singleLevel"/>
    <w:tmpl w:val="1A64FCA8"/>
    <w:lvl w:ilvl="0" w:tentative="0">
      <w:start w:val="3"/>
      <w:numFmt w:val="decimal"/>
      <w:suff w:val="nothing"/>
      <w:lvlText w:val="%1、"/>
      <w:lvlJc w:val="left"/>
    </w:lvl>
  </w:abstractNum>
  <w:abstractNum w:abstractNumId="2">
    <w:nsid w:val="3A7260C0"/>
    <w:multiLevelType w:val="multilevel"/>
    <w:tmpl w:val="3A7260C0"/>
    <w:lvl w:ilvl="0" w:tentative="0">
      <w:start w:val="1"/>
      <w:numFmt w:val="chineseCountingThousand"/>
      <w:pStyle w:val="25"/>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7E23ACA"/>
    <w:rsid w:val="00005402"/>
    <w:rsid w:val="000749E3"/>
    <w:rsid w:val="00136F34"/>
    <w:rsid w:val="00360E24"/>
    <w:rsid w:val="003A0914"/>
    <w:rsid w:val="00476868"/>
    <w:rsid w:val="004B52D2"/>
    <w:rsid w:val="007402CA"/>
    <w:rsid w:val="00787910"/>
    <w:rsid w:val="0079352B"/>
    <w:rsid w:val="008163C6"/>
    <w:rsid w:val="008F518C"/>
    <w:rsid w:val="009A7C97"/>
    <w:rsid w:val="009C7A51"/>
    <w:rsid w:val="00A67D58"/>
    <w:rsid w:val="00D272DE"/>
    <w:rsid w:val="00F27441"/>
    <w:rsid w:val="00F51219"/>
    <w:rsid w:val="00F6108B"/>
    <w:rsid w:val="014632E9"/>
    <w:rsid w:val="016043AA"/>
    <w:rsid w:val="01802C9E"/>
    <w:rsid w:val="01910A08"/>
    <w:rsid w:val="019329D2"/>
    <w:rsid w:val="01B3097E"/>
    <w:rsid w:val="01B446F6"/>
    <w:rsid w:val="01B93A13"/>
    <w:rsid w:val="01BE4F82"/>
    <w:rsid w:val="01C04E49"/>
    <w:rsid w:val="01C0753F"/>
    <w:rsid w:val="01C20BC1"/>
    <w:rsid w:val="01E50D53"/>
    <w:rsid w:val="01EE5E5A"/>
    <w:rsid w:val="021653B1"/>
    <w:rsid w:val="022F2E8C"/>
    <w:rsid w:val="024261A6"/>
    <w:rsid w:val="026E6F9B"/>
    <w:rsid w:val="02987B74"/>
    <w:rsid w:val="02A209F3"/>
    <w:rsid w:val="02A429BD"/>
    <w:rsid w:val="02AF383B"/>
    <w:rsid w:val="02B26E88"/>
    <w:rsid w:val="02B62AFF"/>
    <w:rsid w:val="02CD0C3E"/>
    <w:rsid w:val="02ED7EC0"/>
    <w:rsid w:val="034A0DF4"/>
    <w:rsid w:val="035717DD"/>
    <w:rsid w:val="036F6B27"/>
    <w:rsid w:val="03887BE8"/>
    <w:rsid w:val="03D51DF7"/>
    <w:rsid w:val="04096F7B"/>
    <w:rsid w:val="04253689"/>
    <w:rsid w:val="044B1342"/>
    <w:rsid w:val="048C3708"/>
    <w:rsid w:val="048C54B6"/>
    <w:rsid w:val="04B36EE7"/>
    <w:rsid w:val="04BE5FB8"/>
    <w:rsid w:val="04BF588C"/>
    <w:rsid w:val="05393890"/>
    <w:rsid w:val="054E09BE"/>
    <w:rsid w:val="055072BB"/>
    <w:rsid w:val="05685F23"/>
    <w:rsid w:val="05867BD0"/>
    <w:rsid w:val="058A7C48"/>
    <w:rsid w:val="05C50C80"/>
    <w:rsid w:val="05E337FC"/>
    <w:rsid w:val="05E7509A"/>
    <w:rsid w:val="0620235A"/>
    <w:rsid w:val="06224324"/>
    <w:rsid w:val="06304C93"/>
    <w:rsid w:val="06344057"/>
    <w:rsid w:val="06345E06"/>
    <w:rsid w:val="06510766"/>
    <w:rsid w:val="067B57E2"/>
    <w:rsid w:val="0680600F"/>
    <w:rsid w:val="06B86DA7"/>
    <w:rsid w:val="06D870D9"/>
    <w:rsid w:val="06E45A7E"/>
    <w:rsid w:val="07124399"/>
    <w:rsid w:val="071D689A"/>
    <w:rsid w:val="071F0864"/>
    <w:rsid w:val="072B0FB7"/>
    <w:rsid w:val="07666493"/>
    <w:rsid w:val="077A1F3E"/>
    <w:rsid w:val="07807554"/>
    <w:rsid w:val="07854B6B"/>
    <w:rsid w:val="07C338E5"/>
    <w:rsid w:val="07CF4038"/>
    <w:rsid w:val="07F27D26"/>
    <w:rsid w:val="07F67816"/>
    <w:rsid w:val="080041F1"/>
    <w:rsid w:val="08033CE1"/>
    <w:rsid w:val="080A32C2"/>
    <w:rsid w:val="080F2686"/>
    <w:rsid w:val="081128A2"/>
    <w:rsid w:val="082C4FE6"/>
    <w:rsid w:val="08316AA1"/>
    <w:rsid w:val="08326375"/>
    <w:rsid w:val="08485B98"/>
    <w:rsid w:val="08805332"/>
    <w:rsid w:val="088E5CA1"/>
    <w:rsid w:val="08915791"/>
    <w:rsid w:val="089D5EE4"/>
    <w:rsid w:val="08EE02B1"/>
    <w:rsid w:val="09000221"/>
    <w:rsid w:val="09414AC1"/>
    <w:rsid w:val="09750C0F"/>
    <w:rsid w:val="097C1F9D"/>
    <w:rsid w:val="098B3F8E"/>
    <w:rsid w:val="09AD2157"/>
    <w:rsid w:val="09C94AB7"/>
    <w:rsid w:val="09CD27F9"/>
    <w:rsid w:val="09D9119E"/>
    <w:rsid w:val="09E87633"/>
    <w:rsid w:val="09FE6E56"/>
    <w:rsid w:val="0A0D0E47"/>
    <w:rsid w:val="0A0D7099"/>
    <w:rsid w:val="0A1E12A6"/>
    <w:rsid w:val="0A8E1F88"/>
    <w:rsid w:val="0A9F4195"/>
    <w:rsid w:val="0ABB6AF5"/>
    <w:rsid w:val="0AD41965"/>
    <w:rsid w:val="0AD55E09"/>
    <w:rsid w:val="0ADD081A"/>
    <w:rsid w:val="0AE47DFA"/>
    <w:rsid w:val="0B0D0233"/>
    <w:rsid w:val="0B0E30C9"/>
    <w:rsid w:val="0B1F52D6"/>
    <w:rsid w:val="0B246449"/>
    <w:rsid w:val="0B756CA4"/>
    <w:rsid w:val="0B7C6285"/>
    <w:rsid w:val="0B8909A2"/>
    <w:rsid w:val="0B974E6D"/>
    <w:rsid w:val="0BB51797"/>
    <w:rsid w:val="0BBA6DAD"/>
    <w:rsid w:val="0BC834EB"/>
    <w:rsid w:val="0BD95485"/>
    <w:rsid w:val="0BF840AE"/>
    <w:rsid w:val="0C085D6A"/>
    <w:rsid w:val="0C211D10"/>
    <w:rsid w:val="0C344DB1"/>
    <w:rsid w:val="0C5114BF"/>
    <w:rsid w:val="0C517711"/>
    <w:rsid w:val="0C547201"/>
    <w:rsid w:val="0C760F26"/>
    <w:rsid w:val="0CE642FD"/>
    <w:rsid w:val="0D026C5D"/>
    <w:rsid w:val="0D1B1ACD"/>
    <w:rsid w:val="0D1F0495"/>
    <w:rsid w:val="0D3B5CCB"/>
    <w:rsid w:val="0D58223F"/>
    <w:rsid w:val="0D5D3E94"/>
    <w:rsid w:val="0D605732"/>
    <w:rsid w:val="0D640074"/>
    <w:rsid w:val="0D6671EC"/>
    <w:rsid w:val="0D7336B7"/>
    <w:rsid w:val="0D7F02AE"/>
    <w:rsid w:val="0D8E6743"/>
    <w:rsid w:val="0D95362E"/>
    <w:rsid w:val="0DAE46EF"/>
    <w:rsid w:val="0DC161D1"/>
    <w:rsid w:val="0DD759F4"/>
    <w:rsid w:val="0DE620DB"/>
    <w:rsid w:val="0DFF319D"/>
    <w:rsid w:val="0E1053AA"/>
    <w:rsid w:val="0E2B5D40"/>
    <w:rsid w:val="0E3270CE"/>
    <w:rsid w:val="0E440BB0"/>
    <w:rsid w:val="0EB36461"/>
    <w:rsid w:val="0EBB3568"/>
    <w:rsid w:val="0EE20AF5"/>
    <w:rsid w:val="0EF60C59"/>
    <w:rsid w:val="0EFC6F6C"/>
    <w:rsid w:val="0F0A1DF9"/>
    <w:rsid w:val="0F0D5446"/>
    <w:rsid w:val="0F0E7B3C"/>
    <w:rsid w:val="0F44530B"/>
    <w:rsid w:val="0F4C41C0"/>
    <w:rsid w:val="0F566DED"/>
    <w:rsid w:val="0F985657"/>
    <w:rsid w:val="0F9F69E6"/>
    <w:rsid w:val="0FB3423F"/>
    <w:rsid w:val="0FB6788B"/>
    <w:rsid w:val="0FBC7598"/>
    <w:rsid w:val="0FE95EB3"/>
    <w:rsid w:val="10282537"/>
    <w:rsid w:val="10374E70"/>
    <w:rsid w:val="10545A22"/>
    <w:rsid w:val="10593038"/>
    <w:rsid w:val="10B4201D"/>
    <w:rsid w:val="10B77D5F"/>
    <w:rsid w:val="10EA0134"/>
    <w:rsid w:val="11082369"/>
    <w:rsid w:val="110F1949"/>
    <w:rsid w:val="111E1B8C"/>
    <w:rsid w:val="114C04A7"/>
    <w:rsid w:val="116A0877"/>
    <w:rsid w:val="116C6D9B"/>
    <w:rsid w:val="116E041E"/>
    <w:rsid w:val="117874EE"/>
    <w:rsid w:val="118421F7"/>
    <w:rsid w:val="118B5473"/>
    <w:rsid w:val="11951E4E"/>
    <w:rsid w:val="11EC3680"/>
    <w:rsid w:val="11F8062F"/>
    <w:rsid w:val="11FF376C"/>
    <w:rsid w:val="1235718D"/>
    <w:rsid w:val="123E4294"/>
    <w:rsid w:val="125E4936"/>
    <w:rsid w:val="127557DC"/>
    <w:rsid w:val="12794C71"/>
    <w:rsid w:val="12837EF9"/>
    <w:rsid w:val="129C545E"/>
    <w:rsid w:val="12A10CC7"/>
    <w:rsid w:val="12B655B4"/>
    <w:rsid w:val="12F31522"/>
    <w:rsid w:val="13203999"/>
    <w:rsid w:val="132F62D2"/>
    <w:rsid w:val="133D0F81"/>
    <w:rsid w:val="133E02C4"/>
    <w:rsid w:val="134F24D1"/>
    <w:rsid w:val="135B7E18"/>
    <w:rsid w:val="1360648C"/>
    <w:rsid w:val="13763F01"/>
    <w:rsid w:val="13AC16D1"/>
    <w:rsid w:val="13AF6871"/>
    <w:rsid w:val="13E56991"/>
    <w:rsid w:val="13FA68E0"/>
    <w:rsid w:val="140908D1"/>
    <w:rsid w:val="140F4D78"/>
    <w:rsid w:val="141352AC"/>
    <w:rsid w:val="142C636E"/>
    <w:rsid w:val="146401FE"/>
    <w:rsid w:val="147E3C92"/>
    <w:rsid w:val="14952165"/>
    <w:rsid w:val="14A67372"/>
    <w:rsid w:val="14AB3737"/>
    <w:rsid w:val="14B922F8"/>
    <w:rsid w:val="14C4364E"/>
    <w:rsid w:val="14EA425F"/>
    <w:rsid w:val="15005335"/>
    <w:rsid w:val="150A2B53"/>
    <w:rsid w:val="15211C4B"/>
    <w:rsid w:val="154716B1"/>
    <w:rsid w:val="155142DE"/>
    <w:rsid w:val="155F69B7"/>
    <w:rsid w:val="15787ABD"/>
    <w:rsid w:val="15826B8D"/>
    <w:rsid w:val="15C9656A"/>
    <w:rsid w:val="15CA5E3E"/>
    <w:rsid w:val="15CF16A7"/>
    <w:rsid w:val="16076D50"/>
    <w:rsid w:val="162C08A7"/>
    <w:rsid w:val="16331C36"/>
    <w:rsid w:val="163634D4"/>
    <w:rsid w:val="164C4247"/>
    <w:rsid w:val="168406E3"/>
    <w:rsid w:val="16AB2114"/>
    <w:rsid w:val="16AD6F72"/>
    <w:rsid w:val="16C32FBA"/>
    <w:rsid w:val="16DC051F"/>
    <w:rsid w:val="16DE1BA1"/>
    <w:rsid w:val="16DE4297"/>
    <w:rsid w:val="17013AE2"/>
    <w:rsid w:val="170D692B"/>
    <w:rsid w:val="1727784B"/>
    <w:rsid w:val="172B6DB1"/>
    <w:rsid w:val="17343EB7"/>
    <w:rsid w:val="17367C2F"/>
    <w:rsid w:val="174C698F"/>
    <w:rsid w:val="174D6D27"/>
    <w:rsid w:val="175E2CE2"/>
    <w:rsid w:val="1768590F"/>
    <w:rsid w:val="178A7F7B"/>
    <w:rsid w:val="178F10EE"/>
    <w:rsid w:val="178F5592"/>
    <w:rsid w:val="17BD20FF"/>
    <w:rsid w:val="17CA481C"/>
    <w:rsid w:val="17CE60BA"/>
    <w:rsid w:val="17D2722C"/>
    <w:rsid w:val="17F6116D"/>
    <w:rsid w:val="17FF2717"/>
    <w:rsid w:val="1800023D"/>
    <w:rsid w:val="1807337A"/>
    <w:rsid w:val="1821268E"/>
    <w:rsid w:val="186500A0"/>
    <w:rsid w:val="18860743"/>
    <w:rsid w:val="18A92683"/>
    <w:rsid w:val="18A961DF"/>
    <w:rsid w:val="18C64FE3"/>
    <w:rsid w:val="18DC4807"/>
    <w:rsid w:val="18F002B2"/>
    <w:rsid w:val="1901601B"/>
    <w:rsid w:val="19063631"/>
    <w:rsid w:val="191A70DD"/>
    <w:rsid w:val="194505FE"/>
    <w:rsid w:val="194D1260"/>
    <w:rsid w:val="19526877"/>
    <w:rsid w:val="1963014B"/>
    <w:rsid w:val="196F7429"/>
    <w:rsid w:val="19874772"/>
    <w:rsid w:val="198804EA"/>
    <w:rsid w:val="19921369"/>
    <w:rsid w:val="19AD7F51"/>
    <w:rsid w:val="19AF3CC9"/>
    <w:rsid w:val="19C31523"/>
    <w:rsid w:val="1A037B71"/>
    <w:rsid w:val="1A0D279E"/>
    <w:rsid w:val="1A4E703E"/>
    <w:rsid w:val="1A5F749D"/>
    <w:rsid w:val="1A6920CA"/>
    <w:rsid w:val="1AB1581F"/>
    <w:rsid w:val="1B1069E9"/>
    <w:rsid w:val="1B2B55D1"/>
    <w:rsid w:val="1B2B737F"/>
    <w:rsid w:val="1B3C158C"/>
    <w:rsid w:val="1B6A170F"/>
    <w:rsid w:val="1B9C5B07"/>
    <w:rsid w:val="1BA01B1B"/>
    <w:rsid w:val="1BC33A5C"/>
    <w:rsid w:val="1BDE43F2"/>
    <w:rsid w:val="1BF97D57"/>
    <w:rsid w:val="1C4A1A87"/>
    <w:rsid w:val="1C4B28E0"/>
    <w:rsid w:val="1C8A23DA"/>
    <w:rsid w:val="1CA613B3"/>
    <w:rsid w:val="1D063C00"/>
    <w:rsid w:val="1D1327C1"/>
    <w:rsid w:val="1D1F4CC2"/>
    <w:rsid w:val="1D2247B2"/>
    <w:rsid w:val="1D37200B"/>
    <w:rsid w:val="1D3C5874"/>
    <w:rsid w:val="1D4330A6"/>
    <w:rsid w:val="1D436C02"/>
    <w:rsid w:val="1D50131F"/>
    <w:rsid w:val="1D79298C"/>
    <w:rsid w:val="1D8E3BF5"/>
    <w:rsid w:val="1D905BC0"/>
    <w:rsid w:val="1DC041AB"/>
    <w:rsid w:val="1DDB32DF"/>
    <w:rsid w:val="1DDE692B"/>
    <w:rsid w:val="1E0C3498"/>
    <w:rsid w:val="1E16258F"/>
    <w:rsid w:val="1E193E07"/>
    <w:rsid w:val="1E334EC9"/>
    <w:rsid w:val="1E4744D0"/>
    <w:rsid w:val="1E5F5CBE"/>
    <w:rsid w:val="1E7828DC"/>
    <w:rsid w:val="1E94348E"/>
    <w:rsid w:val="1ECF44C6"/>
    <w:rsid w:val="1EE066D3"/>
    <w:rsid w:val="1EF36406"/>
    <w:rsid w:val="1F4E4721"/>
    <w:rsid w:val="1F51312D"/>
    <w:rsid w:val="1F777037"/>
    <w:rsid w:val="1FB97650"/>
    <w:rsid w:val="1FE12702"/>
    <w:rsid w:val="1FE8583F"/>
    <w:rsid w:val="1FEA7809"/>
    <w:rsid w:val="1FF57F5C"/>
    <w:rsid w:val="1FFC753C"/>
    <w:rsid w:val="2000527E"/>
    <w:rsid w:val="202A40A9"/>
    <w:rsid w:val="203211B0"/>
    <w:rsid w:val="20547378"/>
    <w:rsid w:val="206375BB"/>
    <w:rsid w:val="207672EF"/>
    <w:rsid w:val="20801F1B"/>
    <w:rsid w:val="20994D8B"/>
    <w:rsid w:val="20A43E5C"/>
    <w:rsid w:val="20BB11A5"/>
    <w:rsid w:val="20C53DD2"/>
    <w:rsid w:val="20CE0ED9"/>
    <w:rsid w:val="20E06E5E"/>
    <w:rsid w:val="21004E0A"/>
    <w:rsid w:val="210F504D"/>
    <w:rsid w:val="21130FE1"/>
    <w:rsid w:val="212136FE"/>
    <w:rsid w:val="212B00D9"/>
    <w:rsid w:val="212E7BC9"/>
    <w:rsid w:val="21303941"/>
    <w:rsid w:val="214329BC"/>
    <w:rsid w:val="21494A03"/>
    <w:rsid w:val="218C669E"/>
    <w:rsid w:val="219263AA"/>
    <w:rsid w:val="219A525F"/>
    <w:rsid w:val="21BC51D5"/>
    <w:rsid w:val="21BF0821"/>
    <w:rsid w:val="21BF6A73"/>
    <w:rsid w:val="21CB5418"/>
    <w:rsid w:val="21D264C8"/>
    <w:rsid w:val="21ED1832"/>
    <w:rsid w:val="21F11323"/>
    <w:rsid w:val="22001566"/>
    <w:rsid w:val="220B7F0B"/>
    <w:rsid w:val="223B07F0"/>
    <w:rsid w:val="22511DC1"/>
    <w:rsid w:val="227C6712"/>
    <w:rsid w:val="22934188"/>
    <w:rsid w:val="22A16179"/>
    <w:rsid w:val="22A75E85"/>
    <w:rsid w:val="22B21781"/>
    <w:rsid w:val="22D622C7"/>
    <w:rsid w:val="233F1C1A"/>
    <w:rsid w:val="2355143D"/>
    <w:rsid w:val="23641680"/>
    <w:rsid w:val="23971A56"/>
    <w:rsid w:val="23AE0B4E"/>
    <w:rsid w:val="23D305B4"/>
    <w:rsid w:val="23DA1943"/>
    <w:rsid w:val="23EF1892"/>
    <w:rsid w:val="2409047A"/>
    <w:rsid w:val="24092228"/>
    <w:rsid w:val="242B219E"/>
    <w:rsid w:val="243674C1"/>
    <w:rsid w:val="24373239"/>
    <w:rsid w:val="24376D95"/>
    <w:rsid w:val="243A6885"/>
    <w:rsid w:val="24466FD8"/>
    <w:rsid w:val="24577437"/>
    <w:rsid w:val="246A716A"/>
    <w:rsid w:val="24A106B2"/>
    <w:rsid w:val="24BE1264"/>
    <w:rsid w:val="24C30629"/>
    <w:rsid w:val="24FE5B05"/>
    <w:rsid w:val="25021151"/>
    <w:rsid w:val="25025326"/>
    <w:rsid w:val="253D0FCB"/>
    <w:rsid w:val="254148C2"/>
    <w:rsid w:val="255816B9"/>
    <w:rsid w:val="256718FC"/>
    <w:rsid w:val="256F255E"/>
    <w:rsid w:val="257A518B"/>
    <w:rsid w:val="25897AC4"/>
    <w:rsid w:val="258E50DA"/>
    <w:rsid w:val="259124D5"/>
    <w:rsid w:val="25B20DC9"/>
    <w:rsid w:val="25C7239A"/>
    <w:rsid w:val="25FD7B6A"/>
    <w:rsid w:val="26153106"/>
    <w:rsid w:val="2657371E"/>
    <w:rsid w:val="267B5DCA"/>
    <w:rsid w:val="268C786C"/>
    <w:rsid w:val="26A61FB0"/>
    <w:rsid w:val="26AB5818"/>
    <w:rsid w:val="26DB7EAB"/>
    <w:rsid w:val="26E256DE"/>
    <w:rsid w:val="26E97231"/>
    <w:rsid w:val="26EF3957"/>
    <w:rsid w:val="26F86CAF"/>
    <w:rsid w:val="271B0A23"/>
    <w:rsid w:val="271E423C"/>
    <w:rsid w:val="27392E24"/>
    <w:rsid w:val="275D2FB6"/>
    <w:rsid w:val="27653C19"/>
    <w:rsid w:val="27675BE3"/>
    <w:rsid w:val="276E2ACE"/>
    <w:rsid w:val="27814EF7"/>
    <w:rsid w:val="27826579"/>
    <w:rsid w:val="27962024"/>
    <w:rsid w:val="279664C8"/>
    <w:rsid w:val="27AC5CEC"/>
    <w:rsid w:val="27D86AE1"/>
    <w:rsid w:val="27E23ACA"/>
    <w:rsid w:val="281C69CE"/>
    <w:rsid w:val="28292E99"/>
    <w:rsid w:val="28373807"/>
    <w:rsid w:val="283F26BC"/>
    <w:rsid w:val="28433F5A"/>
    <w:rsid w:val="285223EF"/>
    <w:rsid w:val="28655112"/>
    <w:rsid w:val="28754330"/>
    <w:rsid w:val="2879797C"/>
    <w:rsid w:val="28A013AD"/>
    <w:rsid w:val="28E13773"/>
    <w:rsid w:val="28E84B02"/>
    <w:rsid w:val="28EB63A0"/>
    <w:rsid w:val="29064F88"/>
    <w:rsid w:val="290851A4"/>
    <w:rsid w:val="29127DD1"/>
    <w:rsid w:val="291E5F56"/>
    <w:rsid w:val="292813A2"/>
    <w:rsid w:val="294E0E09"/>
    <w:rsid w:val="29583A35"/>
    <w:rsid w:val="29714AF7"/>
    <w:rsid w:val="2A260A48"/>
    <w:rsid w:val="2A2658E2"/>
    <w:rsid w:val="2A3224D8"/>
    <w:rsid w:val="2A467D32"/>
    <w:rsid w:val="2A4D10C0"/>
    <w:rsid w:val="2A551078"/>
    <w:rsid w:val="2A5C1303"/>
    <w:rsid w:val="2AC1560A"/>
    <w:rsid w:val="2ACF41CB"/>
    <w:rsid w:val="2AE31A25"/>
    <w:rsid w:val="2AE82B97"/>
    <w:rsid w:val="2B230073"/>
    <w:rsid w:val="2B3B360F"/>
    <w:rsid w:val="2B522706"/>
    <w:rsid w:val="2B593A95"/>
    <w:rsid w:val="2B620B9B"/>
    <w:rsid w:val="2B8A1EA0"/>
    <w:rsid w:val="2B8F74B6"/>
    <w:rsid w:val="2BCF3D57"/>
    <w:rsid w:val="2BD001FB"/>
    <w:rsid w:val="2BE041B6"/>
    <w:rsid w:val="2BFD08C4"/>
    <w:rsid w:val="2C0E487F"/>
    <w:rsid w:val="2C275941"/>
    <w:rsid w:val="2C286E71"/>
    <w:rsid w:val="2C33078A"/>
    <w:rsid w:val="2C3342E6"/>
    <w:rsid w:val="2C484235"/>
    <w:rsid w:val="2C4B5AD3"/>
    <w:rsid w:val="2C6426F1"/>
    <w:rsid w:val="2C7460FF"/>
    <w:rsid w:val="2CAE7E10"/>
    <w:rsid w:val="2CCD473A"/>
    <w:rsid w:val="2CDE24A4"/>
    <w:rsid w:val="2CEB4BC0"/>
    <w:rsid w:val="2CF55A3F"/>
    <w:rsid w:val="2D045C82"/>
    <w:rsid w:val="2D102879"/>
    <w:rsid w:val="2D267460"/>
    <w:rsid w:val="2D4F514F"/>
    <w:rsid w:val="2D6D1A79"/>
    <w:rsid w:val="2D725241"/>
    <w:rsid w:val="2D8A6187"/>
    <w:rsid w:val="2D9B0395"/>
    <w:rsid w:val="2DA27975"/>
    <w:rsid w:val="2DAF5BEE"/>
    <w:rsid w:val="2DBE22D5"/>
    <w:rsid w:val="2DE03FF9"/>
    <w:rsid w:val="2E10369C"/>
    <w:rsid w:val="2E232138"/>
    <w:rsid w:val="2E5F13C2"/>
    <w:rsid w:val="2E6966E5"/>
    <w:rsid w:val="2E8C546A"/>
    <w:rsid w:val="2E921798"/>
    <w:rsid w:val="2EB37960"/>
    <w:rsid w:val="2EF35FAE"/>
    <w:rsid w:val="2F594063"/>
    <w:rsid w:val="2F6649D2"/>
    <w:rsid w:val="2F794705"/>
    <w:rsid w:val="2F7E3ACA"/>
    <w:rsid w:val="2F8D01B1"/>
    <w:rsid w:val="2F996B56"/>
    <w:rsid w:val="2FB219C5"/>
    <w:rsid w:val="2FD162F0"/>
    <w:rsid w:val="2FDD4C94"/>
    <w:rsid w:val="2FF124EE"/>
    <w:rsid w:val="2FF43D8C"/>
    <w:rsid w:val="30316D8E"/>
    <w:rsid w:val="30393C7B"/>
    <w:rsid w:val="30441D58"/>
    <w:rsid w:val="30444D13"/>
    <w:rsid w:val="30590093"/>
    <w:rsid w:val="30697230"/>
    <w:rsid w:val="306A22A0"/>
    <w:rsid w:val="30801AC4"/>
    <w:rsid w:val="308C66BA"/>
    <w:rsid w:val="30AD0B0B"/>
    <w:rsid w:val="30DF4A3C"/>
    <w:rsid w:val="311F12DD"/>
    <w:rsid w:val="31230DCD"/>
    <w:rsid w:val="3123774F"/>
    <w:rsid w:val="3166515D"/>
    <w:rsid w:val="31A57A34"/>
    <w:rsid w:val="31CF4AB1"/>
    <w:rsid w:val="31D10829"/>
    <w:rsid w:val="31E247E4"/>
    <w:rsid w:val="31ED3189"/>
    <w:rsid w:val="3200110E"/>
    <w:rsid w:val="32132BEF"/>
    <w:rsid w:val="32193F7E"/>
    <w:rsid w:val="32382656"/>
    <w:rsid w:val="326276D3"/>
    <w:rsid w:val="327B69E7"/>
    <w:rsid w:val="328A09D8"/>
    <w:rsid w:val="328E671A"/>
    <w:rsid w:val="32987598"/>
    <w:rsid w:val="32B55A55"/>
    <w:rsid w:val="3333106F"/>
    <w:rsid w:val="33557238"/>
    <w:rsid w:val="336B0809"/>
    <w:rsid w:val="338F44F8"/>
    <w:rsid w:val="33AE6D8F"/>
    <w:rsid w:val="33B65F28"/>
    <w:rsid w:val="33DB598F"/>
    <w:rsid w:val="33FC5905"/>
    <w:rsid w:val="342C61EA"/>
    <w:rsid w:val="347D07F4"/>
    <w:rsid w:val="347E631A"/>
    <w:rsid w:val="34825E0A"/>
    <w:rsid w:val="348E0C53"/>
    <w:rsid w:val="34A43FD3"/>
    <w:rsid w:val="34B00BC9"/>
    <w:rsid w:val="34B1049E"/>
    <w:rsid w:val="34C65D98"/>
    <w:rsid w:val="34D81ECE"/>
    <w:rsid w:val="34DB5F68"/>
    <w:rsid w:val="34F07218"/>
    <w:rsid w:val="3502519D"/>
    <w:rsid w:val="35076310"/>
    <w:rsid w:val="353F3CFB"/>
    <w:rsid w:val="355359F9"/>
    <w:rsid w:val="35696FCA"/>
    <w:rsid w:val="357E2A76"/>
    <w:rsid w:val="357F67EE"/>
    <w:rsid w:val="35843E04"/>
    <w:rsid w:val="358931C8"/>
    <w:rsid w:val="35906305"/>
    <w:rsid w:val="35A3072E"/>
    <w:rsid w:val="35AD335B"/>
    <w:rsid w:val="35C3492C"/>
    <w:rsid w:val="35C506A4"/>
    <w:rsid w:val="35D22DC1"/>
    <w:rsid w:val="35EA1EB9"/>
    <w:rsid w:val="35F5085E"/>
    <w:rsid w:val="36107446"/>
    <w:rsid w:val="36343134"/>
    <w:rsid w:val="364F7F6E"/>
    <w:rsid w:val="365D6B2F"/>
    <w:rsid w:val="36687282"/>
    <w:rsid w:val="366A124C"/>
    <w:rsid w:val="366B28CE"/>
    <w:rsid w:val="36C00E6C"/>
    <w:rsid w:val="36E36908"/>
    <w:rsid w:val="3701395E"/>
    <w:rsid w:val="371A67CE"/>
    <w:rsid w:val="371F3DE4"/>
    <w:rsid w:val="37227431"/>
    <w:rsid w:val="375A306E"/>
    <w:rsid w:val="37753A04"/>
    <w:rsid w:val="377C2FE5"/>
    <w:rsid w:val="37826121"/>
    <w:rsid w:val="37936580"/>
    <w:rsid w:val="37B7226F"/>
    <w:rsid w:val="37C32B90"/>
    <w:rsid w:val="37CA01F4"/>
    <w:rsid w:val="37D526F5"/>
    <w:rsid w:val="37E666B0"/>
    <w:rsid w:val="37EC3F5E"/>
    <w:rsid w:val="381A45AC"/>
    <w:rsid w:val="38211DDE"/>
    <w:rsid w:val="388E7474"/>
    <w:rsid w:val="38BB7B3D"/>
    <w:rsid w:val="38E726E0"/>
    <w:rsid w:val="38FE5C7B"/>
    <w:rsid w:val="3902576C"/>
    <w:rsid w:val="39203E44"/>
    <w:rsid w:val="3922196A"/>
    <w:rsid w:val="39273424"/>
    <w:rsid w:val="39365415"/>
    <w:rsid w:val="3938118D"/>
    <w:rsid w:val="39475874"/>
    <w:rsid w:val="394808CF"/>
    <w:rsid w:val="3949339B"/>
    <w:rsid w:val="397A3554"/>
    <w:rsid w:val="39934616"/>
    <w:rsid w:val="399A1E48"/>
    <w:rsid w:val="39C46EC5"/>
    <w:rsid w:val="39E210F9"/>
    <w:rsid w:val="39E60BE9"/>
    <w:rsid w:val="3A15327D"/>
    <w:rsid w:val="3A2E433E"/>
    <w:rsid w:val="3A325BDD"/>
    <w:rsid w:val="3A4D0C68"/>
    <w:rsid w:val="3A6D30B9"/>
    <w:rsid w:val="3A773F37"/>
    <w:rsid w:val="3A920D71"/>
    <w:rsid w:val="3A95616C"/>
    <w:rsid w:val="3A992100"/>
    <w:rsid w:val="3A9E7716"/>
    <w:rsid w:val="3AB17449"/>
    <w:rsid w:val="3ABE56C2"/>
    <w:rsid w:val="3AC30F2B"/>
    <w:rsid w:val="3AEF3ACE"/>
    <w:rsid w:val="3B007A89"/>
    <w:rsid w:val="3B07350D"/>
    <w:rsid w:val="3B143534"/>
    <w:rsid w:val="3B247C1B"/>
    <w:rsid w:val="3B2C6AD0"/>
    <w:rsid w:val="3B4A33FA"/>
    <w:rsid w:val="3B5D137F"/>
    <w:rsid w:val="3B7010B2"/>
    <w:rsid w:val="3B8A37F6"/>
    <w:rsid w:val="3B8C3A12"/>
    <w:rsid w:val="3B8C57C0"/>
    <w:rsid w:val="3B9052B1"/>
    <w:rsid w:val="3BA24FE4"/>
    <w:rsid w:val="3BA26D92"/>
    <w:rsid w:val="3BA42B0A"/>
    <w:rsid w:val="3BAE1BDB"/>
    <w:rsid w:val="3BBB7E54"/>
    <w:rsid w:val="3BDC6748"/>
    <w:rsid w:val="3BE473AB"/>
    <w:rsid w:val="3BF07AFD"/>
    <w:rsid w:val="3BF70E8C"/>
    <w:rsid w:val="3C123F18"/>
    <w:rsid w:val="3C2105FF"/>
    <w:rsid w:val="3C6479C3"/>
    <w:rsid w:val="3C7324DC"/>
    <w:rsid w:val="3C7A1ABD"/>
    <w:rsid w:val="3C7E15AD"/>
    <w:rsid w:val="3C8F2974"/>
    <w:rsid w:val="3C940DD1"/>
    <w:rsid w:val="3CC03974"/>
    <w:rsid w:val="3CD64F45"/>
    <w:rsid w:val="3CDA7DA7"/>
    <w:rsid w:val="3CEC29BB"/>
    <w:rsid w:val="3D202664"/>
    <w:rsid w:val="3D53392A"/>
    <w:rsid w:val="3D5567B2"/>
    <w:rsid w:val="3D622C7D"/>
    <w:rsid w:val="3D6A7D83"/>
    <w:rsid w:val="3DC6320C"/>
    <w:rsid w:val="3DDA6CB7"/>
    <w:rsid w:val="3DF5764D"/>
    <w:rsid w:val="3DFD4754"/>
    <w:rsid w:val="3E156879"/>
    <w:rsid w:val="3E1C72D0"/>
    <w:rsid w:val="3E261EFC"/>
    <w:rsid w:val="3E46434D"/>
    <w:rsid w:val="3E630A5B"/>
    <w:rsid w:val="3E805100"/>
    <w:rsid w:val="3EA64DEB"/>
    <w:rsid w:val="3EB56DDC"/>
    <w:rsid w:val="3ED43706"/>
    <w:rsid w:val="3EED2A1A"/>
    <w:rsid w:val="3F073ADC"/>
    <w:rsid w:val="3F1461F9"/>
    <w:rsid w:val="3F185CE9"/>
    <w:rsid w:val="3F220916"/>
    <w:rsid w:val="3F285800"/>
    <w:rsid w:val="3F2A1578"/>
    <w:rsid w:val="3F375A43"/>
    <w:rsid w:val="3F424B14"/>
    <w:rsid w:val="3F4279F9"/>
    <w:rsid w:val="3F591E5E"/>
    <w:rsid w:val="3F5B3E28"/>
    <w:rsid w:val="3F5D194E"/>
    <w:rsid w:val="3F8A0269"/>
    <w:rsid w:val="3F8C5D8F"/>
    <w:rsid w:val="3FA4466A"/>
    <w:rsid w:val="3FA70E1B"/>
    <w:rsid w:val="3FA72BC9"/>
    <w:rsid w:val="3FB62E0C"/>
    <w:rsid w:val="3FBF43B6"/>
    <w:rsid w:val="3FDA11F0"/>
    <w:rsid w:val="3FEA0D08"/>
    <w:rsid w:val="3FEF631E"/>
    <w:rsid w:val="3FF1653A"/>
    <w:rsid w:val="3FF37BBC"/>
    <w:rsid w:val="400224F5"/>
    <w:rsid w:val="400C0C7E"/>
    <w:rsid w:val="402406BD"/>
    <w:rsid w:val="404448BC"/>
    <w:rsid w:val="404843AC"/>
    <w:rsid w:val="405A40DF"/>
    <w:rsid w:val="405C39B3"/>
    <w:rsid w:val="407A652F"/>
    <w:rsid w:val="409018AF"/>
    <w:rsid w:val="40A37834"/>
    <w:rsid w:val="40AE7F87"/>
    <w:rsid w:val="40B732E0"/>
    <w:rsid w:val="40C81049"/>
    <w:rsid w:val="40CD665F"/>
    <w:rsid w:val="40CD6AC6"/>
    <w:rsid w:val="410F6C78"/>
    <w:rsid w:val="41281AE7"/>
    <w:rsid w:val="41434B73"/>
    <w:rsid w:val="41831414"/>
    <w:rsid w:val="41913B31"/>
    <w:rsid w:val="41A35612"/>
    <w:rsid w:val="41C366B1"/>
    <w:rsid w:val="41CF6407"/>
    <w:rsid w:val="41F61BE6"/>
    <w:rsid w:val="42156510"/>
    <w:rsid w:val="423746D8"/>
    <w:rsid w:val="42862F6A"/>
    <w:rsid w:val="4292190E"/>
    <w:rsid w:val="42997141"/>
    <w:rsid w:val="42B5384F"/>
    <w:rsid w:val="42C6780A"/>
    <w:rsid w:val="42DC0E67"/>
    <w:rsid w:val="42DF6B1E"/>
    <w:rsid w:val="42E36C13"/>
    <w:rsid w:val="42F04887"/>
    <w:rsid w:val="43000F6E"/>
    <w:rsid w:val="433D4998"/>
    <w:rsid w:val="434F77FF"/>
    <w:rsid w:val="435C016E"/>
    <w:rsid w:val="43655275"/>
    <w:rsid w:val="436D5ED7"/>
    <w:rsid w:val="437B4D6B"/>
    <w:rsid w:val="43AE09CA"/>
    <w:rsid w:val="4440539A"/>
    <w:rsid w:val="445D419E"/>
    <w:rsid w:val="44625310"/>
    <w:rsid w:val="4463104F"/>
    <w:rsid w:val="446F7A2D"/>
    <w:rsid w:val="44BD69EB"/>
    <w:rsid w:val="44C63AF1"/>
    <w:rsid w:val="44CD30D2"/>
    <w:rsid w:val="44DA759D"/>
    <w:rsid w:val="44EE3048"/>
    <w:rsid w:val="4517434D"/>
    <w:rsid w:val="45181E73"/>
    <w:rsid w:val="45260A34"/>
    <w:rsid w:val="45303661"/>
    <w:rsid w:val="4530540F"/>
    <w:rsid w:val="453273D9"/>
    <w:rsid w:val="4557299B"/>
    <w:rsid w:val="45603F46"/>
    <w:rsid w:val="456F4189"/>
    <w:rsid w:val="457E617A"/>
    <w:rsid w:val="45806396"/>
    <w:rsid w:val="458614D2"/>
    <w:rsid w:val="45BB117C"/>
    <w:rsid w:val="45C02C36"/>
    <w:rsid w:val="45C30031"/>
    <w:rsid w:val="45EA1A61"/>
    <w:rsid w:val="460D5750"/>
    <w:rsid w:val="46226C7C"/>
    <w:rsid w:val="46276812"/>
    <w:rsid w:val="4642364B"/>
    <w:rsid w:val="465B470D"/>
    <w:rsid w:val="46B207D1"/>
    <w:rsid w:val="46BA58D8"/>
    <w:rsid w:val="46D77749"/>
    <w:rsid w:val="46E01CFE"/>
    <w:rsid w:val="46FD7572"/>
    <w:rsid w:val="47046B53"/>
    <w:rsid w:val="471C3E9C"/>
    <w:rsid w:val="472D50F4"/>
    <w:rsid w:val="47370CD6"/>
    <w:rsid w:val="473867FC"/>
    <w:rsid w:val="475A2C17"/>
    <w:rsid w:val="476B4E24"/>
    <w:rsid w:val="47743CD8"/>
    <w:rsid w:val="47A53E92"/>
    <w:rsid w:val="47AD2D46"/>
    <w:rsid w:val="47B42327"/>
    <w:rsid w:val="47B95B8F"/>
    <w:rsid w:val="47BC567F"/>
    <w:rsid w:val="480F57AF"/>
    <w:rsid w:val="48117779"/>
    <w:rsid w:val="48403BBB"/>
    <w:rsid w:val="485633DE"/>
    <w:rsid w:val="485B27A2"/>
    <w:rsid w:val="487815A6"/>
    <w:rsid w:val="48934E4A"/>
    <w:rsid w:val="48A028AB"/>
    <w:rsid w:val="48B25693"/>
    <w:rsid w:val="48BF0F83"/>
    <w:rsid w:val="48DF33D4"/>
    <w:rsid w:val="48FD385A"/>
    <w:rsid w:val="49141428"/>
    <w:rsid w:val="493C4382"/>
    <w:rsid w:val="49507E2D"/>
    <w:rsid w:val="496D4E83"/>
    <w:rsid w:val="49867CF3"/>
    <w:rsid w:val="49A87C69"/>
    <w:rsid w:val="49B4660E"/>
    <w:rsid w:val="49B77EAC"/>
    <w:rsid w:val="49C56A6D"/>
    <w:rsid w:val="49E60792"/>
    <w:rsid w:val="49F96717"/>
    <w:rsid w:val="4A077ABF"/>
    <w:rsid w:val="4A084BAC"/>
    <w:rsid w:val="4A1E617D"/>
    <w:rsid w:val="4A722025"/>
    <w:rsid w:val="4A7E6C1C"/>
    <w:rsid w:val="4AA7431E"/>
    <w:rsid w:val="4AAF5028"/>
    <w:rsid w:val="4AB83EDC"/>
    <w:rsid w:val="4AE747C1"/>
    <w:rsid w:val="4AFD5D93"/>
    <w:rsid w:val="4B180E1F"/>
    <w:rsid w:val="4B1D4687"/>
    <w:rsid w:val="4B35377F"/>
    <w:rsid w:val="4B413ED2"/>
    <w:rsid w:val="4B5C6F5D"/>
    <w:rsid w:val="4BAB3A8F"/>
    <w:rsid w:val="4BBA5F81"/>
    <w:rsid w:val="4BD96800"/>
    <w:rsid w:val="4C192C29"/>
    <w:rsid w:val="4C3103EA"/>
    <w:rsid w:val="4C4417FF"/>
    <w:rsid w:val="4C5B7215"/>
    <w:rsid w:val="4C5C4D3B"/>
    <w:rsid w:val="4C9149E5"/>
    <w:rsid w:val="4CA961D2"/>
    <w:rsid w:val="4CAA5AA7"/>
    <w:rsid w:val="4CB22BAD"/>
    <w:rsid w:val="4CC90623"/>
    <w:rsid w:val="4CEA0599"/>
    <w:rsid w:val="4D297313"/>
    <w:rsid w:val="4D534390"/>
    <w:rsid w:val="4DB1003F"/>
    <w:rsid w:val="4DBC1F35"/>
    <w:rsid w:val="4DD54DA5"/>
    <w:rsid w:val="4DEA4CF4"/>
    <w:rsid w:val="4E320449"/>
    <w:rsid w:val="4E3B23F7"/>
    <w:rsid w:val="4E8567CB"/>
    <w:rsid w:val="4E86609F"/>
    <w:rsid w:val="4ECA7F12"/>
    <w:rsid w:val="4ED84B4D"/>
    <w:rsid w:val="4EEC23A6"/>
    <w:rsid w:val="4F271630"/>
    <w:rsid w:val="4F363F69"/>
    <w:rsid w:val="4F5368C9"/>
    <w:rsid w:val="4F6C798B"/>
    <w:rsid w:val="4F8E5B53"/>
    <w:rsid w:val="4F9A62A6"/>
    <w:rsid w:val="4FA47125"/>
    <w:rsid w:val="4FCE7CFE"/>
    <w:rsid w:val="4FD86DCF"/>
    <w:rsid w:val="500E459E"/>
    <w:rsid w:val="50131BB5"/>
    <w:rsid w:val="50267B3A"/>
    <w:rsid w:val="503E6C32"/>
    <w:rsid w:val="504F52E3"/>
    <w:rsid w:val="505226DD"/>
    <w:rsid w:val="506A5C79"/>
    <w:rsid w:val="50700DB5"/>
    <w:rsid w:val="507F724A"/>
    <w:rsid w:val="508B2644"/>
    <w:rsid w:val="50AD3DB7"/>
    <w:rsid w:val="51024103"/>
    <w:rsid w:val="51453FF0"/>
    <w:rsid w:val="516F72BF"/>
    <w:rsid w:val="51960CEF"/>
    <w:rsid w:val="51A52CE0"/>
    <w:rsid w:val="51AA02F7"/>
    <w:rsid w:val="51DC4954"/>
    <w:rsid w:val="52021EE1"/>
    <w:rsid w:val="520E6AD8"/>
    <w:rsid w:val="524D5852"/>
    <w:rsid w:val="526130AB"/>
    <w:rsid w:val="52636E23"/>
    <w:rsid w:val="527E3C5D"/>
    <w:rsid w:val="529666F0"/>
    <w:rsid w:val="529A65BD"/>
    <w:rsid w:val="52C8312A"/>
    <w:rsid w:val="52D03D8D"/>
    <w:rsid w:val="52D675F5"/>
    <w:rsid w:val="53155374"/>
    <w:rsid w:val="531E2D4A"/>
    <w:rsid w:val="532540D9"/>
    <w:rsid w:val="53312A7E"/>
    <w:rsid w:val="5382152B"/>
    <w:rsid w:val="53A92F5C"/>
    <w:rsid w:val="53E915AA"/>
    <w:rsid w:val="53F8359B"/>
    <w:rsid w:val="540B32CF"/>
    <w:rsid w:val="54136627"/>
    <w:rsid w:val="54322F51"/>
    <w:rsid w:val="5435659E"/>
    <w:rsid w:val="543D36A4"/>
    <w:rsid w:val="54837309"/>
    <w:rsid w:val="54857525"/>
    <w:rsid w:val="54B43966"/>
    <w:rsid w:val="54D47B64"/>
    <w:rsid w:val="5507618C"/>
    <w:rsid w:val="551408A9"/>
    <w:rsid w:val="55142657"/>
    <w:rsid w:val="55572544"/>
    <w:rsid w:val="5587107B"/>
    <w:rsid w:val="55B81234"/>
    <w:rsid w:val="55C91693"/>
    <w:rsid w:val="55F83D27"/>
    <w:rsid w:val="56150435"/>
    <w:rsid w:val="56312D95"/>
    <w:rsid w:val="563A433F"/>
    <w:rsid w:val="56486A5C"/>
    <w:rsid w:val="56494582"/>
    <w:rsid w:val="56554CD5"/>
    <w:rsid w:val="56890E23"/>
    <w:rsid w:val="56AE2637"/>
    <w:rsid w:val="56BB5CBB"/>
    <w:rsid w:val="56CE4A87"/>
    <w:rsid w:val="56E60023"/>
    <w:rsid w:val="56F75D8C"/>
    <w:rsid w:val="571921A6"/>
    <w:rsid w:val="574C432A"/>
    <w:rsid w:val="57802226"/>
    <w:rsid w:val="578C0BCA"/>
    <w:rsid w:val="57EB6412"/>
    <w:rsid w:val="57F66044"/>
    <w:rsid w:val="58150BC0"/>
    <w:rsid w:val="581B7223"/>
    <w:rsid w:val="5827444F"/>
    <w:rsid w:val="58580AAD"/>
    <w:rsid w:val="586C27AA"/>
    <w:rsid w:val="587A4EC7"/>
    <w:rsid w:val="588E2720"/>
    <w:rsid w:val="589917F1"/>
    <w:rsid w:val="58A95DA7"/>
    <w:rsid w:val="58B959EF"/>
    <w:rsid w:val="58F24A5D"/>
    <w:rsid w:val="591E5852"/>
    <w:rsid w:val="592B4413"/>
    <w:rsid w:val="593E5EF4"/>
    <w:rsid w:val="594D6137"/>
    <w:rsid w:val="5963088F"/>
    <w:rsid w:val="597162CA"/>
    <w:rsid w:val="59777658"/>
    <w:rsid w:val="59927FEE"/>
    <w:rsid w:val="59A029B9"/>
    <w:rsid w:val="5A1804F3"/>
    <w:rsid w:val="5A1D3D5C"/>
    <w:rsid w:val="5A2C0443"/>
    <w:rsid w:val="5A494B51"/>
    <w:rsid w:val="5A5534F6"/>
    <w:rsid w:val="5A5D684E"/>
    <w:rsid w:val="5A957D96"/>
    <w:rsid w:val="5AA75D1B"/>
    <w:rsid w:val="5AB126F6"/>
    <w:rsid w:val="5AF96577"/>
    <w:rsid w:val="5B123020"/>
    <w:rsid w:val="5B3255E5"/>
    <w:rsid w:val="5B44356A"/>
    <w:rsid w:val="5B687259"/>
    <w:rsid w:val="5B6A7475"/>
    <w:rsid w:val="5B85605C"/>
    <w:rsid w:val="5B920779"/>
    <w:rsid w:val="5BB406F0"/>
    <w:rsid w:val="5BC14BBB"/>
    <w:rsid w:val="5BCA1CC1"/>
    <w:rsid w:val="5BD4669C"/>
    <w:rsid w:val="5BE35F38"/>
    <w:rsid w:val="5C0F3B78"/>
    <w:rsid w:val="5C381321"/>
    <w:rsid w:val="5C3B671B"/>
    <w:rsid w:val="5C451348"/>
    <w:rsid w:val="5C757E7F"/>
    <w:rsid w:val="5C7659A5"/>
    <w:rsid w:val="5C8A1451"/>
    <w:rsid w:val="5CA02A22"/>
    <w:rsid w:val="5CEE5E83"/>
    <w:rsid w:val="5D5201C0"/>
    <w:rsid w:val="5D523A56"/>
    <w:rsid w:val="5D5A52C7"/>
    <w:rsid w:val="5D731EE5"/>
    <w:rsid w:val="5D7E7207"/>
    <w:rsid w:val="5D8440F2"/>
    <w:rsid w:val="5DB06C95"/>
    <w:rsid w:val="5DB524FD"/>
    <w:rsid w:val="5DD8495F"/>
    <w:rsid w:val="5DFC1EDA"/>
    <w:rsid w:val="5E331DA0"/>
    <w:rsid w:val="5E48511F"/>
    <w:rsid w:val="5E4C2E61"/>
    <w:rsid w:val="5E543AC4"/>
    <w:rsid w:val="5E60690D"/>
    <w:rsid w:val="5E9D546B"/>
    <w:rsid w:val="5EFD415C"/>
    <w:rsid w:val="5F322057"/>
    <w:rsid w:val="5F3538F6"/>
    <w:rsid w:val="5F6917F1"/>
    <w:rsid w:val="5FB05672"/>
    <w:rsid w:val="5FF217E7"/>
    <w:rsid w:val="5FFE63DD"/>
    <w:rsid w:val="600A4D82"/>
    <w:rsid w:val="60194FC5"/>
    <w:rsid w:val="601E082E"/>
    <w:rsid w:val="602120CC"/>
    <w:rsid w:val="60251BBC"/>
    <w:rsid w:val="604007A4"/>
    <w:rsid w:val="60681AA9"/>
    <w:rsid w:val="60CB2763"/>
    <w:rsid w:val="60DB227B"/>
    <w:rsid w:val="615D0EE2"/>
    <w:rsid w:val="615E35D8"/>
    <w:rsid w:val="61972646"/>
    <w:rsid w:val="619A2136"/>
    <w:rsid w:val="619F599E"/>
    <w:rsid w:val="61E15FB7"/>
    <w:rsid w:val="61F21F72"/>
    <w:rsid w:val="62083543"/>
    <w:rsid w:val="62195750"/>
    <w:rsid w:val="621C6FBB"/>
    <w:rsid w:val="622F0AD0"/>
    <w:rsid w:val="623460E6"/>
    <w:rsid w:val="625247BE"/>
    <w:rsid w:val="625978FB"/>
    <w:rsid w:val="6287090C"/>
    <w:rsid w:val="629E7A04"/>
    <w:rsid w:val="62AD7C47"/>
    <w:rsid w:val="62B66AFB"/>
    <w:rsid w:val="63343EC4"/>
    <w:rsid w:val="6353259C"/>
    <w:rsid w:val="63A1155A"/>
    <w:rsid w:val="63C45248"/>
    <w:rsid w:val="63D25BB7"/>
    <w:rsid w:val="63E15DFA"/>
    <w:rsid w:val="63E87188"/>
    <w:rsid w:val="63F41FD1"/>
    <w:rsid w:val="64264C51"/>
    <w:rsid w:val="642B176B"/>
    <w:rsid w:val="64740CFA"/>
    <w:rsid w:val="647629E6"/>
    <w:rsid w:val="647F209C"/>
    <w:rsid w:val="6481138B"/>
    <w:rsid w:val="64923598"/>
    <w:rsid w:val="64A80C2C"/>
    <w:rsid w:val="64AA2690"/>
    <w:rsid w:val="64B81F86"/>
    <w:rsid w:val="64CC6AAA"/>
    <w:rsid w:val="64D616D7"/>
    <w:rsid w:val="64DB0A9B"/>
    <w:rsid w:val="64EC4A56"/>
    <w:rsid w:val="64F63B27"/>
    <w:rsid w:val="650A5332"/>
    <w:rsid w:val="652C12F7"/>
    <w:rsid w:val="65332685"/>
    <w:rsid w:val="656960A7"/>
    <w:rsid w:val="65817895"/>
    <w:rsid w:val="65893C4A"/>
    <w:rsid w:val="65956E9C"/>
    <w:rsid w:val="65AB66C0"/>
    <w:rsid w:val="65D5198E"/>
    <w:rsid w:val="65E16585"/>
    <w:rsid w:val="65E6594A"/>
    <w:rsid w:val="660F30F2"/>
    <w:rsid w:val="661A3845"/>
    <w:rsid w:val="66522FDF"/>
    <w:rsid w:val="66976C44"/>
    <w:rsid w:val="66D9725C"/>
    <w:rsid w:val="66F347C2"/>
    <w:rsid w:val="66FE3167"/>
    <w:rsid w:val="672C7CD4"/>
    <w:rsid w:val="672E57FA"/>
    <w:rsid w:val="67452B44"/>
    <w:rsid w:val="676034DA"/>
    <w:rsid w:val="677A0A3F"/>
    <w:rsid w:val="679715F1"/>
    <w:rsid w:val="679A2E90"/>
    <w:rsid w:val="67C1666E"/>
    <w:rsid w:val="67CF3FD5"/>
    <w:rsid w:val="67D5211A"/>
    <w:rsid w:val="67D55C76"/>
    <w:rsid w:val="680447AD"/>
    <w:rsid w:val="680D18B3"/>
    <w:rsid w:val="68150768"/>
    <w:rsid w:val="6817628E"/>
    <w:rsid w:val="683010FE"/>
    <w:rsid w:val="68757459"/>
    <w:rsid w:val="689E250C"/>
    <w:rsid w:val="68B43ADD"/>
    <w:rsid w:val="68CC52CB"/>
    <w:rsid w:val="68E36170"/>
    <w:rsid w:val="68EC771B"/>
    <w:rsid w:val="691E364C"/>
    <w:rsid w:val="69230C63"/>
    <w:rsid w:val="69342E70"/>
    <w:rsid w:val="69431305"/>
    <w:rsid w:val="694766FF"/>
    <w:rsid w:val="694C01BA"/>
    <w:rsid w:val="698C2CAC"/>
    <w:rsid w:val="698E432E"/>
    <w:rsid w:val="69961435"/>
    <w:rsid w:val="69A41DA4"/>
    <w:rsid w:val="69A73642"/>
    <w:rsid w:val="69D87C9F"/>
    <w:rsid w:val="6A0B1E23"/>
    <w:rsid w:val="6A0F7894"/>
    <w:rsid w:val="6A18009C"/>
    <w:rsid w:val="6A246A40"/>
    <w:rsid w:val="6A3550F2"/>
    <w:rsid w:val="6A3A2708"/>
    <w:rsid w:val="6A3B3D8A"/>
    <w:rsid w:val="6A5F216E"/>
    <w:rsid w:val="6A701C86"/>
    <w:rsid w:val="6A8676FB"/>
    <w:rsid w:val="6A971908"/>
    <w:rsid w:val="6AA14535"/>
    <w:rsid w:val="6ABA73A5"/>
    <w:rsid w:val="6ABE6E95"/>
    <w:rsid w:val="6ACF10A2"/>
    <w:rsid w:val="6ADE12E5"/>
    <w:rsid w:val="6AFA59F3"/>
    <w:rsid w:val="6B0F5943"/>
    <w:rsid w:val="6B421874"/>
    <w:rsid w:val="6B596BBE"/>
    <w:rsid w:val="6B6A5D01"/>
    <w:rsid w:val="6B6C68F1"/>
    <w:rsid w:val="6B7F19ED"/>
    <w:rsid w:val="6B8E4AB9"/>
    <w:rsid w:val="6B9320D0"/>
    <w:rsid w:val="6BA24BC9"/>
    <w:rsid w:val="6BB00113"/>
    <w:rsid w:val="6BB169FA"/>
    <w:rsid w:val="6BB67B6C"/>
    <w:rsid w:val="6BB81B36"/>
    <w:rsid w:val="6BBB10C2"/>
    <w:rsid w:val="6BC32289"/>
    <w:rsid w:val="6BC56001"/>
    <w:rsid w:val="6BD61FBC"/>
    <w:rsid w:val="6BEE5558"/>
    <w:rsid w:val="6C00528B"/>
    <w:rsid w:val="6C060AF4"/>
    <w:rsid w:val="6C07486C"/>
    <w:rsid w:val="6C3118E9"/>
    <w:rsid w:val="6C313EC9"/>
    <w:rsid w:val="6C501D6F"/>
    <w:rsid w:val="6C5D623A"/>
    <w:rsid w:val="6C787517"/>
    <w:rsid w:val="6C7F08A6"/>
    <w:rsid w:val="6C9C4317"/>
    <w:rsid w:val="6C9C4FB4"/>
    <w:rsid w:val="6CBC5656"/>
    <w:rsid w:val="6CCB7647"/>
    <w:rsid w:val="6CCE7137"/>
    <w:rsid w:val="6CF90658"/>
    <w:rsid w:val="6D033285"/>
    <w:rsid w:val="6D0B038C"/>
    <w:rsid w:val="6D325918"/>
    <w:rsid w:val="6D413DAD"/>
    <w:rsid w:val="6D433682"/>
    <w:rsid w:val="6D9E6B0A"/>
    <w:rsid w:val="6DA560EA"/>
    <w:rsid w:val="6DB85E1E"/>
    <w:rsid w:val="6DC347C2"/>
    <w:rsid w:val="6DCC18C9"/>
    <w:rsid w:val="6DCF4F15"/>
    <w:rsid w:val="6DD864C0"/>
    <w:rsid w:val="6E146DCC"/>
    <w:rsid w:val="6E2C1A26"/>
    <w:rsid w:val="6E49116B"/>
    <w:rsid w:val="6EA168B2"/>
    <w:rsid w:val="6EE669BA"/>
    <w:rsid w:val="6EE964AB"/>
    <w:rsid w:val="6F0926A9"/>
    <w:rsid w:val="6F343BCA"/>
    <w:rsid w:val="6F92269E"/>
    <w:rsid w:val="6F984159"/>
    <w:rsid w:val="6FA7614A"/>
    <w:rsid w:val="6FB645DF"/>
    <w:rsid w:val="6FCC5BB0"/>
    <w:rsid w:val="6FD11419"/>
    <w:rsid w:val="6FD260B9"/>
    <w:rsid w:val="6FD26F3F"/>
    <w:rsid w:val="70310109"/>
    <w:rsid w:val="70412F7C"/>
    <w:rsid w:val="70447E3C"/>
    <w:rsid w:val="70480FAF"/>
    <w:rsid w:val="707B75D6"/>
    <w:rsid w:val="70871AD7"/>
    <w:rsid w:val="709A5CAE"/>
    <w:rsid w:val="709F1517"/>
    <w:rsid w:val="70B07280"/>
    <w:rsid w:val="70C96594"/>
    <w:rsid w:val="70D6127E"/>
    <w:rsid w:val="70F76C5D"/>
    <w:rsid w:val="710E21F8"/>
    <w:rsid w:val="71241A1C"/>
    <w:rsid w:val="716B13F9"/>
    <w:rsid w:val="71F65EB0"/>
    <w:rsid w:val="72021D5D"/>
    <w:rsid w:val="720D425E"/>
    <w:rsid w:val="72190E55"/>
    <w:rsid w:val="72412756"/>
    <w:rsid w:val="72516841"/>
    <w:rsid w:val="726F4F19"/>
    <w:rsid w:val="7278201F"/>
    <w:rsid w:val="72834520"/>
    <w:rsid w:val="72972E83"/>
    <w:rsid w:val="72A746B3"/>
    <w:rsid w:val="72B97AC9"/>
    <w:rsid w:val="72ED47BB"/>
    <w:rsid w:val="72F83160"/>
    <w:rsid w:val="72FD2525"/>
    <w:rsid w:val="7317190F"/>
    <w:rsid w:val="731C6E4F"/>
    <w:rsid w:val="734B3290"/>
    <w:rsid w:val="73683E42"/>
    <w:rsid w:val="739369E5"/>
    <w:rsid w:val="739F35DC"/>
    <w:rsid w:val="73A40BF2"/>
    <w:rsid w:val="73AB3D2F"/>
    <w:rsid w:val="73B47087"/>
    <w:rsid w:val="73D5240A"/>
    <w:rsid w:val="73EB6821"/>
    <w:rsid w:val="74035919"/>
    <w:rsid w:val="740A314B"/>
    <w:rsid w:val="74182478"/>
    <w:rsid w:val="7434641A"/>
    <w:rsid w:val="744877CF"/>
    <w:rsid w:val="745F3497"/>
    <w:rsid w:val="746F7452"/>
    <w:rsid w:val="748E6D4F"/>
    <w:rsid w:val="74934EEE"/>
    <w:rsid w:val="74962C31"/>
    <w:rsid w:val="749B3DA3"/>
    <w:rsid w:val="749E3893"/>
    <w:rsid w:val="74AA048A"/>
    <w:rsid w:val="74E03EAC"/>
    <w:rsid w:val="74E514C2"/>
    <w:rsid w:val="75071439"/>
    <w:rsid w:val="750B717B"/>
    <w:rsid w:val="75271ADB"/>
    <w:rsid w:val="753D30AC"/>
    <w:rsid w:val="754206C3"/>
    <w:rsid w:val="755503F6"/>
    <w:rsid w:val="757F5473"/>
    <w:rsid w:val="75B3511C"/>
    <w:rsid w:val="75BE5F9B"/>
    <w:rsid w:val="75CB06B8"/>
    <w:rsid w:val="75DA6B4D"/>
    <w:rsid w:val="761107C1"/>
    <w:rsid w:val="761E6A3A"/>
    <w:rsid w:val="768D3BBF"/>
    <w:rsid w:val="76946CFC"/>
    <w:rsid w:val="76E539FB"/>
    <w:rsid w:val="771D3195"/>
    <w:rsid w:val="77304C77"/>
    <w:rsid w:val="77366005"/>
    <w:rsid w:val="77707769"/>
    <w:rsid w:val="77811976"/>
    <w:rsid w:val="77C17FC5"/>
    <w:rsid w:val="780D6D66"/>
    <w:rsid w:val="781C51FB"/>
    <w:rsid w:val="7863107C"/>
    <w:rsid w:val="787768D5"/>
    <w:rsid w:val="788C05D2"/>
    <w:rsid w:val="789B6A68"/>
    <w:rsid w:val="78D216BD"/>
    <w:rsid w:val="78D45AD6"/>
    <w:rsid w:val="78E21FA1"/>
    <w:rsid w:val="78F61EF0"/>
    <w:rsid w:val="79027CD0"/>
    <w:rsid w:val="7919798C"/>
    <w:rsid w:val="79314CD6"/>
    <w:rsid w:val="794744F9"/>
    <w:rsid w:val="796450AB"/>
    <w:rsid w:val="7993773F"/>
    <w:rsid w:val="79BF6786"/>
    <w:rsid w:val="7A067F11"/>
    <w:rsid w:val="7A432F13"/>
    <w:rsid w:val="7A4D3D91"/>
    <w:rsid w:val="7A7255A6"/>
    <w:rsid w:val="7A862E00"/>
    <w:rsid w:val="7A884DCA"/>
    <w:rsid w:val="7A903C7E"/>
    <w:rsid w:val="7A923E9A"/>
    <w:rsid w:val="7AAF67FA"/>
    <w:rsid w:val="7ACC115A"/>
    <w:rsid w:val="7AD7365B"/>
    <w:rsid w:val="7ADE0E8D"/>
    <w:rsid w:val="7AF1296F"/>
    <w:rsid w:val="7AFD7566"/>
    <w:rsid w:val="7B205002"/>
    <w:rsid w:val="7B29035B"/>
    <w:rsid w:val="7B7315D6"/>
    <w:rsid w:val="7BC10593"/>
    <w:rsid w:val="7BCB1412"/>
    <w:rsid w:val="7C0D37D8"/>
    <w:rsid w:val="7C155759"/>
    <w:rsid w:val="7C2428D0"/>
    <w:rsid w:val="7C305719"/>
    <w:rsid w:val="7C4D62CB"/>
    <w:rsid w:val="7CAB4D9F"/>
    <w:rsid w:val="7CDC31AB"/>
    <w:rsid w:val="7CF404F4"/>
    <w:rsid w:val="7D00333D"/>
    <w:rsid w:val="7D0D15B6"/>
    <w:rsid w:val="7D172435"/>
    <w:rsid w:val="7D2C4132"/>
    <w:rsid w:val="7D43322A"/>
    <w:rsid w:val="7D537911"/>
    <w:rsid w:val="7D553689"/>
    <w:rsid w:val="7D6A6A08"/>
    <w:rsid w:val="7D6C452F"/>
    <w:rsid w:val="7D761851"/>
    <w:rsid w:val="7D845D1C"/>
    <w:rsid w:val="7D8F646F"/>
    <w:rsid w:val="7DA727D6"/>
    <w:rsid w:val="7DBA7990"/>
    <w:rsid w:val="7DE70059"/>
    <w:rsid w:val="7DE92023"/>
    <w:rsid w:val="7DEB7B49"/>
    <w:rsid w:val="7E062BD5"/>
    <w:rsid w:val="7E254CDA"/>
    <w:rsid w:val="7E3F60E7"/>
    <w:rsid w:val="7E486D4A"/>
    <w:rsid w:val="7E4A6649"/>
    <w:rsid w:val="7E631DD5"/>
    <w:rsid w:val="7E694F12"/>
    <w:rsid w:val="7E6D67B0"/>
    <w:rsid w:val="7E755665"/>
    <w:rsid w:val="7E7E6C0F"/>
    <w:rsid w:val="7E851D4C"/>
    <w:rsid w:val="7E9C6A3A"/>
    <w:rsid w:val="7EA3317E"/>
    <w:rsid w:val="7EA47CF8"/>
    <w:rsid w:val="7EB443DF"/>
    <w:rsid w:val="7EB663A9"/>
    <w:rsid w:val="7EE8052D"/>
    <w:rsid w:val="7EE822DB"/>
    <w:rsid w:val="7F0709B3"/>
    <w:rsid w:val="7F121106"/>
    <w:rsid w:val="7F272E03"/>
    <w:rsid w:val="7F315A30"/>
    <w:rsid w:val="7F567244"/>
    <w:rsid w:val="7F69341C"/>
    <w:rsid w:val="7F6F2A9A"/>
    <w:rsid w:val="7FA51F7A"/>
    <w:rsid w:val="7FB977D3"/>
    <w:rsid w:val="7FBB179D"/>
    <w:rsid w:val="7FC5261C"/>
    <w:rsid w:val="7FD85EAB"/>
    <w:rsid w:val="7FEA3E31"/>
    <w:rsid w:val="7FF627D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napToGrid w:val="0"/>
      <w:spacing w:line="360" w:lineRule="auto"/>
      <w:ind w:firstLine="420" w:firstLineChars="200"/>
      <w:jc w:val="both"/>
    </w:pPr>
    <w:rPr>
      <w:rFonts w:ascii="仿宋_GB2312" w:hAnsi="仿宋_GB2312" w:eastAsia="仿宋_GB2312" w:cstheme="minorBidi"/>
      <w:kern w:val="2"/>
      <w:sz w:val="32"/>
      <w:szCs w:val="24"/>
      <w:lang w:val="en-US" w:eastAsia="zh-CN" w:bidi="ar-SA"/>
    </w:rPr>
  </w:style>
  <w:style w:type="paragraph" w:styleId="2">
    <w:name w:val="heading 1"/>
    <w:basedOn w:val="1"/>
    <w:next w:val="1"/>
    <w:qFormat/>
    <w:uiPriority w:val="0"/>
    <w:pPr>
      <w:keepNext/>
      <w:keepLines/>
      <w:numPr>
        <w:ilvl w:val="0"/>
        <w:numId w:val="1"/>
      </w:numPr>
      <w:ind w:firstLine="640"/>
      <w:outlineLvl w:val="0"/>
    </w:pPr>
    <w:rPr>
      <w:rFonts w:eastAsia="黑体"/>
      <w:b/>
      <w:kern w:val="44"/>
    </w:rPr>
  </w:style>
  <w:style w:type="paragraph" w:styleId="3">
    <w:name w:val="heading 2"/>
    <w:basedOn w:val="1"/>
    <w:next w:val="1"/>
    <w:unhideWhenUsed/>
    <w:qFormat/>
    <w:uiPriority w:val="0"/>
    <w:pPr>
      <w:keepNext/>
      <w:keepLines/>
      <w:numPr>
        <w:ilvl w:val="1"/>
        <w:numId w:val="1"/>
      </w:numPr>
      <w:ind w:firstLine="640"/>
      <w:outlineLvl w:val="1"/>
    </w:pPr>
    <w:rPr>
      <w:rFonts w:ascii="Arial" w:hAnsi="Arial" w:eastAsia="楷体"/>
      <w:b/>
    </w:rPr>
  </w:style>
  <w:style w:type="paragraph" w:styleId="4">
    <w:name w:val="heading 3"/>
    <w:basedOn w:val="1"/>
    <w:next w:val="1"/>
    <w:unhideWhenUsed/>
    <w:qFormat/>
    <w:uiPriority w:val="0"/>
    <w:pPr>
      <w:numPr>
        <w:ilvl w:val="2"/>
        <w:numId w:val="1"/>
      </w:numPr>
      <w:ind w:firstLine="640"/>
      <w:jc w:val="left"/>
      <w:outlineLvl w:val="2"/>
    </w:pPr>
    <w:rPr>
      <w:rFonts w:hint="eastAsia" w:ascii="宋体" w:hAnsi="宋体" w:cs="Times New Roman"/>
      <w:b/>
      <w:bCs/>
      <w:kern w:val="0"/>
      <w:szCs w:val="27"/>
    </w:rPr>
  </w:style>
  <w:style w:type="paragraph" w:styleId="5">
    <w:name w:val="heading 4"/>
    <w:basedOn w:val="1"/>
    <w:next w:val="1"/>
    <w:unhideWhenUsed/>
    <w:qFormat/>
    <w:uiPriority w:val="0"/>
    <w:pPr>
      <w:keepNext/>
      <w:keepLines/>
      <w:numPr>
        <w:ilvl w:val="3"/>
        <w:numId w:val="1"/>
      </w:numPr>
      <w:ind w:firstLine="640"/>
      <w:outlineLvl w:val="3"/>
    </w:pPr>
    <w:rPr>
      <w:b/>
    </w:rPr>
  </w:style>
  <w:style w:type="paragraph" w:styleId="6">
    <w:name w:val="heading 5"/>
    <w:basedOn w:val="1"/>
    <w:next w:val="1"/>
    <w:semiHidden/>
    <w:unhideWhenUsed/>
    <w:qFormat/>
    <w:uiPriority w:val="0"/>
    <w:pPr>
      <w:keepNext/>
      <w:keepLines/>
      <w:numPr>
        <w:ilvl w:val="4"/>
        <w:numId w:val="1"/>
      </w:numPr>
      <w:spacing w:before="280" w:after="290" w:line="372" w:lineRule="auto"/>
      <w:ind w:firstLine="0" w:firstLineChars="0"/>
      <w:outlineLvl w:val="4"/>
    </w:pPr>
    <w:rPr>
      <w:b/>
      <w:sz w:val="28"/>
    </w:rPr>
  </w:style>
  <w:style w:type="paragraph" w:styleId="7">
    <w:name w:val="heading 6"/>
    <w:basedOn w:val="1"/>
    <w:next w:val="1"/>
    <w:semiHidden/>
    <w:unhideWhenUsed/>
    <w:qFormat/>
    <w:uiPriority w:val="0"/>
    <w:pPr>
      <w:keepNext/>
      <w:keepLines/>
      <w:numPr>
        <w:ilvl w:val="5"/>
        <w:numId w:val="1"/>
      </w:numPr>
      <w:spacing w:before="240" w:after="64" w:line="317" w:lineRule="auto"/>
      <w:ind w:firstLine="0" w:firstLineChars="0"/>
      <w:outlineLvl w:val="5"/>
    </w:pPr>
    <w:rPr>
      <w:rFonts w:ascii="Arial" w:hAnsi="Arial" w:eastAsia="黑体"/>
      <w:b/>
      <w:sz w:val="24"/>
    </w:rPr>
  </w:style>
  <w:style w:type="paragraph" w:styleId="8">
    <w:name w:val="heading 7"/>
    <w:basedOn w:val="1"/>
    <w:next w:val="1"/>
    <w:semiHidden/>
    <w:unhideWhenUsed/>
    <w:qFormat/>
    <w:uiPriority w:val="0"/>
    <w:pPr>
      <w:keepNext/>
      <w:keepLines/>
      <w:numPr>
        <w:ilvl w:val="6"/>
        <w:numId w:val="1"/>
      </w:numPr>
      <w:spacing w:before="240" w:after="64" w:line="317" w:lineRule="auto"/>
      <w:ind w:firstLine="0" w:firstLineChars="0"/>
      <w:outlineLvl w:val="6"/>
    </w:pPr>
    <w:rPr>
      <w:b/>
      <w:sz w:val="24"/>
    </w:rPr>
  </w:style>
  <w:style w:type="paragraph" w:styleId="9">
    <w:name w:val="heading 8"/>
    <w:basedOn w:val="1"/>
    <w:next w:val="1"/>
    <w:semiHidden/>
    <w:unhideWhenUsed/>
    <w:qFormat/>
    <w:uiPriority w:val="0"/>
    <w:pPr>
      <w:keepNext/>
      <w:keepLines/>
      <w:numPr>
        <w:ilvl w:val="7"/>
        <w:numId w:val="1"/>
      </w:numPr>
      <w:spacing w:before="240" w:after="64" w:line="317" w:lineRule="auto"/>
      <w:ind w:firstLine="0" w:firstLineChars="0"/>
      <w:outlineLvl w:val="7"/>
    </w:pPr>
    <w:rPr>
      <w:rFonts w:ascii="Arial" w:hAnsi="Arial" w:eastAsia="黑体"/>
      <w:sz w:val="24"/>
    </w:rPr>
  </w:style>
  <w:style w:type="paragraph" w:styleId="10">
    <w:name w:val="heading 9"/>
    <w:basedOn w:val="1"/>
    <w:next w:val="1"/>
    <w:semiHidden/>
    <w:unhideWhenUsed/>
    <w:qFormat/>
    <w:uiPriority w:val="0"/>
    <w:pPr>
      <w:keepNext/>
      <w:keepLines/>
      <w:numPr>
        <w:ilvl w:val="8"/>
        <w:numId w:val="1"/>
      </w:numPr>
      <w:spacing w:before="240" w:after="64" w:line="317" w:lineRule="auto"/>
      <w:ind w:firstLine="0" w:firstLineChars="0"/>
      <w:outlineLvl w:val="8"/>
    </w:pPr>
    <w:rPr>
      <w:rFonts w:ascii="Arial" w:hAnsi="Arial" w:eastAsia="黑体"/>
      <w:sz w:val="21"/>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30"/>
    <w:qFormat/>
    <w:uiPriority w:val="0"/>
    <w:pPr>
      <w:jc w:val="left"/>
    </w:pPr>
  </w:style>
  <w:style w:type="paragraph" w:styleId="12">
    <w:name w:val="Body Text Indent"/>
    <w:basedOn w:val="1"/>
    <w:next w:val="13"/>
    <w:qFormat/>
    <w:uiPriority w:val="0"/>
    <w:pPr>
      <w:ind w:left="420" w:leftChars="200"/>
    </w:pPr>
    <w:rPr>
      <w:rFonts w:ascii="Times New Roman" w:hAnsi="Times New Roman" w:eastAsia="宋体" w:cs="Times New Roman"/>
    </w:rPr>
  </w:style>
  <w:style w:type="paragraph" w:styleId="13">
    <w:name w:val="Subtitle"/>
    <w:basedOn w:val="1"/>
    <w:next w:val="1"/>
    <w:qFormat/>
    <w:uiPriority w:val="0"/>
    <w:pPr>
      <w:spacing w:line="700" w:lineRule="exact"/>
      <w:jc w:val="center"/>
      <w:outlineLvl w:val="1"/>
    </w:pPr>
    <w:rPr>
      <w:rFonts w:ascii="Arial" w:hAnsi="Arial" w:eastAsia="方正小标宋简体" w:cs="Arial"/>
      <w:b/>
      <w:bCs/>
      <w:kern w:val="28"/>
      <w:sz w:val="44"/>
      <w:szCs w:val="44"/>
    </w:rPr>
  </w:style>
  <w:style w:type="paragraph" w:styleId="14">
    <w:name w:val="Balloon Text"/>
    <w:basedOn w:val="1"/>
    <w:link w:val="32"/>
    <w:qFormat/>
    <w:uiPriority w:val="0"/>
    <w:pPr>
      <w:spacing w:line="240" w:lineRule="auto"/>
    </w:pPr>
    <w:rPr>
      <w:sz w:val="18"/>
      <w:szCs w:val="18"/>
    </w:rPr>
  </w:style>
  <w:style w:type="paragraph" w:styleId="15">
    <w:name w:val="footer"/>
    <w:basedOn w:val="1"/>
    <w:qFormat/>
    <w:uiPriority w:val="0"/>
    <w:pPr>
      <w:tabs>
        <w:tab w:val="center" w:pos="4153"/>
        <w:tab w:val="right" w:pos="8306"/>
      </w:tabs>
      <w:jc w:val="left"/>
    </w:pPr>
    <w:rPr>
      <w:sz w:val="18"/>
    </w:rPr>
  </w:style>
  <w:style w:type="paragraph" w:styleId="1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pacing w:line="240" w:lineRule="auto"/>
    </w:pPr>
    <w:rPr>
      <w:sz w:val="18"/>
    </w:rPr>
  </w:style>
  <w:style w:type="paragraph" w:styleId="17">
    <w:name w:val="Normal (Web)"/>
    <w:basedOn w:val="1"/>
    <w:qFormat/>
    <w:uiPriority w:val="0"/>
    <w:pPr>
      <w:spacing w:beforeAutospacing="1" w:afterAutospacing="1"/>
      <w:jc w:val="left"/>
    </w:pPr>
    <w:rPr>
      <w:rFonts w:cs="Times New Roman"/>
      <w:kern w:val="0"/>
      <w:sz w:val="24"/>
    </w:rPr>
  </w:style>
  <w:style w:type="paragraph" w:styleId="18">
    <w:name w:val="annotation subject"/>
    <w:basedOn w:val="11"/>
    <w:next w:val="11"/>
    <w:link w:val="31"/>
    <w:qFormat/>
    <w:uiPriority w:val="0"/>
    <w:rPr>
      <w:b/>
      <w:bCs/>
    </w:rPr>
  </w:style>
  <w:style w:type="paragraph" w:styleId="19">
    <w:name w:val="Body Text First Indent 2"/>
    <w:basedOn w:val="12"/>
    <w:qFormat/>
    <w:uiPriority w:val="0"/>
  </w:style>
  <w:style w:type="table" w:styleId="21">
    <w:name w:val="Table Grid"/>
    <w:basedOn w:val="2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3">
    <w:name w:val="Strong"/>
    <w:basedOn w:val="22"/>
    <w:qFormat/>
    <w:uiPriority w:val="0"/>
    <w:rPr>
      <w:b/>
    </w:rPr>
  </w:style>
  <w:style w:type="character" w:styleId="24">
    <w:name w:val="annotation reference"/>
    <w:basedOn w:val="22"/>
    <w:qFormat/>
    <w:uiPriority w:val="0"/>
    <w:rPr>
      <w:sz w:val="21"/>
      <w:szCs w:val="21"/>
    </w:rPr>
  </w:style>
  <w:style w:type="paragraph" w:customStyle="1" w:styleId="25">
    <w:name w:val="标题2"/>
    <w:basedOn w:val="3"/>
    <w:qFormat/>
    <w:uiPriority w:val="0"/>
    <w:pPr>
      <w:numPr>
        <w:ilvl w:val="0"/>
        <w:numId w:val="2"/>
      </w:numPr>
      <w:spacing w:before="120" w:after="120" w:line="500" w:lineRule="exact"/>
    </w:pPr>
    <w:rPr>
      <w:rFonts w:ascii="仿宋_GB2312" w:eastAsia="仿宋_GB2312"/>
    </w:rPr>
  </w:style>
  <w:style w:type="paragraph" w:customStyle="1" w:styleId="26">
    <w:name w:val="表格"/>
    <w:basedOn w:val="1"/>
    <w:qFormat/>
    <w:uiPriority w:val="0"/>
    <w:pPr>
      <w:spacing w:line="240" w:lineRule="auto"/>
      <w:ind w:firstLine="0" w:firstLineChars="0"/>
      <w:jc w:val="center"/>
    </w:pPr>
    <w:rPr>
      <w:rFonts w:hint="eastAsia"/>
      <w:sz w:val="28"/>
    </w:rPr>
  </w:style>
  <w:style w:type="paragraph" w:customStyle="1" w:styleId="27">
    <w:name w:val="表头"/>
    <w:basedOn w:val="1"/>
    <w:qFormat/>
    <w:uiPriority w:val="0"/>
    <w:pPr>
      <w:ind w:firstLine="0" w:firstLineChars="0"/>
      <w:jc w:val="center"/>
    </w:pPr>
    <w:rPr>
      <w:rFonts w:hint="eastAsia"/>
      <w:b/>
      <w:lang w:val="zh-TW"/>
    </w:rPr>
  </w:style>
  <w:style w:type="character" w:customStyle="1" w:styleId="28">
    <w:name w:val="font61"/>
    <w:basedOn w:val="22"/>
    <w:qFormat/>
    <w:uiPriority w:val="0"/>
    <w:rPr>
      <w:rFonts w:ascii="方正黑体_GBK" w:hAnsi="方正黑体_GBK" w:eastAsia="方正黑体_GBK" w:cs="方正黑体_GBK"/>
      <w:color w:val="000000"/>
      <w:sz w:val="28"/>
      <w:szCs w:val="28"/>
      <w:u w:val="none"/>
    </w:rPr>
  </w:style>
  <w:style w:type="character" w:customStyle="1" w:styleId="29">
    <w:name w:val="font31"/>
    <w:basedOn w:val="22"/>
    <w:qFormat/>
    <w:uiPriority w:val="0"/>
    <w:rPr>
      <w:rFonts w:hint="default" w:ascii="Times New Roman" w:hAnsi="Times New Roman" w:cs="Times New Roman"/>
      <w:color w:val="000000"/>
      <w:sz w:val="28"/>
      <w:szCs w:val="28"/>
      <w:u w:val="none"/>
    </w:rPr>
  </w:style>
  <w:style w:type="character" w:customStyle="1" w:styleId="30">
    <w:name w:val="批注文字 Char"/>
    <w:basedOn w:val="22"/>
    <w:link w:val="11"/>
    <w:qFormat/>
    <w:uiPriority w:val="0"/>
    <w:rPr>
      <w:rFonts w:ascii="仿宋_GB2312" w:hAnsi="仿宋_GB2312" w:eastAsia="仿宋_GB2312" w:cstheme="minorBidi"/>
      <w:kern w:val="2"/>
      <w:sz w:val="32"/>
      <w:szCs w:val="24"/>
    </w:rPr>
  </w:style>
  <w:style w:type="character" w:customStyle="1" w:styleId="31">
    <w:name w:val="批注主题 Char"/>
    <w:basedOn w:val="30"/>
    <w:link w:val="18"/>
    <w:qFormat/>
    <w:uiPriority w:val="0"/>
    <w:rPr>
      <w:rFonts w:ascii="仿宋_GB2312" w:hAnsi="仿宋_GB2312" w:eastAsia="仿宋_GB2312" w:cstheme="minorBidi"/>
      <w:b/>
      <w:bCs/>
      <w:kern w:val="2"/>
      <w:sz w:val="32"/>
      <w:szCs w:val="24"/>
    </w:rPr>
  </w:style>
  <w:style w:type="character" w:customStyle="1" w:styleId="32">
    <w:name w:val="批注框文本 Char"/>
    <w:basedOn w:val="22"/>
    <w:link w:val="14"/>
    <w:qFormat/>
    <w:uiPriority w:val="0"/>
    <w:rPr>
      <w:rFonts w:ascii="仿宋_GB2312" w:hAnsi="仿宋_GB2312" w:eastAsia="仿宋_GB2312"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18</Pages>
  <Words>5797</Words>
  <Characters>6362</Characters>
  <Lines>49</Lines>
  <Paragraphs>13</Paragraphs>
  <TotalTime>0</TotalTime>
  <ScaleCrop>false</ScaleCrop>
  <LinksUpToDate>false</LinksUpToDate>
  <CharactersWithSpaces>6362</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2025-02-18T01:44:00Z</dcterms:created>
  <dc:creator>z</dc:creator>
  <cp:lastModifiedBy>。。。</cp:lastModifiedBy>
  <cp:lastPrinted>2025-02-27T03:02:00Z</cp:lastPrinted>
  <dcterms:modified xsi:type="dcterms:W3CDTF">2025-03-26T08:54:49Z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3CF41ACD3017441CB1D1DC952B7F127C_13</vt:lpwstr>
  </property>
  <property fmtid="{D5CDD505-2E9C-101B-9397-08002B2CF9AE}" pid="4" name="KSOTemplateDocerSaveRecord">
    <vt:lpwstr>eyJoZGlkIjoiYjg3YjZkMDZiMTdkMmI2NjRlZDc4NzhjNTZmMTc0YzgiLCJ1c2VySWQiOiI0MDA1Mzk4NDcifQ==</vt:lpwstr>
  </property>
</Properties>
</file>