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8D318E">
      <w:pPr>
        <w:ind w:firstLine="640"/>
        <w:rPr>
          <w:rFonts w:hint="eastAsia"/>
          <w:color w:val="auto"/>
        </w:rPr>
      </w:pPr>
    </w:p>
    <w:p w14:paraId="71856565">
      <w:pPr>
        <w:ind w:firstLine="880"/>
        <w:jc w:val="center"/>
        <w:rPr>
          <w:rFonts w:hint="eastAsia" w:ascii="黑体" w:hAnsi="黑体" w:eastAsia="黑体" w:cs="黑体"/>
          <w:color w:val="auto"/>
          <w:sz w:val="44"/>
          <w:szCs w:val="44"/>
        </w:rPr>
      </w:pPr>
      <w:r>
        <w:rPr>
          <w:rFonts w:hint="eastAsia" w:ascii="黑体" w:hAnsi="黑体" w:eastAsia="黑体" w:cs="黑体"/>
          <w:color w:val="auto"/>
          <w:sz w:val="44"/>
          <w:szCs w:val="44"/>
        </w:rPr>
        <w:t>四支渠（新华路-南泄洪渠）新建工程</w:t>
      </w:r>
    </w:p>
    <w:p w14:paraId="62E7C5D3">
      <w:pPr>
        <w:ind w:firstLine="880"/>
        <w:jc w:val="center"/>
        <w:rPr>
          <w:rFonts w:hint="eastAsia" w:ascii="黑体" w:hAnsi="黑体" w:eastAsia="黑体" w:cs="黑体"/>
          <w:color w:val="auto"/>
          <w:sz w:val="44"/>
          <w:szCs w:val="44"/>
        </w:rPr>
      </w:pPr>
      <w:r>
        <w:rPr>
          <w:rFonts w:hint="eastAsia" w:ascii="黑体" w:hAnsi="黑体" w:eastAsia="黑体" w:cs="黑体"/>
          <w:color w:val="auto"/>
          <w:sz w:val="44"/>
          <w:szCs w:val="44"/>
        </w:rPr>
        <w:t>项目自评报告</w:t>
      </w:r>
    </w:p>
    <w:p w14:paraId="2DF8252B">
      <w:pPr>
        <w:ind w:firstLine="640"/>
        <w:rPr>
          <w:rFonts w:hint="eastAsia"/>
          <w:color w:val="auto"/>
        </w:rPr>
      </w:pPr>
      <w:r>
        <w:rPr>
          <w:rFonts w:hint="eastAsia"/>
          <w:color w:val="auto"/>
          <w:szCs w:val="32"/>
        </w:rPr>
        <w:t>根据《石家庄市财政支出绩效评价办法》（石财绩〔2013〕2号），遵循“科学性、规范性、客观性和公正性”的原则，对</w:t>
      </w:r>
      <w:r>
        <w:rPr>
          <w:rFonts w:hint="eastAsia"/>
          <w:color w:val="auto"/>
          <w:szCs w:val="32"/>
          <w:lang w:eastAsia="zh-CN"/>
        </w:rPr>
        <w:t>四支渠（新华路-南泄洪渠）新建工程</w:t>
      </w:r>
      <w:r>
        <w:rPr>
          <w:rFonts w:hint="eastAsia"/>
          <w:color w:val="auto"/>
          <w:szCs w:val="32"/>
        </w:rPr>
        <w:t>实施了财政支出绩效自评价，形成本评价报告。</w:t>
      </w:r>
    </w:p>
    <w:p w14:paraId="6024F46F">
      <w:pPr>
        <w:pStyle w:val="2"/>
        <w:ind w:firstLine="643"/>
        <w:rPr>
          <w:rFonts w:hint="eastAsia"/>
          <w:color w:val="auto"/>
        </w:rPr>
      </w:pPr>
      <w:r>
        <w:rPr>
          <w:color w:val="auto"/>
        </w:rPr>
        <w:t>项目基本情况项目概况</w:t>
      </w:r>
    </w:p>
    <w:p w14:paraId="7A619BDB">
      <w:pPr>
        <w:pStyle w:val="3"/>
        <w:ind w:firstLine="643"/>
        <w:rPr>
          <w:color w:val="auto"/>
        </w:rPr>
      </w:pPr>
      <w:r>
        <w:rPr>
          <w:rFonts w:hint="eastAsia"/>
          <w:color w:val="auto"/>
        </w:rPr>
        <w:t>项目概况</w:t>
      </w:r>
    </w:p>
    <w:p w14:paraId="7E64A6A7">
      <w:pPr>
        <w:pStyle w:val="4"/>
        <w:ind w:firstLine="643"/>
        <w:rPr>
          <w:color w:val="auto"/>
        </w:rPr>
      </w:pPr>
      <w:r>
        <w:rPr>
          <w:color w:val="auto"/>
        </w:rPr>
        <w:t>项目实施单位及项目立项等基本情况</w:t>
      </w:r>
    </w:p>
    <w:p w14:paraId="66793258">
      <w:pPr>
        <w:pStyle w:val="5"/>
        <w:ind w:firstLine="643"/>
        <w:rPr>
          <w:rFonts w:hint="eastAsia"/>
          <w:color w:val="auto"/>
        </w:rPr>
      </w:pPr>
      <w:r>
        <w:rPr>
          <w:rFonts w:hint="eastAsia"/>
          <w:color w:val="auto"/>
        </w:rPr>
        <w:t>项目实施单位</w:t>
      </w:r>
    </w:p>
    <w:p w14:paraId="664C91FC">
      <w:pPr>
        <w:ind w:firstLine="640"/>
        <w:rPr>
          <w:rFonts w:hint="eastAsia"/>
          <w:color w:val="auto"/>
        </w:rPr>
      </w:pPr>
      <w:r>
        <w:rPr>
          <w:color w:val="auto"/>
        </w:rPr>
        <w:t>单位名称</w:t>
      </w:r>
      <w:r>
        <w:rPr>
          <w:rFonts w:hint="eastAsia"/>
          <w:color w:val="auto"/>
        </w:rPr>
        <w:t>：石家庄市城市管理综合行政执法局</w:t>
      </w:r>
    </w:p>
    <w:p w14:paraId="264A104B">
      <w:pPr>
        <w:ind w:firstLine="640"/>
        <w:rPr>
          <w:rFonts w:hint="eastAsia"/>
          <w:color w:val="auto"/>
        </w:rPr>
      </w:pPr>
      <w:r>
        <w:rPr>
          <w:rFonts w:hint="eastAsia"/>
          <w:color w:val="auto"/>
          <w:lang w:val="en-US" w:eastAsia="zh-CN"/>
        </w:rPr>
        <w:t>石家庄</w:t>
      </w:r>
      <w:r>
        <w:rPr>
          <w:rFonts w:hint="eastAsia"/>
          <w:color w:val="auto"/>
        </w:rPr>
        <w:t>市城市管理综合行政执法局（以下简称“市城管综合行政执法局”），主要负责城市道路、桥梁、照明、排水等市政设施维护管理工作，负责民心河河道管理、城区防汛工作；负责城市供热燃气、供水节水污水处理行业管理工作；组织督导城市市容环境卫生、城市管理综合执法以及城区生活垃圾、建筑垃圾、餐厨垃圾、粪便垃圾无害化处理工作；负责指导各县（市、区）城镇（县城城建界以内）的城市管理相关工作。</w:t>
      </w:r>
    </w:p>
    <w:p w14:paraId="694B3C03">
      <w:pPr>
        <w:pStyle w:val="5"/>
        <w:ind w:firstLine="643"/>
        <w:rPr>
          <w:rFonts w:hint="eastAsia"/>
          <w:color w:val="auto"/>
        </w:rPr>
      </w:pPr>
      <w:r>
        <w:rPr>
          <w:color w:val="auto"/>
        </w:rPr>
        <w:t>项目背景</w:t>
      </w:r>
      <w:r>
        <w:rPr>
          <w:rFonts w:hint="eastAsia"/>
          <w:color w:val="auto"/>
        </w:rPr>
        <w:t>（立项依据、政策文件、需求分析等）</w:t>
      </w:r>
    </w:p>
    <w:p w14:paraId="58BCC119">
      <w:pPr>
        <w:ind w:firstLine="640"/>
        <w:rPr>
          <w:rFonts w:hint="eastAsia"/>
          <w:color w:val="auto"/>
        </w:rPr>
      </w:pPr>
      <w:r>
        <w:rPr>
          <w:rFonts w:hint="eastAsia"/>
          <w:color w:val="auto"/>
        </w:rPr>
        <w:t>一个城市的排水系统的好坏不仅关系到一个城市的形象，还关系到民生。城市内涝后往往造成交通拥堵，人民出行困难。随着《城镇排水与污水处理条例》、《国务院办公厅关于做好城市排水防涝设施建设工作的通知》（国办发</w:t>
      </w:r>
      <w:r>
        <w:rPr>
          <w:rFonts w:hint="eastAsia"/>
          <w:color w:val="auto"/>
          <w:lang w:eastAsia="zh-CN"/>
        </w:rPr>
        <w:t>〔</w:t>
      </w:r>
      <w:r>
        <w:rPr>
          <w:rFonts w:hint="eastAsia"/>
          <w:color w:val="auto"/>
        </w:rPr>
        <w:t>2013</w:t>
      </w:r>
      <w:r>
        <w:rPr>
          <w:rFonts w:hint="eastAsia"/>
          <w:color w:val="auto"/>
          <w:lang w:eastAsia="zh-CN"/>
        </w:rPr>
        <w:t>〕</w:t>
      </w:r>
      <w:r>
        <w:rPr>
          <w:rFonts w:hint="eastAsia"/>
          <w:color w:val="auto"/>
        </w:rPr>
        <w:t>23号）等相关文件及政策法规的出台把市政排水的建设提到了新的高度。《国务院办公厅关于做好城市排水防涝设施建设工作的通知》（国办发</w:t>
      </w:r>
      <w:r>
        <w:rPr>
          <w:rFonts w:hint="eastAsia"/>
          <w:color w:val="auto"/>
          <w:lang w:eastAsia="zh-CN"/>
        </w:rPr>
        <w:t>〔</w:t>
      </w:r>
      <w:r>
        <w:rPr>
          <w:rFonts w:hint="eastAsia"/>
          <w:color w:val="auto"/>
        </w:rPr>
        <w:t>2013</w:t>
      </w:r>
      <w:r>
        <w:rPr>
          <w:rFonts w:hint="eastAsia"/>
          <w:color w:val="auto"/>
          <w:lang w:eastAsia="zh-CN"/>
        </w:rPr>
        <w:t>〕</w:t>
      </w:r>
      <w:r>
        <w:rPr>
          <w:rFonts w:hint="eastAsia"/>
          <w:color w:val="auto"/>
        </w:rPr>
        <w:t>23号）明确要求“用10年左右的时间，建成较为完善的城市排水防涝工程体系”。</w:t>
      </w:r>
    </w:p>
    <w:p w14:paraId="26B0E64F">
      <w:pPr>
        <w:ind w:firstLine="640"/>
        <w:rPr>
          <w:rFonts w:hint="eastAsia"/>
          <w:color w:val="auto"/>
        </w:rPr>
      </w:pPr>
      <w:r>
        <w:rPr>
          <w:rFonts w:hint="eastAsia"/>
          <w:color w:val="auto"/>
          <w:lang w:val="en-US" w:eastAsia="zh-CN"/>
        </w:rPr>
        <w:t>石家庄</w:t>
      </w:r>
      <w:r>
        <w:rPr>
          <w:rFonts w:hint="eastAsia"/>
          <w:color w:val="auto"/>
        </w:rPr>
        <w:t>市西三环-民心河北线-泰华街滨河街以西合围区域雨水排放出路为五支渠（民心河西线），汇水面积约72平方公里。但该片区为城市老城区，排水设施建设标准普遍偏低，汛期在中山西路地道桥、新华路沿线、西南二环沿线等地积水现象严重，民心河西线下游时有漫溢现象。</w:t>
      </w:r>
    </w:p>
    <w:p w14:paraId="1A0281A7">
      <w:pPr>
        <w:ind w:firstLine="640"/>
        <w:rPr>
          <w:rFonts w:hint="eastAsia"/>
          <w:color w:val="auto"/>
        </w:rPr>
      </w:pPr>
      <w:r>
        <w:rPr>
          <w:rFonts w:hint="eastAsia"/>
          <w:color w:val="auto"/>
          <w:lang w:eastAsia="zh-CN"/>
        </w:rPr>
        <w:t>目前</w:t>
      </w:r>
      <w:r>
        <w:rPr>
          <w:rFonts w:hint="eastAsia"/>
          <w:color w:val="auto"/>
          <w:lang w:val="en-US" w:eastAsia="zh-CN"/>
        </w:rPr>
        <w:t>石家庄</w:t>
      </w:r>
      <w:r>
        <w:rPr>
          <w:rFonts w:hint="eastAsia"/>
          <w:color w:val="auto"/>
        </w:rPr>
        <w:t>市西部72平方公里区域内涝</w:t>
      </w:r>
      <w:r>
        <w:rPr>
          <w:rFonts w:hint="eastAsia"/>
          <w:color w:val="auto"/>
          <w:highlight w:val="none"/>
        </w:rPr>
        <w:t>风险已然较大，</w:t>
      </w:r>
      <w:r>
        <w:rPr>
          <w:rFonts w:hint="eastAsia"/>
          <w:color w:val="auto"/>
        </w:rPr>
        <w:t>加之该片区正在实施众多城市更新重点工程，开发强度增加，如四支渠不能同步实施，该区域内城市快速路、城市更新片区将会发生严重积水现象，而且四支渠西侧东西向排水管道均已按照规划排入四支渠的高程和流向形成，现状为逆坡向东排放，排水不畅，因此实施四支渠迫在眉睫。</w:t>
      </w:r>
    </w:p>
    <w:p w14:paraId="3EA000ED">
      <w:pPr>
        <w:ind w:firstLine="640"/>
        <w:rPr>
          <w:rFonts w:hint="eastAsia"/>
          <w:color w:val="auto"/>
        </w:rPr>
      </w:pPr>
      <w:r>
        <w:rPr>
          <w:rFonts w:hint="eastAsia"/>
          <w:color w:val="auto"/>
        </w:rPr>
        <w:t>目前石家庄市的《城市排水（雨水）防涝综合规划（2014-2020）》已经编制完成。本工程的建设实施将从根本上改善石家庄西部城区雨水内涝的问题。四支渠以西区域的雨水就近排入四支渠，减少收水区域内涝灾害。雨水就近排入四支渠，缩小下游管道管径，节省投资。随着四支渠周边区域的发展，通过规划四支渠排水系统来减小中心城区五支渠（民心河西线）排水系统的排水压力，可有效缓解张营、西南二环沿线积水问题，同时提升城市西部区域抵御城市内涝风险标准。</w:t>
      </w:r>
    </w:p>
    <w:p w14:paraId="71C1A31E">
      <w:pPr>
        <w:pStyle w:val="5"/>
        <w:ind w:firstLine="643"/>
        <w:rPr>
          <w:rFonts w:hint="eastAsia"/>
          <w:color w:val="auto"/>
        </w:rPr>
      </w:pPr>
      <w:r>
        <w:rPr>
          <w:rFonts w:hint="eastAsia"/>
          <w:color w:val="auto"/>
        </w:rPr>
        <w:t>项目立项情况</w:t>
      </w:r>
    </w:p>
    <w:p w14:paraId="4DEBA97D">
      <w:pPr>
        <w:ind w:firstLine="640"/>
        <w:rPr>
          <w:rFonts w:hint="eastAsia"/>
          <w:color w:val="auto"/>
          <w:lang w:val="en-US" w:eastAsia="zh-CN"/>
        </w:rPr>
      </w:pPr>
      <w:r>
        <w:rPr>
          <w:rFonts w:hint="eastAsia"/>
          <w:color w:val="auto"/>
          <w:lang w:val="en-US" w:eastAsia="zh-CN"/>
        </w:rPr>
        <w:t>项目前期资料办理情况：</w:t>
      </w:r>
    </w:p>
    <w:p w14:paraId="6E31CE6D">
      <w:pPr>
        <w:bidi w:val="0"/>
        <w:rPr>
          <w:rFonts w:hint="eastAsia"/>
          <w:color w:val="auto"/>
          <w:lang w:val="en-US" w:eastAsia="zh-CN"/>
        </w:rPr>
      </w:pPr>
      <w:r>
        <w:rPr>
          <w:rFonts w:hint="eastAsia"/>
          <w:color w:val="auto"/>
          <w:lang w:val="en-US" w:eastAsia="zh-CN"/>
        </w:rPr>
        <w:t>可研及可研批复：2023年10月28日取得《石家庄市行政审批局关于四支渠（新华路-南泄洪渠）新建工程可行性研究报告的批复》（石行审投资〔2023〕197号）；</w:t>
      </w:r>
    </w:p>
    <w:p w14:paraId="5C710046">
      <w:pPr>
        <w:bidi w:val="0"/>
        <w:rPr>
          <w:rFonts w:hint="default"/>
          <w:color w:val="auto"/>
          <w:lang w:val="en-US" w:eastAsia="zh-CN"/>
        </w:rPr>
      </w:pPr>
      <w:r>
        <w:rPr>
          <w:rFonts w:hint="eastAsia"/>
          <w:color w:val="auto"/>
          <w:lang w:val="en-US" w:eastAsia="zh-CN"/>
        </w:rPr>
        <w:t>初设及初设批复：2024年4月3日取得《石家庄市行政审批局关于四支渠（新华路-南泄洪渠）新建工程初步设计的批复》（石行审投资〔2024〕83号）；</w:t>
      </w:r>
    </w:p>
    <w:p w14:paraId="29C37AC0">
      <w:pPr>
        <w:bidi w:val="0"/>
        <w:rPr>
          <w:rFonts w:hint="default"/>
          <w:color w:val="auto"/>
          <w:lang w:val="en-US" w:eastAsia="zh-CN"/>
        </w:rPr>
      </w:pPr>
      <w:r>
        <w:rPr>
          <w:rFonts w:hint="eastAsia"/>
          <w:color w:val="auto"/>
          <w:lang w:val="en-US" w:eastAsia="zh-CN"/>
        </w:rPr>
        <w:t>施工许可证：2024年6月5日，取得四支渠（新华路-南泄洪渠）新建工程施工一标段（第一部分）《建筑工程施工许可证》；2024年9月19日，取得四支渠（新华路-南泄洪渠）新建工程施工一标段（第二部分）《建筑工程施工许可证》；2024年9月21日，取得四支渠（新华路-南泄洪渠）新建工程施工二标段《建筑工程施工许可证》</w:t>
      </w:r>
    </w:p>
    <w:p w14:paraId="5FE9E31B">
      <w:pPr>
        <w:bidi w:val="0"/>
        <w:rPr>
          <w:rFonts w:hint="default"/>
          <w:color w:val="auto"/>
          <w:highlight w:val="none"/>
          <w:lang w:val="en-US" w:eastAsia="zh-CN"/>
        </w:rPr>
      </w:pPr>
      <w:r>
        <w:rPr>
          <w:rFonts w:hint="default"/>
          <w:color w:val="auto"/>
          <w:highlight w:val="none"/>
          <w:lang w:val="en-US" w:eastAsia="zh-CN"/>
        </w:rPr>
        <w:t>开工</w:t>
      </w:r>
      <w:r>
        <w:rPr>
          <w:rFonts w:hint="eastAsia"/>
          <w:color w:val="auto"/>
          <w:highlight w:val="none"/>
          <w:lang w:val="en-US" w:eastAsia="zh-CN"/>
        </w:rPr>
        <w:t>建设</w:t>
      </w:r>
      <w:r>
        <w:rPr>
          <w:rFonts w:hint="default"/>
          <w:color w:val="auto"/>
          <w:highlight w:val="none"/>
          <w:lang w:val="en-US" w:eastAsia="zh-CN"/>
        </w:rPr>
        <w:t>：2024年6月5日取得四支渠</w:t>
      </w:r>
      <w:r>
        <w:rPr>
          <w:rFonts w:hint="eastAsia"/>
          <w:color w:val="auto"/>
          <w:highlight w:val="none"/>
          <w:lang w:val="en-US" w:eastAsia="zh-CN"/>
        </w:rPr>
        <w:t>（</w:t>
      </w:r>
      <w:r>
        <w:rPr>
          <w:rFonts w:hint="default"/>
          <w:color w:val="auto"/>
          <w:highlight w:val="none"/>
          <w:lang w:val="en-US" w:eastAsia="zh-CN"/>
        </w:rPr>
        <w:t>新华路-南泄洪渠</w:t>
      </w:r>
      <w:r>
        <w:rPr>
          <w:rFonts w:hint="eastAsia"/>
          <w:color w:val="auto"/>
          <w:highlight w:val="none"/>
          <w:lang w:val="en-US" w:eastAsia="zh-CN"/>
        </w:rPr>
        <w:t>）</w:t>
      </w:r>
      <w:r>
        <w:rPr>
          <w:rFonts w:hint="default"/>
          <w:color w:val="auto"/>
          <w:highlight w:val="none"/>
          <w:lang w:val="en-US" w:eastAsia="zh-CN"/>
        </w:rPr>
        <w:t>新建工程施工一标段</w:t>
      </w:r>
      <w:r>
        <w:rPr>
          <w:rFonts w:hint="eastAsia"/>
          <w:color w:val="auto"/>
          <w:highlight w:val="none"/>
          <w:lang w:val="en-US" w:eastAsia="zh-CN"/>
        </w:rPr>
        <w:t>（</w:t>
      </w:r>
      <w:r>
        <w:rPr>
          <w:rFonts w:hint="default"/>
          <w:color w:val="auto"/>
          <w:highlight w:val="none"/>
          <w:lang w:val="en-US" w:eastAsia="zh-CN"/>
        </w:rPr>
        <w:t>第一部分</w:t>
      </w:r>
      <w:r>
        <w:rPr>
          <w:rFonts w:hint="eastAsia"/>
          <w:color w:val="auto"/>
          <w:highlight w:val="none"/>
          <w:lang w:val="en-US" w:eastAsia="zh-CN"/>
        </w:rPr>
        <w:t>）</w:t>
      </w:r>
      <w:r>
        <w:rPr>
          <w:rFonts w:hint="default"/>
          <w:color w:val="auto"/>
          <w:highlight w:val="none"/>
          <w:lang w:val="en-US" w:eastAsia="zh-CN"/>
        </w:rPr>
        <w:t>《工程开工令》</w:t>
      </w:r>
      <w:r>
        <w:rPr>
          <w:rFonts w:hint="eastAsia"/>
          <w:color w:val="auto"/>
          <w:highlight w:val="none"/>
          <w:lang w:val="en-US" w:eastAsia="zh-CN"/>
        </w:rPr>
        <w:t>。</w:t>
      </w:r>
    </w:p>
    <w:p w14:paraId="03C11E47">
      <w:pPr>
        <w:pStyle w:val="4"/>
        <w:ind w:firstLine="643"/>
        <w:rPr>
          <w:color w:val="auto"/>
        </w:rPr>
      </w:pPr>
      <w:r>
        <w:rPr>
          <w:rFonts w:hint="default"/>
          <w:color w:val="auto"/>
        </w:rPr>
        <w:t>项目实施内容与范围</w:t>
      </w:r>
    </w:p>
    <w:p w14:paraId="7F4BF359">
      <w:pPr>
        <w:pStyle w:val="5"/>
        <w:ind w:firstLine="643"/>
        <w:rPr>
          <w:rFonts w:hint="eastAsia"/>
          <w:color w:val="auto"/>
        </w:rPr>
      </w:pPr>
      <w:r>
        <w:rPr>
          <w:color w:val="auto"/>
        </w:rPr>
        <w:t>项目主要建设内容</w:t>
      </w:r>
      <w:r>
        <w:rPr>
          <w:rFonts w:hint="eastAsia"/>
          <w:color w:val="auto"/>
        </w:rPr>
        <w:t>：</w:t>
      </w:r>
    </w:p>
    <w:p w14:paraId="0345113E">
      <w:pPr>
        <w:ind w:firstLine="640"/>
        <w:rPr>
          <w:rFonts w:hint="eastAsia"/>
          <w:color w:val="auto"/>
        </w:rPr>
      </w:pPr>
      <w:r>
        <w:rPr>
          <w:rFonts w:hint="eastAsia"/>
          <w:color w:val="auto"/>
        </w:rPr>
        <w:t>四支渠（新华路-南泄洪渠）新建工程起点为新华路，终点为南泄洪渠，四支渠沿苑西街-吉恒街-西三环敷设，最终接入南泄洪渠。全长5100m，规划纵坡0.75‰，规划设计流量64m³/s，新建规格为2孔5.3m×3m暗涵，末端修建2孔5.3x3m闸门，并修建配套附属设施。</w:t>
      </w:r>
    </w:p>
    <w:p w14:paraId="341AA37A">
      <w:pPr>
        <w:pStyle w:val="5"/>
        <w:ind w:firstLine="643"/>
        <w:rPr>
          <w:rFonts w:hint="eastAsia"/>
          <w:color w:val="auto"/>
        </w:rPr>
      </w:pPr>
      <w:r>
        <w:rPr>
          <w:rFonts w:hint="eastAsia"/>
          <w:color w:val="auto"/>
        </w:rPr>
        <w:t>项目</w:t>
      </w:r>
      <w:r>
        <w:rPr>
          <w:rFonts w:hint="eastAsia"/>
          <w:color w:val="auto"/>
          <w:lang w:val="en-US" w:eastAsia="zh-CN"/>
        </w:rPr>
        <w:t>覆盖范围</w:t>
      </w:r>
      <w:r>
        <w:rPr>
          <w:rFonts w:hint="eastAsia"/>
          <w:color w:val="auto"/>
        </w:rPr>
        <w:t>：</w:t>
      </w:r>
    </w:p>
    <w:p w14:paraId="765989DC">
      <w:pPr>
        <w:ind w:firstLine="640"/>
        <w:rPr>
          <w:rFonts w:hint="eastAsia"/>
          <w:color w:val="auto"/>
        </w:rPr>
      </w:pPr>
      <w:r>
        <w:rPr>
          <w:rFonts w:hint="eastAsia"/>
          <w:color w:val="auto"/>
        </w:rPr>
        <w:t>本工程位于石家庄市内沿苑西街-吉恒街-西三环敷设。</w:t>
      </w:r>
    </w:p>
    <w:p w14:paraId="71AFE9B4">
      <w:pPr>
        <w:ind w:firstLine="640"/>
        <w:rPr>
          <w:rFonts w:hint="eastAsia"/>
          <w:color w:val="auto"/>
        </w:rPr>
      </w:pPr>
      <w:r>
        <w:rPr>
          <w:rFonts w:hint="eastAsia"/>
          <w:color w:val="auto"/>
        </w:rPr>
        <w:t>四支渠（新华路-南泄洪渠）建设完成后，通过四支渠排水系统来减小中心城区现状五支渠（民心河西线）排水系统的排水压力。本次研究范围起点为新华路，终点至南泄洪渠，总长度约5100m。规划纵坡0.75‰，规划设计流量64m³/s。四支渠排水系统主要收集南水北调中线以东、槐安路以北、苑东街以西区域雨水，汇水面积13.9平方公里。项目建成后将极大缓解西部片区的排水问题。</w:t>
      </w:r>
    </w:p>
    <w:p w14:paraId="3592D99E">
      <w:pPr>
        <w:pStyle w:val="4"/>
        <w:ind w:firstLine="643"/>
        <w:rPr>
          <w:color w:val="auto"/>
        </w:rPr>
      </w:pPr>
      <w:r>
        <w:rPr>
          <w:rFonts w:hint="default"/>
          <w:color w:val="auto"/>
        </w:rPr>
        <w:t>项目资金投入情况</w:t>
      </w:r>
    </w:p>
    <w:p w14:paraId="1C4919B2">
      <w:pPr>
        <w:pStyle w:val="5"/>
        <w:ind w:firstLine="643"/>
        <w:rPr>
          <w:rFonts w:hint="eastAsia"/>
          <w:color w:val="auto"/>
        </w:rPr>
      </w:pPr>
      <w:r>
        <w:rPr>
          <w:color w:val="auto"/>
        </w:rPr>
        <w:t>总投入资金及结构</w:t>
      </w:r>
      <w:r>
        <w:rPr>
          <w:rFonts w:hint="eastAsia"/>
          <w:color w:val="auto"/>
        </w:rPr>
        <w:t>：</w:t>
      </w:r>
    </w:p>
    <w:p w14:paraId="148AB8DC">
      <w:pPr>
        <w:ind w:firstLine="640"/>
        <w:rPr>
          <w:rFonts w:hint="eastAsia"/>
          <w:color w:val="auto"/>
        </w:rPr>
      </w:pPr>
      <w:r>
        <w:rPr>
          <w:rFonts w:hint="eastAsia"/>
          <w:color w:val="auto"/>
        </w:rPr>
        <w:t>四支渠（新华路-南泄洪渠）新建工程</w:t>
      </w:r>
      <w:r>
        <w:rPr>
          <w:rFonts w:hint="eastAsia"/>
          <w:color w:val="auto"/>
          <w:lang w:val="en-US" w:eastAsia="zh-CN"/>
        </w:rPr>
        <w:t>总投资</w:t>
      </w:r>
      <w:r>
        <w:rPr>
          <w:rFonts w:hint="eastAsia"/>
          <w:color w:val="auto"/>
        </w:rPr>
        <w:t>为</w:t>
      </w:r>
      <w:r>
        <w:rPr>
          <w:rFonts w:hint="eastAsia"/>
          <w:color w:val="auto"/>
          <w:lang w:val="en-US" w:eastAsia="zh-CN"/>
        </w:rPr>
        <w:t>59436.00</w:t>
      </w:r>
      <w:r>
        <w:rPr>
          <w:rFonts w:hint="eastAsia"/>
          <w:color w:val="auto"/>
        </w:rPr>
        <w:t>万元</w:t>
      </w:r>
      <w:r>
        <w:rPr>
          <w:rFonts w:hint="eastAsia"/>
          <w:color w:val="auto"/>
          <w:lang w:eastAsia="zh-CN"/>
        </w:rPr>
        <w:t>。</w:t>
      </w:r>
      <w:r>
        <w:rPr>
          <w:rFonts w:hint="eastAsia"/>
          <w:color w:val="auto"/>
          <w:lang w:val="en-US" w:eastAsia="zh-CN"/>
        </w:rPr>
        <w:t>其中，国债中央补助资金47548.00万元，省级补助资金2377.40万元，市级配套资金9510.60万元</w:t>
      </w:r>
      <w:r>
        <w:rPr>
          <w:rFonts w:hint="eastAsia"/>
          <w:color w:val="auto"/>
        </w:rPr>
        <w:t>。</w:t>
      </w:r>
    </w:p>
    <w:p w14:paraId="2B420623">
      <w:pPr>
        <w:ind w:firstLine="640"/>
        <w:rPr>
          <w:rFonts w:hint="eastAsia"/>
          <w:color w:val="auto"/>
        </w:rPr>
      </w:pPr>
      <w:r>
        <w:rPr>
          <w:rFonts w:hint="eastAsia"/>
          <w:color w:val="auto"/>
          <w:lang w:val="en-US" w:eastAsia="zh-CN"/>
        </w:rPr>
        <w:t>2024年财政预算资金为50000.00万元，其中，下达国债中央补助资金47548.00万元，国债省级补助资金1188.70万元，市级配套资金1263.30万元。</w:t>
      </w:r>
    </w:p>
    <w:p w14:paraId="33C13B11">
      <w:pPr>
        <w:ind w:firstLine="640"/>
        <w:rPr>
          <w:rFonts w:hint="eastAsia"/>
          <w:color w:val="auto"/>
        </w:rPr>
      </w:pPr>
      <w:r>
        <w:rPr>
          <w:rFonts w:hint="eastAsia"/>
          <w:color w:val="auto"/>
        </w:rPr>
        <w:t>2024年</w:t>
      </w:r>
      <w:r>
        <w:rPr>
          <w:rFonts w:hint="eastAsia"/>
          <w:color w:val="auto"/>
          <w:lang w:val="en-US" w:eastAsia="zh-CN"/>
        </w:rPr>
        <w:t>预算支出28347.67万元</w:t>
      </w:r>
      <w:r>
        <w:rPr>
          <w:rFonts w:hint="eastAsia"/>
          <w:color w:val="auto"/>
        </w:rPr>
        <w:t>。</w:t>
      </w:r>
      <w:r>
        <w:rPr>
          <w:rFonts w:hint="eastAsia"/>
          <w:color w:val="auto"/>
          <w:lang w:val="en-US" w:eastAsia="zh-CN"/>
        </w:rPr>
        <w:t>其中，国债中央补助资金28340.67万元，市级配套资金支出7.00万元</w:t>
      </w:r>
      <w:r>
        <w:rPr>
          <w:rFonts w:hint="eastAsia"/>
          <w:color w:val="auto"/>
        </w:rPr>
        <w:t>。</w:t>
      </w:r>
    </w:p>
    <w:p w14:paraId="77BFC80F">
      <w:pPr>
        <w:pStyle w:val="26"/>
        <w:bidi w:val="0"/>
        <w:rPr>
          <w:rFonts w:hint="eastAsia"/>
          <w:color w:val="auto"/>
          <w:lang w:val="en-US" w:eastAsia="zh-CN"/>
        </w:rPr>
      </w:pPr>
      <w:r>
        <w:rPr>
          <w:rFonts w:hint="eastAsia"/>
          <w:color w:val="auto"/>
          <w:lang w:val="en-US" w:eastAsia="zh-CN"/>
        </w:rPr>
        <w:t>项目资金投入情况表</w:t>
      </w:r>
    </w:p>
    <w:tbl>
      <w:tblPr>
        <w:tblStyle w:val="19"/>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36"/>
        <w:gridCol w:w="2009"/>
        <w:gridCol w:w="1369"/>
        <w:gridCol w:w="1336"/>
        <w:gridCol w:w="1471"/>
        <w:gridCol w:w="1696"/>
      </w:tblGrid>
      <w:tr w14:paraId="1CE1E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FFD34">
            <w:pPr>
              <w:pStyle w:val="25"/>
              <w:bidi w:val="0"/>
              <w:rPr>
                <w:rFonts w:hint="default"/>
                <w:lang w:val="en-US" w:eastAsia="zh-CN"/>
              </w:rPr>
            </w:pPr>
            <w:r>
              <w:rPr>
                <w:rFonts w:hint="default"/>
                <w:lang w:val="en-US" w:eastAsia="zh-CN"/>
              </w:rPr>
              <w:t>序号</w:t>
            </w:r>
          </w:p>
        </w:tc>
        <w:tc>
          <w:tcPr>
            <w:tcW w:w="1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F17A3">
            <w:pPr>
              <w:pStyle w:val="25"/>
              <w:bidi w:val="0"/>
              <w:rPr>
                <w:rFonts w:hint="default"/>
                <w:lang w:val="en-US" w:eastAsia="zh-CN"/>
              </w:rPr>
            </w:pPr>
            <w:r>
              <w:rPr>
                <w:rFonts w:hint="eastAsia"/>
                <w:lang w:val="en-US" w:eastAsia="zh-CN"/>
              </w:rPr>
              <w:t>项目</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ED3BCC">
            <w:pPr>
              <w:pStyle w:val="25"/>
              <w:bidi w:val="0"/>
              <w:rPr>
                <w:rFonts w:hint="default"/>
                <w:lang w:val="en-US" w:eastAsia="zh-CN"/>
              </w:rPr>
            </w:pPr>
            <w:r>
              <w:rPr>
                <w:rFonts w:hint="eastAsia"/>
                <w:lang w:val="en-US" w:eastAsia="zh-CN"/>
              </w:rPr>
              <w:t>总</w:t>
            </w:r>
            <w:r>
              <w:rPr>
                <w:rFonts w:hint="default"/>
                <w:lang w:val="en-US" w:eastAsia="zh-CN"/>
              </w:rPr>
              <w:t>预算</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776B3">
            <w:pPr>
              <w:pStyle w:val="25"/>
              <w:bidi w:val="0"/>
              <w:rPr>
                <w:rFonts w:hint="default"/>
                <w:lang w:val="en-US" w:eastAsia="zh-CN"/>
              </w:rPr>
            </w:pPr>
            <w:r>
              <w:rPr>
                <w:rFonts w:hint="eastAsia"/>
                <w:lang w:val="en-US" w:eastAsia="zh-CN"/>
              </w:rPr>
              <w:t>2024年预算安排</w:t>
            </w:r>
          </w:p>
        </w:tc>
        <w:tc>
          <w:tcPr>
            <w:tcW w:w="8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89513">
            <w:pPr>
              <w:pStyle w:val="25"/>
              <w:bidi w:val="0"/>
              <w:rPr>
                <w:rFonts w:hint="default"/>
                <w:lang w:val="en-US" w:eastAsia="zh-CN"/>
              </w:rPr>
            </w:pPr>
            <w:r>
              <w:rPr>
                <w:rFonts w:hint="default"/>
                <w:lang w:val="en-US" w:eastAsia="zh-CN"/>
              </w:rPr>
              <w:t>预算支出情况</w:t>
            </w:r>
          </w:p>
        </w:tc>
        <w:tc>
          <w:tcPr>
            <w:tcW w:w="9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FE891">
            <w:pPr>
              <w:pStyle w:val="25"/>
              <w:bidi w:val="0"/>
              <w:rPr>
                <w:rFonts w:hint="default"/>
                <w:lang w:val="en-US" w:eastAsia="zh-CN"/>
              </w:rPr>
            </w:pPr>
            <w:r>
              <w:rPr>
                <w:rFonts w:hint="eastAsia"/>
                <w:lang w:val="en-US" w:eastAsia="zh-CN"/>
              </w:rPr>
              <w:t>占2024年预算</w:t>
            </w:r>
            <w:r>
              <w:rPr>
                <w:rFonts w:hint="default"/>
                <w:lang w:val="en-US" w:eastAsia="zh-CN"/>
              </w:rPr>
              <w:t>支出比例</w:t>
            </w:r>
          </w:p>
        </w:tc>
      </w:tr>
      <w:tr w14:paraId="11285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C08D7">
            <w:pPr>
              <w:pStyle w:val="25"/>
              <w:bidi w:val="0"/>
              <w:rPr>
                <w:rFonts w:hint="default"/>
                <w:lang w:val="en-US" w:eastAsia="zh-CN"/>
              </w:rPr>
            </w:pPr>
            <w:r>
              <w:rPr>
                <w:rFonts w:hint="default"/>
                <w:lang w:val="en-US" w:eastAsia="zh-CN"/>
              </w:rPr>
              <w:t>1</w:t>
            </w:r>
          </w:p>
        </w:tc>
        <w:tc>
          <w:tcPr>
            <w:tcW w:w="1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02D32">
            <w:pPr>
              <w:pStyle w:val="25"/>
              <w:bidi w:val="0"/>
              <w:rPr>
                <w:rFonts w:hint="default"/>
                <w:lang w:val="en-US" w:eastAsia="zh-CN"/>
              </w:rPr>
            </w:pPr>
            <w:r>
              <w:rPr>
                <w:rFonts w:hint="default"/>
                <w:lang w:val="en-US" w:eastAsia="zh-CN"/>
              </w:rPr>
              <w:t>资金情况</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705FA">
            <w:pPr>
              <w:pStyle w:val="25"/>
              <w:bidi w:val="0"/>
              <w:rPr>
                <w:rFonts w:hint="default"/>
                <w:lang w:val="en-US" w:eastAsia="zh-CN"/>
              </w:rPr>
            </w:pPr>
            <w:r>
              <w:rPr>
                <w:rFonts w:hint="eastAsia"/>
                <w:lang w:val="en-US" w:eastAsia="zh-CN"/>
              </w:rPr>
              <w:t>59436.00</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1B1BA">
            <w:pPr>
              <w:pStyle w:val="25"/>
              <w:bidi w:val="0"/>
              <w:rPr>
                <w:rFonts w:hint="default"/>
                <w:lang w:val="en-US" w:eastAsia="zh-CN"/>
              </w:rPr>
            </w:pPr>
            <w:r>
              <w:rPr>
                <w:rFonts w:hint="default"/>
                <w:lang w:val="en-US" w:eastAsia="zh-CN"/>
              </w:rPr>
              <w:t>50000</w:t>
            </w:r>
            <w:r>
              <w:rPr>
                <w:rFonts w:hint="eastAsia"/>
                <w:lang w:val="en-US" w:eastAsia="zh-CN"/>
              </w:rPr>
              <w:t>.00</w:t>
            </w:r>
          </w:p>
        </w:tc>
        <w:tc>
          <w:tcPr>
            <w:tcW w:w="8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10BDE">
            <w:pPr>
              <w:pStyle w:val="25"/>
              <w:bidi w:val="0"/>
              <w:rPr>
                <w:rFonts w:hint="default"/>
                <w:lang w:val="en-US" w:eastAsia="zh-CN"/>
              </w:rPr>
            </w:pPr>
            <w:r>
              <w:rPr>
                <w:rFonts w:hint="eastAsia"/>
                <w:lang w:val="en-US" w:eastAsia="zh-CN"/>
              </w:rPr>
              <w:t>28347.67</w:t>
            </w:r>
          </w:p>
        </w:tc>
        <w:tc>
          <w:tcPr>
            <w:tcW w:w="9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166A6">
            <w:pPr>
              <w:pStyle w:val="25"/>
              <w:bidi w:val="0"/>
              <w:rPr>
                <w:rFonts w:hint="eastAsia"/>
                <w:lang w:val="en-US" w:eastAsia="zh-CN"/>
              </w:rPr>
            </w:pPr>
            <w:r>
              <w:rPr>
                <w:rFonts w:hint="eastAsia"/>
                <w:lang w:val="en-US" w:eastAsia="zh-CN"/>
              </w:rPr>
              <w:t>56.70%</w:t>
            </w:r>
          </w:p>
        </w:tc>
      </w:tr>
      <w:tr w14:paraId="0B81C8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31F69">
            <w:pPr>
              <w:pStyle w:val="25"/>
              <w:bidi w:val="0"/>
              <w:rPr>
                <w:rFonts w:hint="default"/>
                <w:lang w:val="en-US" w:eastAsia="zh-CN"/>
              </w:rPr>
            </w:pPr>
            <w:r>
              <w:rPr>
                <w:rFonts w:hint="default"/>
                <w:lang w:val="en-US" w:eastAsia="zh-CN"/>
              </w:rPr>
              <w:t>1.1</w:t>
            </w:r>
          </w:p>
        </w:tc>
        <w:tc>
          <w:tcPr>
            <w:tcW w:w="1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37D91">
            <w:pPr>
              <w:pStyle w:val="25"/>
              <w:bidi w:val="0"/>
              <w:rPr>
                <w:rFonts w:hint="default"/>
                <w:lang w:val="en-US" w:eastAsia="zh-CN"/>
              </w:rPr>
            </w:pPr>
            <w:r>
              <w:rPr>
                <w:rFonts w:hint="eastAsia"/>
                <w:lang w:val="en-US" w:eastAsia="zh-CN"/>
              </w:rPr>
              <w:t>国债中央补助资金</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734AD">
            <w:pPr>
              <w:pStyle w:val="25"/>
              <w:bidi w:val="0"/>
              <w:rPr>
                <w:rFonts w:hint="default"/>
                <w:lang w:val="en-US" w:eastAsia="zh-CN"/>
              </w:rPr>
            </w:pPr>
            <w:r>
              <w:rPr>
                <w:rFonts w:hint="eastAsia"/>
                <w:lang w:val="en-US" w:eastAsia="zh-CN"/>
              </w:rPr>
              <w:t>47548.00</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46203">
            <w:pPr>
              <w:pStyle w:val="25"/>
              <w:bidi w:val="0"/>
              <w:rPr>
                <w:rFonts w:hint="default"/>
                <w:lang w:val="en-US" w:eastAsia="zh-CN"/>
              </w:rPr>
            </w:pPr>
            <w:r>
              <w:rPr>
                <w:rFonts w:hint="eastAsia"/>
                <w:lang w:val="en-US" w:eastAsia="zh-CN"/>
              </w:rPr>
              <w:t>47548.00</w:t>
            </w:r>
          </w:p>
        </w:tc>
        <w:tc>
          <w:tcPr>
            <w:tcW w:w="8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CFA4E">
            <w:pPr>
              <w:pStyle w:val="25"/>
              <w:bidi w:val="0"/>
              <w:rPr>
                <w:rFonts w:hint="default"/>
                <w:lang w:val="en-US" w:eastAsia="zh-CN"/>
              </w:rPr>
            </w:pPr>
            <w:r>
              <w:rPr>
                <w:rFonts w:hint="eastAsia"/>
                <w:lang w:val="en-US" w:eastAsia="zh-CN"/>
              </w:rPr>
              <w:t>28340.67</w:t>
            </w:r>
          </w:p>
        </w:tc>
        <w:tc>
          <w:tcPr>
            <w:tcW w:w="9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BB19D">
            <w:pPr>
              <w:pStyle w:val="25"/>
              <w:bidi w:val="0"/>
              <w:rPr>
                <w:rFonts w:hint="default"/>
                <w:lang w:val="en-US" w:eastAsia="zh-CN"/>
              </w:rPr>
            </w:pPr>
            <w:r>
              <w:rPr>
                <w:rFonts w:hint="eastAsia"/>
                <w:lang w:val="en-US" w:eastAsia="zh-CN"/>
              </w:rPr>
              <w:t>59.60%</w:t>
            </w:r>
          </w:p>
        </w:tc>
      </w:tr>
      <w:tr w14:paraId="194CA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85834">
            <w:pPr>
              <w:pStyle w:val="25"/>
              <w:bidi w:val="0"/>
              <w:rPr>
                <w:rFonts w:hint="default"/>
                <w:lang w:val="en-US" w:eastAsia="zh-CN"/>
              </w:rPr>
            </w:pPr>
            <w:r>
              <w:rPr>
                <w:rFonts w:hint="default"/>
                <w:lang w:val="en-US" w:eastAsia="zh-CN"/>
              </w:rPr>
              <w:t>1.2</w:t>
            </w:r>
          </w:p>
        </w:tc>
        <w:tc>
          <w:tcPr>
            <w:tcW w:w="1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657C2">
            <w:pPr>
              <w:pStyle w:val="25"/>
              <w:bidi w:val="0"/>
              <w:rPr>
                <w:rFonts w:hint="default"/>
                <w:lang w:val="en-US" w:eastAsia="zh-CN"/>
              </w:rPr>
            </w:pPr>
            <w:r>
              <w:rPr>
                <w:rFonts w:hint="eastAsia"/>
                <w:lang w:val="en-US" w:eastAsia="zh-CN"/>
              </w:rPr>
              <w:t>省级补助资金</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5D378">
            <w:pPr>
              <w:pStyle w:val="25"/>
              <w:bidi w:val="0"/>
              <w:rPr>
                <w:rFonts w:hint="default"/>
                <w:lang w:val="en-US" w:eastAsia="zh-CN"/>
              </w:rPr>
            </w:pPr>
            <w:r>
              <w:rPr>
                <w:rFonts w:hint="eastAsia"/>
                <w:lang w:val="en-US" w:eastAsia="zh-CN"/>
              </w:rPr>
              <w:t>2377.40</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04FA0">
            <w:pPr>
              <w:pStyle w:val="25"/>
              <w:bidi w:val="0"/>
              <w:rPr>
                <w:rFonts w:hint="default"/>
                <w:lang w:val="en-US" w:eastAsia="zh-CN"/>
              </w:rPr>
            </w:pPr>
            <w:r>
              <w:rPr>
                <w:rFonts w:hint="default"/>
                <w:lang w:val="en-US" w:eastAsia="zh-CN"/>
              </w:rPr>
              <w:t>1188.70</w:t>
            </w:r>
          </w:p>
        </w:tc>
        <w:tc>
          <w:tcPr>
            <w:tcW w:w="8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7A34E">
            <w:pPr>
              <w:pStyle w:val="25"/>
              <w:bidi w:val="0"/>
              <w:rPr>
                <w:rFonts w:hint="default"/>
                <w:lang w:val="en-US" w:eastAsia="zh-CN"/>
              </w:rPr>
            </w:pPr>
            <w:r>
              <w:rPr>
                <w:rFonts w:hint="eastAsia"/>
                <w:lang w:val="en-US" w:eastAsia="zh-CN"/>
              </w:rPr>
              <w:t>0</w:t>
            </w:r>
          </w:p>
        </w:tc>
        <w:tc>
          <w:tcPr>
            <w:tcW w:w="9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7972FC">
            <w:pPr>
              <w:pStyle w:val="25"/>
              <w:bidi w:val="0"/>
              <w:rPr>
                <w:rFonts w:hint="eastAsia"/>
                <w:lang w:val="en-US" w:eastAsia="zh-CN"/>
              </w:rPr>
            </w:pPr>
            <w:r>
              <w:rPr>
                <w:rFonts w:hint="eastAsia"/>
                <w:lang w:val="en-US" w:eastAsia="zh-CN"/>
              </w:rPr>
              <w:t>0.00%</w:t>
            </w:r>
          </w:p>
        </w:tc>
      </w:tr>
      <w:tr w14:paraId="76106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57FD05">
            <w:pPr>
              <w:pStyle w:val="25"/>
              <w:bidi w:val="0"/>
              <w:rPr>
                <w:rFonts w:hint="default"/>
                <w:lang w:val="en-US" w:eastAsia="zh-CN"/>
              </w:rPr>
            </w:pPr>
            <w:r>
              <w:rPr>
                <w:rFonts w:hint="default"/>
                <w:lang w:val="en-US" w:eastAsia="zh-CN"/>
              </w:rPr>
              <w:t>1.3</w:t>
            </w:r>
          </w:p>
        </w:tc>
        <w:tc>
          <w:tcPr>
            <w:tcW w:w="11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429A7">
            <w:pPr>
              <w:pStyle w:val="25"/>
              <w:bidi w:val="0"/>
              <w:rPr>
                <w:rFonts w:hint="default"/>
                <w:lang w:val="en-US" w:eastAsia="zh-CN"/>
              </w:rPr>
            </w:pPr>
            <w:r>
              <w:rPr>
                <w:rFonts w:hint="eastAsia"/>
                <w:lang w:val="en-US" w:eastAsia="zh-CN"/>
              </w:rPr>
              <w:t>市级配套资金</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BEFBB">
            <w:pPr>
              <w:pStyle w:val="25"/>
              <w:bidi w:val="0"/>
              <w:rPr>
                <w:rFonts w:hint="default"/>
                <w:lang w:val="en-US" w:eastAsia="zh-CN"/>
              </w:rPr>
            </w:pPr>
            <w:r>
              <w:rPr>
                <w:rFonts w:hint="eastAsia"/>
                <w:lang w:val="en-US" w:eastAsia="zh-CN"/>
              </w:rPr>
              <w:t>9510.60</w:t>
            </w:r>
          </w:p>
        </w:tc>
        <w:tc>
          <w:tcPr>
            <w:tcW w:w="7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4E0E9">
            <w:pPr>
              <w:pStyle w:val="25"/>
              <w:bidi w:val="0"/>
              <w:rPr>
                <w:rFonts w:hint="default"/>
                <w:lang w:val="en-US" w:eastAsia="zh-CN"/>
              </w:rPr>
            </w:pPr>
            <w:r>
              <w:rPr>
                <w:rFonts w:hint="default"/>
                <w:lang w:val="en-US" w:eastAsia="zh-CN"/>
              </w:rPr>
              <w:t>1263.30</w:t>
            </w:r>
          </w:p>
        </w:tc>
        <w:tc>
          <w:tcPr>
            <w:tcW w:w="8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249EB">
            <w:pPr>
              <w:pStyle w:val="25"/>
              <w:bidi w:val="0"/>
              <w:rPr>
                <w:rFonts w:hint="default"/>
                <w:lang w:val="en-US" w:eastAsia="zh-CN"/>
              </w:rPr>
            </w:pPr>
            <w:r>
              <w:rPr>
                <w:rFonts w:hint="eastAsia"/>
                <w:lang w:val="en-US" w:eastAsia="zh-CN"/>
              </w:rPr>
              <w:t>7.00</w:t>
            </w:r>
          </w:p>
        </w:tc>
        <w:tc>
          <w:tcPr>
            <w:tcW w:w="9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F0378">
            <w:pPr>
              <w:pStyle w:val="25"/>
              <w:bidi w:val="0"/>
              <w:rPr>
                <w:rFonts w:hint="eastAsia"/>
                <w:lang w:val="en-US" w:eastAsia="zh-CN"/>
              </w:rPr>
            </w:pPr>
            <w:r>
              <w:rPr>
                <w:rFonts w:hint="eastAsia"/>
                <w:lang w:val="en-US" w:eastAsia="zh-CN"/>
              </w:rPr>
              <w:t>0.55%</w:t>
            </w:r>
          </w:p>
        </w:tc>
      </w:tr>
    </w:tbl>
    <w:p w14:paraId="49779A63">
      <w:pPr>
        <w:pStyle w:val="5"/>
        <w:ind w:firstLine="643"/>
        <w:rPr>
          <w:rFonts w:hint="eastAsia"/>
          <w:color w:val="auto"/>
        </w:rPr>
      </w:pPr>
      <w:r>
        <w:rPr>
          <w:rFonts w:hint="eastAsia"/>
          <w:color w:val="auto"/>
        </w:rPr>
        <w:t>项目资金</w:t>
      </w:r>
      <w:r>
        <w:rPr>
          <w:rFonts w:hint="eastAsia"/>
          <w:color w:val="auto"/>
          <w:lang w:val="en-US" w:eastAsia="zh-CN"/>
        </w:rPr>
        <w:t>支出情况</w:t>
      </w:r>
    </w:p>
    <w:p w14:paraId="0E3C65FB">
      <w:pPr>
        <w:ind w:firstLine="640"/>
        <w:rPr>
          <w:color w:val="auto"/>
        </w:rPr>
        <w:sectPr>
          <w:footerReference r:id="rId5" w:type="default"/>
          <w:pgSz w:w="11906" w:h="16838"/>
          <w:pgMar w:top="1440" w:right="1800" w:bottom="1440" w:left="1800" w:header="851" w:footer="992" w:gutter="0"/>
          <w:pgNumType w:fmt="numberInDash" w:start="1"/>
          <w:cols w:space="425" w:num="1"/>
          <w:docGrid w:type="lines" w:linePitch="312" w:charSpace="0"/>
        </w:sectPr>
      </w:pPr>
      <w:r>
        <w:rPr>
          <w:color w:val="auto"/>
        </w:rPr>
        <w:t>本项目实际支</w:t>
      </w:r>
      <w:r>
        <w:rPr>
          <w:rFonts w:hint="eastAsia"/>
          <w:color w:val="auto"/>
          <w:lang w:val="en-US" w:eastAsia="zh-CN"/>
        </w:rPr>
        <w:t>出</w:t>
      </w:r>
      <w:r>
        <w:rPr>
          <w:color w:val="auto"/>
        </w:rPr>
        <w:t>资金</w:t>
      </w:r>
      <w:r>
        <w:rPr>
          <w:rFonts w:hint="eastAsia"/>
          <w:color w:val="auto"/>
          <w:lang w:val="en-US" w:eastAsia="zh-CN"/>
        </w:rPr>
        <w:t>28347.67</w:t>
      </w:r>
      <w:r>
        <w:rPr>
          <w:color w:val="auto"/>
        </w:rPr>
        <w:t>万元，</w:t>
      </w:r>
      <w:r>
        <w:rPr>
          <w:rFonts w:hint="eastAsia"/>
          <w:color w:val="auto"/>
          <w:lang w:val="en-US" w:eastAsia="zh-CN"/>
        </w:rPr>
        <w:t>2024年预算执行率为56.70%</w:t>
      </w:r>
      <w:r>
        <w:rPr>
          <w:color w:val="auto"/>
        </w:rPr>
        <w:t>（预算执行率=（实际支出资金/预算批复金额）*100%）。项目资金主要用于支付建设</w:t>
      </w:r>
      <w:r>
        <w:rPr>
          <w:rFonts w:hint="eastAsia"/>
          <w:color w:val="auto"/>
          <w:lang w:eastAsia="zh-CN"/>
        </w:rPr>
        <w:t>四支渠（新华路-南泄洪渠）新建工程</w:t>
      </w:r>
      <w:r>
        <w:rPr>
          <w:color w:val="auto"/>
        </w:rPr>
        <w:t>费用</w:t>
      </w:r>
      <w:r>
        <w:rPr>
          <w:rFonts w:hint="eastAsia"/>
          <w:color w:val="auto"/>
          <w:lang w:val="en-US" w:eastAsia="zh-CN"/>
        </w:rPr>
        <w:t>28347.67</w:t>
      </w:r>
      <w:r>
        <w:rPr>
          <w:color w:val="auto"/>
        </w:rPr>
        <w:t>万元。</w:t>
      </w:r>
    </w:p>
    <w:p w14:paraId="33DC6EBF">
      <w:pPr>
        <w:pStyle w:val="3"/>
        <w:ind w:firstLine="643"/>
        <w:rPr>
          <w:color w:val="auto"/>
        </w:rPr>
      </w:pPr>
      <w:r>
        <w:rPr>
          <w:color w:val="auto"/>
        </w:rPr>
        <w:t>项目预期绩效目标</w:t>
      </w:r>
    </w:p>
    <w:p w14:paraId="224056AB">
      <w:pPr>
        <w:pStyle w:val="4"/>
        <w:ind w:firstLine="643"/>
        <w:rPr>
          <w:color w:val="auto"/>
        </w:rPr>
      </w:pPr>
      <w:r>
        <w:rPr>
          <w:rFonts w:hint="default"/>
          <w:color w:val="auto"/>
        </w:rPr>
        <w:t>总目标</w:t>
      </w:r>
    </w:p>
    <w:p w14:paraId="672D2672">
      <w:pPr>
        <w:ind w:firstLine="640"/>
        <w:rPr>
          <w:rFonts w:hint="eastAsia" w:eastAsiaTheme="minorEastAsia"/>
          <w:color w:val="auto"/>
        </w:rPr>
      </w:pPr>
      <w:r>
        <w:rPr>
          <w:color w:val="auto"/>
        </w:rPr>
        <w:t>项目整体预期</w:t>
      </w:r>
      <w:r>
        <w:rPr>
          <w:rFonts w:hint="eastAsia"/>
          <w:color w:val="auto"/>
        </w:rPr>
        <w:t>总目标：通过建设5.1公里四支渠（新华路-南泄洪渠），提升石家庄市区排水防涝能力。</w:t>
      </w:r>
    </w:p>
    <w:p w14:paraId="226CA85B">
      <w:pPr>
        <w:pStyle w:val="4"/>
        <w:ind w:firstLine="643"/>
        <w:rPr>
          <w:color w:val="auto"/>
        </w:rPr>
      </w:pPr>
      <w:r>
        <w:rPr>
          <w:rFonts w:hint="default"/>
          <w:color w:val="auto"/>
        </w:rPr>
        <w:t>阶段性（当年）绩效目标</w:t>
      </w:r>
    </w:p>
    <w:p w14:paraId="72D65520">
      <w:pPr>
        <w:ind w:firstLine="640"/>
        <w:rPr>
          <w:rFonts w:hint="eastAsia"/>
          <w:color w:val="auto"/>
        </w:rPr>
      </w:pPr>
      <w:r>
        <w:rPr>
          <w:rFonts w:hint="eastAsia"/>
          <w:color w:val="auto"/>
        </w:rPr>
        <w:t>项目年度绩效目标：通过新建四支渠（新华路-南泄洪渠）工程，提升石家庄市区排水防涝能力。</w:t>
      </w:r>
    </w:p>
    <w:p w14:paraId="73954D96">
      <w:pPr>
        <w:ind w:firstLine="640"/>
        <w:rPr>
          <w:rFonts w:hint="eastAsia"/>
          <w:color w:val="auto"/>
        </w:rPr>
      </w:pPr>
      <w:r>
        <w:rPr>
          <w:color w:val="auto"/>
        </w:rPr>
        <w:t>1）项目产出目标</w:t>
      </w:r>
    </w:p>
    <w:p w14:paraId="6302D992">
      <w:pPr>
        <w:ind w:firstLine="640"/>
        <w:rPr>
          <w:rFonts w:hint="eastAsia"/>
          <w:color w:val="auto"/>
        </w:rPr>
      </w:pPr>
      <w:r>
        <w:rPr>
          <w:color w:val="auto"/>
        </w:rPr>
        <w:t>①数量指标</w:t>
      </w:r>
    </w:p>
    <w:p w14:paraId="240BEDC3">
      <w:pPr>
        <w:ind w:firstLine="640"/>
        <w:rPr>
          <w:rFonts w:hint="eastAsia"/>
          <w:color w:val="auto"/>
        </w:rPr>
      </w:pPr>
      <w:r>
        <w:rPr>
          <w:color w:val="auto"/>
        </w:rPr>
        <w:t>“</w:t>
      </w:r>
      <w:r>
        <w:rPr>
          <w:rFonts w:hint="eastAsia"/>
          <w:color w:val="auto"/>
        </w:rPr>
        <w:t>新建排水渠</w:t>
      </w:r>
      <w:r>
        <w:rPr>
          <w:color w:val="auto"/>
        </w:rPr>
        <w:t>”指标，新建排水渠</w:t>
      </w:r>
      <w:r>
        <w:rPr>
          <w:rFonts w:hint="eastAsia"/>
          <w:color w:val="auto"/>
          <w:lang w:val="en-US" w:eastAsia="zh-CN"/>
        </w:rPr>
        <w:t>长度</w:t>
      </w:r>
      <w:r>
        <w:rPr>
          <w:color w:val="auto"/>
        </w:rPr>
        <w:t>预期指标值为</w:t>
      </w:r>
      <w:r>
        <w:rPr>
          <w:rFonts w:hint="eastAsia"/>
          <w:color w:val="auto"/>
        </w:rPr>
        <w:t>“5.10公里”</w:t>
      </w:r>
      <w:r>
        <w:rPr>
          <w:color w:val="auto"/>
        </w:rPr>
        <w:t>；</w:t>
      </w:r>
    </w:p>
    <w:p w14:paraId="2BCCF640">
      <w:pPr>
        <w:ind w:firstLine="640"/>
        <w:rPr>
          <w:rFonts w:hint="eastAsia"/>
          <w:color w:val="auto"/>
        </w:rPr>
      </w:pPr>
      <w:r>
        <w:rPr>
          <w:color w:val="auto"/>
        </w:rPr>
        <w:t>②质量指标</w:t>
      </w:r>
    </w:p>
    <w:p w14:paraId="00417FD1">
      <w:pPr>
        <w:ind w:firstLine="640"/>
        <w:rPr>
          <w:rFonts w:hint="default"/>
          <w:color w:val="auto"/>
          <w:lang w:val="en-US"/>
        </w:rPr>
      </w:pPr>
      <w:r>
        <w:rPr>
          <w:color w:val="auto"/>
        </w:rPr>
        <w:t>“</w:t>
      </w:r>
      <w:r>
        <w:rPr>
          <w:rFonts w:hint="eastAsia"/>
          <w:color w:val="auto"/>
        </w:rPr>
        <w:t>交（竣）工验收合格率</w:t>
      </w:r>
      <w:r>
        <w:rPr>
          <w:color w:val="auto"/>
        </w:rPr>
        <w:t>”指标，质量验收合格率预期指标值为</w:t>
      </w:r>
      <w:r>
        <w:rPr>
          <w:rFonts w:hint="eastAsia"/>
          <w:color w:val="auto"/>
        </w:rPr>
        <w:t>“=100.00%”</w:t>
      </w:r>
      <w:r>
        <w:rPr>
          <w:color w:val="auto"/>
        </w:rPr>
        <w:t>；</w:t>
      </w:r>
      <w:r>
        <w:rPr>
          <w:rFonts w:hint="eastAsia"/>
          <w:color w:val="auto"/>
          <w:lang w:eastAsia="zh-CN"/>
        </w:rPr>
        <w:t>“</w:t>
      </w:r>
      <w:r>
        <w:rPr>
          <w:rFonts w:hint="eastAsia"/>
          <w:color w:val="auto"/>
        </w:rPr>
        <w:t>项目设计变更率</w:t>
      </w:r>
      <w:r>
        <w:rPr>
          <w:rFonts w:hint="eastAsia"/>
          <w:color w:val="auto"/>
          <w:lang w:eastAsia="zh-CN"/>
        </w:rPr>
        <w:t>”</w:t>
      </w:r>
      <w:r>
        <w:rPr>
          <w:rFonts w:hint="eastAsia"/>
          <w:color w:val="auto"/>
          <w:lang w:val="en-US" w:eastAsia="zh-CN"/>
        </w:rPr>
        <w:t>指标，项目设计变更情况≤10.00%。</w:t>
      </w:r>
    </w:p>
    <w:p w14:paraId="564BE6F6">
      <w:pPr>
        <w:ind w:firstLine="640"/>
        <w:rPr>
          <w:rFonts w:hint="eastAsia"/>
          <w:color w:val="auto"/>
        </w:rPr>
      </w:pPr>
      <w:r>
        <w:rPr>
          <w:color w:val="auto"/>
        </w:rPr>
        <w:t>③时效指标</w:t>
      </w:r>
    </w:p>
    <w:p w14:paraId="1C5652DF">
      <w:pPr>
        <w:ind w:firstLine="640"/>
        <w:rPr>
          <w:rFonts w:hint="default"/>
          <w:color w:val="auto"/>
          <w:lang w:val="en-US"/>
        </w:rPr>
      </w:pPr>
      <w:r>
        <w:rPr>
          <w:rFonts w:hint="eastAsia"/>
          <w:color w:val="auto"/>
          <w:lang w:eastAsia="zh-CN"/>
        </w:rPr>
        <w:t>“</w:t>
      </w:r>
      <w:r>
        <w:rPr>
          <w:rFonts w:hint="eastAsia"/>
          <w:color w:val="auto"/>
        </w:rPr>
        <w:t>工程按时开工率</w:t>
      </w:r>
      <w:r>
        <w:rPr>
          <w:rFonts w:hint="eastAsia"/>
          <w:color w:val="auto"/>
          <w:lang w:eastAsia="zh-CN"/>
        </w:rPr>
        <w:t>”</w:t>
      </w:r>
      <w:r>
        <w:rPr>
          <w:rFonts w:hint="eastAsia"/>
          <w:color w:val="auto"/>
          <w:lang w:val="en-US" w:eastAsia="zh-CN"/>
        </w:rPr>
        <w:t>指标，项目按时开工个数占项目总个数百分比为=</w:t>
      </w:r>
      <w:r>
        <w:rPr>
          <w:rFonts w:hint="eastAsia"/>
          <w:color w:val="auto"/>
          <w:lang w:val="en-US" w:eastAsia="zh-CN"/>
        </w:rPr>
        <w:tab/>
      </w:r>
      <w:r>
        <w:rPr>
          <w:rFonts w:hint="eastAsia"/>
          <w:color w:val="auto"/>
          <w:lang w:val="en-US" w:eastAsia="zh-CN"/>
        </w:rPr>
        <w:t>100.00%。</w:t>
      </w:r>
    </w:p>
    <w:p w14:paraId="786DC62C">
      <w:pPr>
        <w:ind w:firstLine="640"/>
        <w:rPr>
          <w:rFonts w:hint="eastAsia"/>
          <w:color w:val="auto"/>
        </w:rPr>
      </w:pPr>
      <w:r>
        <w:rPr>
          <w:color w:val="auto"/>
        </w:rPr>
        <w:t>“</w:t>
      </w:r>
      <w:r>
        <w:rPr>
          <w:rFonts w:hint="eastAsia"/>
          <w:color w:val="auto"/>
        </w:rPr>
        <w:t>工程完成时间</w:t>
      </w:r>
      <w:r>
        <w:rPr>
          <w:color w:val="auto"/>
        </w:rPr>
        <w:t>”指标，</w:t>
      </w:r>
      <w:r>
        <w:rPr>
          <w:rFonts w:hint="eastAsia"/>
          <w:color w:val="auto"/>
        </w:rPr>
        <w:t>新建排水渠项目完成时间</w:t>
      </w:r>
      <w:r>
        <w:rPr>
          <w:color w:val="auto"/>
        </w:rPr>
        <w:t>预期指标值为</w:t>
      </w:r>
      <w:r>
        <w:rPr>
          <w:rFonts w:hint="eastAsia"/>
          <w:color w:val="auto"/>
        </w:rPr>
        <w:t>“2025年6月</w:t>
      </w:r>
      <w:r>
        <w:rPr>
          <w:rFonts w:hint="eastAsia"/>
          <w:color w:val="auto"/>
          <w:lang w:val="en-US" w:eastAsia="zh-CN"/>
        </w:rPr>
        <w:t>30日</w:t>
      </w:r>
      <w:r>
        <w:rPr>
          <w:rFonts w:hint="eastAsia"/>
          <w:color w:val="auto"/>
        </w:rPr>
        <w:t>”</w:t>
      </w:r>
      <w:r>
        <w:rPr>
          <w:color w:val="auto"/>
        </w:rPr>
        <w:t>；</w:t>
      </w:r>
    </w:p>
    <w:p w14:paraId="52E2BF00">
      <w:pPr>
        <w:ind w:firstLine="640"/>
        <w:rPr>
          <w:rFonts w:hint="eastAsia"/>
          <w:color w:val="auto"/>
        </w:rPr>
      </w:pPr>
      <w:r>
        <w:rPr>
          <w:color w:val="auto"/>
        </w:rPr>
        <w:t>④成本指标</w:t>
      </w:r>
    </w:p>
    <w:p w14:paraId="01F483C8">
      <w:pPr>
        <w:ind w:firstLine="640"/>
        <w:rPr>
          <w:rFonts w:hint="eastAsia"/>
          <w:color w:val="auto"/>
        </w:rPr>
      </w:pPr>
      <w:r>
        <w:rPr>
          <w:color w:val="auto"/>
        </w:rPr>
        <w:t>“</w:t>
      </w:r>
      <w:r>
        <w:rPr>
          <w:rFonts w:hint="eastAsia"/>
          <w:color w:val="auto"/>
        </w:rPr>
        <w:t>工程建设成本控制情况</w:t>
      </w:r>
      <w:r>
        <w:rPr>
          <w:color w:val="auto"/>
        </w:rPr>
        <w:t>”指标，</w:t>
      </w:r>
      <w:r>
        <w:rPr>
          <w:rFonts w:hint="eastAsia"/>
          <w:color w:val="auto"/>
        </w:rPr>
        <w:t>项目工程单位成本</w:t>
      </w:r>
      <w:r>
        <w:rPr>
          <w:color w:val="auto"/>
        </w:rPr>
        <w:t>预期指标值为</w:t>
      </w:r>
      <w:r>
        <w:rPr>
          <w:rFonts w:hint="eastAsia"/>
          <w:color w:val="auto"/>
        </w:rPr>
        <w:t>≤11654.10万元/公里</w:t>
      </w:r>
      <w:r>
        <w:rPr>
          <w:color w:val="auto"/>
        </w:rPr>
        <w:t>；</w:t>
      </w:r>
    </w:p>
    <w:p w14:paraId="03EEC30E">
      <w:pPr>
        <w:ind w:firstLine="640"/>
        <w:rPr>
          <w:rFonts w:hint="eastAsia"/>
          <w:color w:val="auto"/>
        </w:rPr>
      </w:pPr>
      <w:r>
        <w:rPr>
          <w:color w:val="auto"/>
        </w:rPr>
        <w:t>2）项目效益目标</w:t>
      </w:r>
    </w:p>
    <w:p w14:paraId="7D80FFCF">
      <w:pPr>
        <w:ind w:firstLine="640"/>
        <w:rPr>
          <w:color w:val="auto"/>
        </w:rPr>
      </w:pPr>
      <w:r>
        <w:rPr>
          <w:color w:val="auto"/>
        </w:rPr>
        <w:t>社会效益指标</w:t>
      </w:r>
      <w:r>
        <w:rPr>
          <w:rFonts w:hint="eastAsia"/>
          <w:color w:val="auto"/>
          <w:lang w:eastAsia="zh-CN"/>
        </w:rPr>
        <w:t>：</w:t>
      </w:r>
      <w:r>
        <w:rPr>
          <w:color w:val="auto"/>
        </w:rPr>
        <w:t>“</w:t>
      </w:r>
      <w:r>
        <w:rPr>
          <w:rFonts w:hint="eastAsia"/>
          <w:color w:val="auto"/>
        </w:rPr>
        <w:t>排涝能力提升率</w:t>
      </w:r>
      <w:r>
        <w:rPr>
          <w:color w:val="auto"/>
        </w:rPr>
        <w:t>”指标，</w:t>
      </w:r>
      <w:r>
        <w:rPr>
          <w:rFonts w:hint="eastAsia"/>
          <w:color w:val="auto"/>
        </w:rPr>
        <w:t>新建后排涝能力较之前提升百分比≥90%”</w:t>
      </w:r>
      <w:r>
        <w:rPr>
          <w:color w:val="auto"/>
        </w:rPr>
        <w:t>；</w:t>
      </w:r>
    </w:p>
    <w:p w14:paraId="4D0B040A">
      <w:pPr>
        <w:ind w:firstLine="640"/>
        <w:rPr>
          <w:rFonts w:hint="eastAsia"/>
          <w:color w:val="auto"/>
        </w:rPr>
      </w:pPr>
      <w:r>
        <w:rPr>
          <w:rFonts w:hint="eastAsia"/>
          <w:color w:val="auto"/>
          <w:lang w:val="en-US" w:eastAsia="zh-CN"/>
        </w:rPr>
        <w:t>可持续性指标：“</w:t>
      </w:r>
      <w:r>
        <w:rPr>
          <w:rFonts w:hint="eastAsia"/>
          <w:color w:val="auto"/>
        </w:rPr>
        <w:t>可持续使用时间</w:t>
      </w:r>
      <w:r>
        <w:rPr>
          <w:rFonts w:hint="eastAsia"/>
          <w:color w:val="auto"/>
          <w:lang w:val="en-US" w:eastAsia="zh-CN"/>
        </w:rPr>
        <w:t>”指标，工程建成后正常使用年限≥50年。</w:t>
      </w:r>
    </w:p>
    <w:p w14:paraId="309B365E">
      <w:pPr>
        <w:ind w:firstLine="640"/>
        <w:rPr>
          <w:rFonts w:hint="eastAsia"/>
          <w:color w:val="auto"/>
        </w:rPr>
      </w:pPr>
      <w:r>
        <w:rPr>
          <w:color w:val="auto"/>
        </w:rPr>
        <w:t>3）相关满意度目标</w:t>
      </w:r>
    </w:p>
    <w:p w14:paraId="1E05C003">
      <w:pPr>
        <w:ind w:firstLine="640"/>
        <w:rPr>
          <w:rFonts w:hint="eastAsia"/>
          <w:color w:val="auto"/>
        </w:rPr>
      </w:pPr>
      <w:r>
        <w:rPr>
          <w:color w:val="auto"/>
        </w:rPr>
        <w:t>①满意度指标</w:t>
      </w:r>
    </w:p>
    <w:p w14:paraId="2FB5E285">
      <w:pPr>
        <w:ind w:firstLine="640"/>
        <w:rPr>
          <w:rFonts w:hint="eastAsia"/>
          <w:color w:val="auto"/>
        </w:rPr>
      </w:pPr>
      <w:r>
        <w:rPr>
          <w:color w:val="auto"/>
        </w:rPr>
        <w:t>“</w:t>
      </w:r>
      <w:r>
        <w:rPr>
          <w:rFonts w:hint="eastAsia"/>
          <w:color w:val="auto"/>
        </w:rPr>
        <w:t>受益群众满意度</w:t>
      </w:r>
      <w:r>
        <w:rPr>
          <w:color w:val="auto"/>
        </w:rPr>
        <w:t>”指标，随机调查问卷，对项目满意人数与调查总人数的比值预期指标值为</w:t>
      </w:r>
      <w:r>
        <w:rPr>
          <w:rFonts w:hint="eastAsia"/>
          <w:color w:val="auto"/>
        </w:rPr>
        <w:t>“≥</w:t>
      </w:r>
      <w:r>
        <w:rPr>
          <w:rFonts w:hint="eastAsia"/>
          <w:color w:val="auto"/>
          <w:lang w:val="en-US" w:eastAsia="zh-CN"/>
        </w:rPr>
        <w:t>90</w:t>
      </w:r>
      <w:r>
        <w:rPr>
          <w:rFonts w:hint="eastAsia"/>
          <w:color w:val="auto"/>
        </w:rPr>
        <w:t>.00%”。</w:t>
      </w:r>
    </w:p>
    <w:p w14:paraId="6A452912">
      <w:pPr>
        <w:pStyle w:val="2"/>
        <w:ind w:firstLine="643"/>
        <w:rPr>
          <w:rFonts w:hint="eastAsia"/>
          <w:color w:val="auto"/>
        </w:rPr>
      </w:pPr>
      <w:r>
        <w:rPr>
          <w:color w:val="auto"/>
        </w:rPr>
        <w:t>自评工作情况</w:t>
      </w:r>
    </w:p>
    <w:p w14:paraId="6B097E35">
      <w:pPr>
        <w:pStyle w:val="3"/>
        <w:rPr>
          <w:rFonts w:hint="eastAsia"/>
          <w:lang w:val="en-US" w:eastAsia="zh-CN"/>
        </w:rPr>
      </w:pPr>
      <w:r>
        <w:rPr>
          <w:rFonts w:hint="eastAsia"/>
          <w:lang w:val="en-US" w:eastAsia="zh-CN"/>
        </w:rPr>
        <w:t>自评的组织工作</w:t>
      </w:r>
    </w:p>
    <w:p w14:paraId="59706590">
      <w:pPr>
        <w:ind w:firstLine="640"/>
        <w:rPr>
          <w:color w:val="auto"/>
        </w:rPr>
      </w:pPr>
      <w:r>
        <w:rPr>
          <w:rFonts w:hint="eastAsia"/>
          <w:color w:val="auto"/>
        </w:rPr>
        <w:t>依据绩效考核实施办法，由本单位自行组织实施。遵循公平、公正、公开的原则，成立了项目绩效评价专项考核小组，事先制定绩效评价方案，根据预算绩效指标，通过收集整理政策文件、</w:t>
      </w:r>
      <w:r>
        <w:rPr>
          <w:rFonts w:hint="eastAsia" w:ascii="仿宋_GB2312" w:eastAsia="仿宋_GB2312"/>
          <w:color w:val="auto"/>
          <w:lang w:val="en-US" w:eastAsia="zh-CN"/>
        </w:rPr>
        <w:t>项目前期手续、预算执行情况</w:t>
      </w:r>
      <w:r>
        <w:rPr>
          <w:rFonts w:hint="eastAsia"/>
          <w:color w:val="auto"/>
        </w:rPr>
        <w:t>等相关资料，制定具体评价方案，对评价人员进行分组，工作落实到个人，对</w:t>
      </w:r>
      <w:r>
        <w:rPr>
          <w:rFonts w:hint="eastAsia" w:ascii="仿宋_GB2312" w:eastAsia="仿宋_GB2312"/>
          <w:color w:val="auto"/>
          <w:lang w:val="en-US" w:eastAsia="zh-CN"/>
        </w:rPr>
        <w:t>四支渠（新华路-南泄洪渠）新建工程</w:t>
      </w:r>
      <w:r>
        <w:rPr>
          <w:rFonts w:hint="eastAsia"/>
          <w:color w:val="auto"/>
        </w:rPr>
        <w:t>项目的情况进行审核，重点关注项目组织实施情况、资金管理使用情况、项目产生效益情况、受益对象满意度等环节。</w:t>
      </w:r>
    </w:p>
    <w:p w14:paraId="3AEA0EBD">
      <w:pPr>
        <w:pStyle w:val="4"/>
        <w:rPr>
          <w:rFonts w:hint="eastAsia"/>
          <w:lang w:val="en-US" w:eastAsia="zh-CN"/>
        </w:rPr>
      </w:pPr>
      <w:r>
        <w:rPr>
          <w:rFonts w:hint="eastAsia"/>
          <w:lang w:val="en-US" w:eastAsia="zh-CN"/>
        </w:rPr>
        <w:t>项目评价资料收集</w:t>
      </w:r>
    </w:p>
    <w:p w14:paraId="1F6575D4">
      <w:pPr>
        <w:ind w:firstLine="640"/>
        <w:rPr>
          <w:rFonts w:hint="eastAsia"/>
          <w:color w:val="auto"/>
          <w:lang w:val="en-US" w:eastAsia="zh-CN"/>
        </w:rPr>
      </w:pPr>
      <w:r>
        <w:rPr>
          <w:rFonts w:hint="default"/>
          <w:color w:val="auto"/>
          <w:lang w:val="en-US" w:eastAsia="zh-CN"/>
        </w:rPr>
        <w:t>项目绩效自评的资料收集涵盖了项目的各个阶段</w:t>
      </w:r>
      <w:r>
        <w:rPr>
          <w:rFonts w:hint="eastAsia" w:ascii="仿宋_GB2312" w:eastAsia="仿宋_GB2312"/>
          <w:color w:val="auto"/>
          <w:lang w:val="en-US" w:eastAsia="zh-CN"/>
        </w:rPr>
        <w:t>，具体资料包括</w:t>
      </w:r>
      <w:r>
        <w:rPr>
          <w:rFonts w:hint="eastAsia"/>
          <w:color w:val="auto"/>
          <w:lang w:val="en-US" w:eastAsia="zh-CN"/>
        </w:rPr>
        <w:t>：</w:t>
      </w:r>
      <w:r>
        <w:rPr>
          <w:rFonts w:hint="eastAsia" w:ascii="仿宋_GB2312" w:eastAsia="仿宋_GB2312"/>
          <w:color w:val="auto"/>
          <w:lang w:val="en-US" w:eastAsia="zh-CN"/>
        </w:rPr>
        <w:t>项目立项审批文件、可行性研究报告、招投标文件、施工合同、竣工验收报告、资金预算文件、支付凭证、绩效目标申报表、监理日志、质量检测报告、变更签证记录、安全台账等。</w:t>
      </w:r>
    </w:p>
    <w:p w14:paraId="39B13463">
      <w:pPr>
        <w:pStyle w:val="4"/>
        <w:rPr>
          <w:rFonts w:hint="eastAsia"/>
          <w:lang w:val="en-US" w:eastAsia="zh-CN"/>
        </w:rPr>
      </w:pPr>
      <w:r>
        <w:rPr>
          <w:rFonts w:hint="eastAsia"/>
          <w:lang w:val="en-US" w:eastAsia="zh-CN"/>
        </w:rPr>
        <w:t>评价过程</w:t>
      </w:r>
    </w:p>
    <w:p w14:paraId="7DD79C91">
      <w:pPr>
        <w:ind w:firstLine="640"/>
        <w:rPr>
          <w:rFonts w:hint="eastAsia"/>
          <w:color w:val="auto"/>
          <w:lang w:val="en-US" w:eastAsia="zh-CN"/>
        </w:rPr>
      </w:pPr>
      <w:r>
        <w:rPr>
          <w:rFonts w:hint="eastAsia" w:ascii="仿宋_GB2312" w:eastAsia="仿宋_GB2312"/>
          <w:color w:val="auto"/>
          <w:lang w:val="en-US" w:eastAsia="zh-CN"/>
        </w:rPr>
        <w:t>通过对照绩效目标表，梳理项目实际完成投资额、工程量、工期等核心数据，采用成本效益分析法，计算资金到位率、预算执行偏差率等指标。</w:t>
      </w:r>
    </w:p>
    <w:p w14:paraId="04720F41">
      <w:pPr>
        <w:ind w:firstLine="640"/>
        <w:rPr>
          <w:rFonts w:hint="eastAsia"/>
          <w:color w:val="auto"/>
          <w:lang w:val="en-US" w:eastAsia="zh-CN"/>
        </w:rPr>
      </w:pPr>
      <w:r>
        <w:rPr>
          <w:rFonts w:hint="eastAsia" w:ascii="仿宋_GB2312" w:eastAsia="仿宋_GB2312"/>
          <w:color w:val="auto"/>
          <w:lang w:val="en-US" w:eastAsia="zh-CN"/>
        </w:rPr>
        <w:t>撰写自评报告初稿，针对自评发现问题提出改进措施，并提交工作组审议。</w:t>
      </w:r>
    </w:p>
    <w:p w14:paraId="16B3F29C">
      <w:pPr>
        <w:pStyle w:val="4"/>
        <w:rPr>
          <w:rFonts w:hint="eastAsia"/>
        </w:rPr>
      </w:pPr>
      <w:r>
        <w:rPr>
          <w:rFonts w:hint="eastAsia"/>
          <w:lang w:val="en-US" w:eastAsia="zh-CN"/>
        </w:rPr>
        <w:t>评价工作管理组织</w:t>
      </w:r>
    </w:p>
    <w:p w14:paraId="1C1EF4E7">
      <w:pPr>
        <w:ind w:firstLine="640"/>
        <w:rPr>
          <w:rFonts w:hint="eastAsia" w:ascii="仿宋_GB2312" w:eastAsia="仿宋_GB2312"/>
          <w:color w:val="auto"/>
          <w:lang w:val="en-US" w:eastAsia="zh-CN"/>
        </w:rPr>
      </w:pPr>
      <w:r>
        <w:rPr>
          <w:rFonts w:hint="eastAsia" w:ascii="仿宋_GB2312" w:eastAsia="仿宋_GB2312"/>
          <w:color w:val="auto"/>
          <w:lang w:val="en-US" w:eastAsia="zh-CN"/>
        </w:rPr>
        <w:t>成立专项评价工作组成员构成：由业务科室牵头，联合财务部门、其他相关科室等组成评价工作组。</w:t>
      </w:r>
    </w:p>
    <w:p w14:paraId="6796E880">
      <w:pPr>
        <w:ind w:firstLine="640"/>
        <w:rPr>
          <w:rFonts w:hint="eastAsia"/>
          <w:color w:val="auto"/>
        </w:rPr>
      </w:pPr>
      <w:r>
        <w:rPr>
          <w:color w:val="auto"/>
        </w:rPr>
        <w:t>组长：负责统筹协调自评工作。</w:t>
      </w:r>
    </w:p>
    <w:p w14:paraId="2DB09BCA">
      <w:pPr>
        <w:ind w:firstLine="640"/>
        <w:rPr>
          <w:rFonts w:hint="eastAsia"/>
          <w:color w:val="auto"/>
        </w:rPr>
      </w:pPr>
      <w:r>
        <w:rPr>
          <w:color w:val="auto"/>
        </w:rPr>
        <w:t>副组长：协助组长，分管数据核查与质量控制。</w:t>
      </w:r>
    </w:p>
    <w:p w14:paraId="0E3D8766">
      <w:pPr>
        <w:ind w:firstLine="640"/>
        <w:rPr>
          <w:b/>
          <w:bCs/>
          <w:color w:val="auto"/>
        </w:rPr>
      </w:pPr>
      <w:r>
        <w:rPr>
          <w:color w:val="auto"/>
        </w:rPr>
        <w:t>组员：按职责分工负责资料收集、数据分析、实地调研等</w:t>
      </w:r>
      <w:r>
        <w:rPr>
          <w:b/>
          <w:bCs/>
          <w:color w:val="auto"/>
        </w:rPr>
        <w:t>。</w:t>
      </w:r>
    </w:p>
    <w:tbl>
      <w:tblPr>
        <w:tblStyle w:val="20"/>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52"/>
        <w:gridCol w:w="3968"/>
      </w:tblGrid>
      <w:tr w14:paraId="3B710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671" w:type="pct"/>
            <w:vAlign w:val="center"/>
          </w:tcPr>
          <w:p w14:paraId="5EFFA831">
            <w:pPr>
              <w:pStyle w:val="25"/>
              <w:bidi w:val="0"/>
              <w:rPr>
                <w:rFonts w:hint="eastAsia"/>
              </w:rPr>
            </w:pPr>
            <w:r>
              <w:rPr>
                <w:rFonts w:hint="eastAsia"/>
              </w:rPr>
              <w:t>工作组成员姓名</w:t>
            </w:r>
          </w:p>
        </w:tc>
        <w:tc>
          <w:tcPr>
            <w:tcW w:w="2328" w:type="pct"/>
            <w:vAlign w:val="center"/>
          </w:tcPr>
          <w:p w14:paraId="25F17EAE">
            <w:pPr>
              <w:pStyle w:val="25"/>
              <w:bidi w:val="0"/>
              <w:rPr>
                <w:rFonts w:hint="eastAsia"/>
              </w:rPr>
            </w:pPr>
            <w:r>
              <w:rPr>
                <w:rFonts w:hint="eastAsia"/>
              </w:rPr>
              <w:t>职责</w:t>
            </w:r>
          </w:p>
        </w:tc>
      </w:tr>
      <w:tr w14:paraId="06DA4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671" w:type="pct"/>
            <w:vAlign w:val="center"/>
          </w:tcPr>
          <w:p w14:paraId="371CDE7D">
            <w:pPr>
              <w:pStyle w:val="25"/>
              <w:bidi w:val="0"/>
              <w:rPr>
                <w:rFonts w:hint="eastAsia"/>
                <w:lang w:val="en-US" w:eastAsia="zh-CN"/>
              </w:rPr>
            </w:pPr>
            <w:r>
              <w:rPr>
                <w:rFonts w:hint="eastAsia"/>
                <w:lang w:val="en-US" w:eastAsia="zh-CN"/>
              </w:rPr>
              <w:t>李永青</w:t>
            </w:r>
          </w:p>
        </w:tc>
        <w:tc>
          <w:tcPr>
            <w:tcW w:w="2328" w:type="pct"/>
            <w:vAlign w:val="center"/>
          </w:tcPr>
          <w:p w14:paraId="1DF521E7">
            <w:pPr>
              <w:pStyle w:val="25"/>
              <w:bidi w:val="0"/>
              <w:rPr>
                <w:rFonts w:hint="eastAsia"/>
              </w:rPr>
            </w:pPr>
            <w:r>
              <w:rPr>
                <w:rFonts w:hint="eastAsia"/>
              </w:rPr>
              <w:t>评价组组长</w:t>
            </w:r>
          </w:p>
        </w:tc>
      </w:tr>
      <w:tr w14:paraId="7094B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671" w:type="pct"/>
            <w:vAlign w:val="center"/>
          </w:tcPr>
          <w:p w14:paraId="65A104B1">
            <w:pPr>
              <w:pStyle w:val="25"/>
              <w:bidi w:val="0"/>
              <w:rPr>
                <w:rFonts w:hint="eastAsia"/>
                <w:lang w:val="en-US" w:eastAsia="zh-CN"/>
              </w:rPr>
            </w:pPr>
            <w:r>
              <w:rPr>
                <w:rFonts w:hint="eastAsia"/>
                <w:lang w:val="en-US" w:eastAsia="zh-CN"/>
              </w:rPr>
              <w:t>亓鹏</w:t>
            </w:r>
          </w:p>
        </w:tc>
        <w:tc>
          <w:tcPr>
            <w:tcW w:w="2328" w:type="pct"/>
            <w:vAlign w:val="center"/>
          </w:tcPr>
          <w:p w14:paraId="6E53AAF5">
            <w:pPr>
              <w:pStyle w:val="25"/>
              <w:bidi w:val="0"/>
              <w:rPr>
                <w:rFonts w:hint="eastAsia"/>
                <w:lang w:eastAsia="zh-CN"/>
              </w:rPr>
            </w:pPr>
            <w:r>
              <w:rPr>
                <w:rFonts w:hint="eastAsia"/>
              </w:rPr>
              <w:t>评价组</w:t>
            </w:r>
            <w:r>
              <w:rPr>
                <w:rFonts w:hint="eastAsia"/>
                <w:lang w:val="en-US" w:eastAsia="zh-CN"/>
              </w:rPr>
              <w:t>副组长</w:t>
            </w:r>
          </w:p>
        </w:tc>
      </w:tr>
      <w:tr w14:paraId="7F10F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671" w:type="pct"/>
            <w:vAlign w:val="center"/>
          </w:tcPr>
          <w:p w14:paraId="5D1BE51E">
            <w:pPr>
              <w:pStyle w:val="25"/>
              <w:bidi w:val="0"/>
              <w:rPr>
                <w:rFonts w:hint="eastAsia"/>
                <w:lang w:val="en-US" w:eastAsia="zh-CN"/>
              </w:rPr>
            </w:pPr>
            <w:r>
              <w:rPr>
                <w:rFonts w:hint="eastAsia"/>
                <w:lang w:val="en-US" w:eastAsia="zh-CN"/>
              </w:rPr>
              <w:t>王辉</w:t>
            </w:r>
          </w:p>
        </w:tc>
        <w:tc>
          <w:tcPr>
            <w:tcW w:w="2328" w:type="pct"/>
            <w:vAlign w:val="center"/>
          </w:tcPr>
          <w:p w14:paraId="6B60C1C3">
            <w:pPr>
              <w:pStyle w:val="25"/>
              <w:bidi w:val="0"/>
              <w:rPr>
                <w:rFonts w:hint="eastAsia"/>
              </w:rPr>
            </w:pPr>
            <w:r>
              <w:rPr>
                <w:rFonts w:hint="eastAsia"/>
              </w:rPr>
              <w:t>评价组成员</w:t>
            </w:r>
          </w:p>
        </w:tc>
      </w:tr>
      <w:tr w14:paraId="00EEB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671" w:type="pct"/>
            <w:vAlign w:val="center"/>
          </w:tcPr>
          <w:p w14:paraId="53F94ECE">
            <w:pPr>
              <w:pStyle w:val="25"/>
              <w:bidi w:val="0"/>
              <w:rPr>
                <w:rFonts w:hint="eastAsia"/>
                <w:lang w:val="en-US" w:eastAsia="zh-CN"/>
              </w:rPr>
            </w:pPr>
            <w:r>
              <w:rPr>
                <w:rFonts w:hint="eastAsia"/>
                <w:lang w:val="en-US" w:eastAsia="zh-CN"/>
              </w:rPr>
              <w:t>白雪锋</w:t>
            </w:r>
          </w:p>
        </w:tc>
        <w:tc>
          <w:tcPr>
            <w:tcW w:w="2328" w:type="pct"/>
            <w:vAlign w:val="center"/>
          </w:tcPr>
          <w:p w14:paraId="445D5238">
            <w:pPr>
              <w:pStyle w:val="25"/>
              <w:bidi w:val="0"/>
              <w:rPr>
                <w:rFonts w:hint="eastAsia"/>
              </w:rPr>
            </w:pPr>
            <w:r>
              <w:rPr>
                <w:rFonts w:hint="eastAsia"/>
              </w:rPr>
              <w:t>评价组成员</w:t>
            </w:r>
          </w:p>
        </w:tc>
      </w:tr>
    </w:tbl>
    <w:p w14:paraId="6E290C80">
      <w:pPr>
        <w:pStyle w:val="3"/>
        <w:ind w:firstLine="643"/>
        <w:rPr>
          <w:color w:val="auto"/>
        </w:rPr>
      </w:pPr>
      <w:r>
        <w:rPr>
          <w:color w:val="auto"/>
        </w:rPr>
        <w:t>自评方法与过程</w:t>
      </w:r>
    </w:p>
    <w:p w14:paraId="018B961A">
      <w:pPr>
        <w:pStyle w:val="4"/>
        <w:rPr>
          <w:rFonts w:hint="default"/>
          <w:lang w:val="en-US" w:eastAsia="zh-CN"/>
        </w:rPr>
      </w:pPr>
      <w:r>
        <w:rPr>
          <w:rFonts w:hint="eastAsia"/>
          <w:lang w:val="en-US" w:eastAsia="zh-CN"/>
        </w:rPr>
        <w:t>自评的方法</w:t>
      </w:r>
    </w:p>
    <w:p w14:paraId="005AC411">
      <w:pPr>
        <w:ind w:firstLine="640"/>
        <w:rPr>
          <w:rFonts w:hint="eastAsia"/>
          <w:color w:val="auto"/>
          <w:lang w:val="en-US" w:eastAsia="zh-CN"/>
        </w:rPr>
      </w:pPr>
      <w:r>
        <w:rPr>
          <w:rFonts w:hint="eastAsia" w:ascii="仿宋_GB2312" w:eastAsia="仿宋_GB2312"/>
          <w:color w:val="auto"/>
          <w:lang w:val="en-US" w:eastAsia="zh-CN"/>
        </w:rPr>
        <w:t>依据《中华人民共和国预算法》、《项目支出绩效评价管理办法》（财预〔2020〕10号）、《增发2023年国债资金管理办法》；《河北省省级财政支出绩效评价管理办法》（冀财监〔2016〕15号）、《石家庄市财政支出绩效评价办法》（石财绩〔2013〕2号）、《石家庄市财政局关于做好增发国债项目资金绩效自评工作的通知》等要求，本次绩效自评秉承科学规范、公正公开、分级分类、绩效相关等原则，按照从投入、过程到产出效果和影响的绩效逻辑路径，结合四支渠（新华路-南泄洪渠）新建工程实际开展情况，运用定量和定性分析相结合的方法，总结经验做法，反思项目实施和管理中的问题，以切实提升财政资金管理的科学化、规范化和精细化水平。</w:t>
      </w:r>
    </w:p>
    <w:p w14:paraId="29C45015">
      <w:pPr>
        <w:pStyle w:val="4"/>
        <w:rPr>
          <w:rFonts w:hint="default"/>
          <w:lang w:val="en-US" w:eastAsia="zh-CN"/>
        </w:rPr>
      </w:pPr>
      <w:r>
        <w:rPr>
          <w:rFonts w:hint="eastAsia"/>
          <w:lang w:val="en-US" w:eastAsia="zh-CN"/>
        </w:rPr>
        <w:t>自评的过程</w:t>
      </w:r>
    </w:p>
    <w:p w14:paraId="1658BCE6">
      <w:pPr>
        <w:ind w:firstLine="640"/>
        <w:rPr>
          <w:rFonts w:hint="eastAsia"/>
          <w:color w:val="auto"/>
          <w:lang w:val="en-US" w:eastAsia="zh-CN"/>
        </w:rPr>
      </w:pPr>
      <w:r>
        <w:rPr>
          <w:rFonts w:hint="eastAsia" w:ascii="仿宋_GB2312" w:eastAsia="仿宋_GB2312"/>
          <w:color w:val="auto"/>
          <w:lang w:val="en-US" w:eastAsia="zh-CN"/>
        </w:rPr>
        <w:t>（1）评价小组对指标体系的确定，分值及权值的确定。</w:t>
      </w:r>
    </w:p>
    <w:p w14:paraId="51E81044">
      <w:pPr>
        <w:ind w:firstLine="640"/>
        <w:rPr>
          <w:rFonts w:hint="eastAsia"/>
          <w:color w:val="auto"/>
          <w:lang w:val="en-US" w:eastAsia="zh-CN"/>
        </w:rPr>
      </w:pPr>
      <w:r>
        <w:rPr>
          <w:rFonts w:hint="eastAsia" w:ascii="仿宋_GB2312" w:eastAsia="仿宋_GB2312"/>
          <w:color w:val="auto"/>
          <w:lang w:val="en-US" w:eastAsia="zh-CN"/>
        </w:rPr>
        <w:t>（2）由评价小组收集并审核基础数据资料。</w:t>
      </w:r>
    </w:p>
    <w:p w14:paraId="34F748F3">
      <w:pPr>
        <w:ind w:firstLine="640"/>
        <w:rPr>
          <w:rFonts w:hint="eastAsia"/>
          <w:color w:val="auto"/>
          <w:lang w:val="en-US" w:eastAsia="zh-CN"/>
        </w:rPr>
      </w:pPr>
      <w:r>
        <w:rPr>
          <w:rFonts w:hint="eastAsia" w:ascii="仿宋_GB2312" w:eastAsia="仿宋_GB2312"/>
          <w:color w:val="auto"/>
          <w:lang w:val="en-US" w:eastAsia="zh-CN"/>
        </w:rPr>
        <w:t>（3）业务科室上报自评报告，并提供相关资料。</w:t>
      </w:r>
    </w:p>
    <w:p w14:paraId="1E6D1E2B">
      <w:pPr>
        <w:ind w:firstLine="640"/>
        <w:rPr>
          <w:rFonts w:hint="eastAsia"/>
          <w:color w:val="auto"/>
          <w:lang w:val="en-US" w:eastAsia="zh-CN"/>
        </w:rPr>
      </w:pPr>
      <w:r>
        <w:rPr>
          <w:rFonts w:hint="eastAsia" w:ascii="仿宋_GB2312" w:eastAsia="仿宋_GB2312"/>
          <w:color w:val="auto"/>
          <w:lang w:val="en-US" w:eastAsia="zh-CN"/>
        </w:rPr>
        <w:t>（4）按方案分工由评价小组撰写评价报告；总结绩效评价经验，完善绩效评价指标和评价方案；提出下年度专项资金的部门预算安排意见。</w:t>
      </w:r>
    </w:p>
    <w:p w14:paraId="6FBE2EDB">
      <w:pPr>
        <w:pStyle w:val="3"/>
        <w:ind w:firstLine="643"/>
        <w:rPr>
          <w:color w:val="auto"/>
        </w:rPr>
        <w:sectPr>
          <w:pgSz w:w="11906" w:h="16838"/>
          <w:pgMar w:top="1440" w:right="1800" w:bottom="1440" w:left="1800" w:header="851" w:footer="992" w:gutter="0"/>
          <w:pgNumType w:fmt="numberInDash"/>
          <w:cols w:space="425" w:num="1"/>
          <w:docGrid w:type="lines" w:linePitch="312" w:charSpace="0"/>
        </w:sectPr>
      </w:pPr>
      <w:r>
        <w:rPr>
          <w:rFonts w:hint="eastAsia"/>
          <w:color w:val="auto"/>
        </w:rPr>
        <w:t>建立</w:t>
      </w:r>
      <w:r>
        <w:rPr>
          <w:color w:val="auto"/>
        </w:rPr>
        <w:t>绩效评价指标体系</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9"/>
        <w:gridCol w:w="1191"/>
        <w:gridCol w:w="1310"/>
        <w:gridCol w:w="3911"/>
        <w:gridCol w:w="6313"/>
      </w:tblGrid>
      <w:tr w14:paraId="14363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 w:type="pct"/>
            <w:shd w:val="clear" w:color="auto" w:fill="auto"/>
            <w:vAlign w:val="center"/>
          </w:tcPr>
          <w:p w14:paraId="28B7662E">
            <w:pPr>
              <w:pStyle w:val="25"/>
              <w:rPr>
                <w:color w:val="auto"/>
              </w:rPr>
            </w:pPr>
            <w:r>
              <w:rPr>
                <w:rFonts w:hint="default"/>
                <w:color w:val="auto"/>
              </w:rPr>
              <w:t>一级指标</w:t>
            </w:r>
          </w:p>
        </w:tc>
        <w:tc>
          <w:tcPr>
            <w:tcW w:w="420" w:type="pct"/>
            <w:shd w:val="clear" w:color="auto" w:fill="auto"/>
            <w:vAlign w:val="center"/>
          </w:tcPr>
          <w:p w14:paraId="4492ECEF">
            <w:pPr>
              <w:pStyle w:val="25"/>
              <w:rPr>
                <w:color w:val="auto"/>
              </w:rPr>
            </w:pPr>
            <w:r>
              <w:rPr>
                <w:rFonts w:hint="default"/>
                <w:color w:val="auto"/>
              </w:rPr>
              <w:t>二级指标</w:t>
            </w:r>
          </w:p>
        </w:tc>
        <w:tc>
          <w:tcPr>
            <w:tcW w:w="462" w:type="pct"/>
            <w:shd w:val="clear" w:color="auto" w:fill="auto"/>
            <w:vAlign w:val="center"/>
          </w:tcPr>
          <w:p w14:paraId="0DB23D75">
            <w:pPr>
              <w:pStyle w:val="25"/>
              <w:rPr>
                <w:color w:val="auto"/>
              </w:rPr>
            </w:pPr>
            <w:r>
              <w:rPr>
                <w:color w:val="auto"/>
              </w:rPr>
              <w:t>三级指标</w:t>
            </w:r>
          </w:p>
        </w:tc>
        <w:tc>
          <w:tcPr>
            <w:tcW w:w="1379" w:type="pct"/>
            <w:shd w:val="clear" w:color="auto" w:fill="auto"/>
            <w:vAlign w:val="center"/>
          </w:tcPr>
          <w:p w14:paraId="28B5E2E6">
            <w:pPr>
              <w:pStyle w:val="25"/>
              <w:rPr>
                <w:color w:val="auto"/>
              </w:rPr>
            </w:pPr>
            <w:r>
              <w:rPr>
                <w:rFonts w:hint="default"/>
                <w:color w:val="auto"/>
              </w:rPr>
              <w:t>指标解释</w:t>
            </w:r>
          </w:p>
        </w:tc>
        <w:tc>
          <w:tcPr>
            <w:tcW w:w="2226" w:type="pct"/>
            <w:shd w:val="clear" w:color="auto" w:fill="auto"/>
            <w:vAlign w:val="center"/>
          </w:tcPr>
          <w:p w14:paraId="1CCB05C1">
            <w:pPr>
              <w:pStyle w:val="25"/>
              <w:rPr>
                <w:color w:val="auto"/>
              </w:rPr>
            </w:pPr>
            <w:r>
              <w:rPr>
                <w:rFonts w:hint="default"/>
                <w:color w:val="auto"/>
              </w:rPr>
              <w:t>指标说明</w:t>
            </w:r>
          </w:p>
        </w:tc>
      </w:tr>
      <w:tr w14:paraId="4F942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 w:type="pct"/>
            <w:vMerge w:val="restart"/>
            <w:shd w:val="clear" w:color="auto" w:fill="auto"/>
            <w:vAlign w:val="center"/>
          </w:tcPr>
          <w:p w14:paraId="7CBA2F66">
            <w:pPr>
              <w:pStyle w:val="25"/>
              <w:rPr>
                <w:color w:val="auto"/>
              </w:rPr>
            </w:pPr>
            <w:r>
              <w:rPr>
                <w:rFonts w:hint="default"/>
                <w:color w:val="auto"/>
              </w:rPr>
              <w:t>产出指标（</w:t>
            </w:r>
            <w:r>
              <w:rPr>
                <w:rFonts w:hint="eastAsia"/>
                <w:color w:val="auto"/>
                <w:lang w:val="en-US" w:eastAsia="zh-CN"/>
              </w:rPr>
              <w:t>5</w:t>
            </w:r>
            <w:r>
              <w:rPr>
                <w:rFonts w:hint="default"/>
                <w:color w:val="auto"/>
              </w:rPr>
              <w:t>0分）</w:t>
            </w:r>
          </w:p>
        </w:tc>
        <w:tc>
          <w:tcPr>
            <w:tcW w:w="420" w:type="pct"/>
            <w:shd w:val="clear" w:color="auto" w:fill="auto"/>
            <w:vAlign w:val="center"/>
          </w:tcPr>
          <w:p w14:paraId="17AA48D6">
            <w:pPr>
              <w:pStyle w:val="25"/>
              <w:rPr>
                <w:color w:val="auto"/>
              </w:rPr>
            </w:pPr>
            <w:r>
              <w:rPr>
                <w:rFonts w:hint="default"/>
                <w:color w:val="auto"/>
              </w:rPr>
              <w:t>数量</w:t>
            </w:r>
            <w:r>
              <w:rPr>
                <w:color w:val="auto"/>
              </w:rPr>
              <w:t>指标</w:t>
            </w:r>
          </w:p>
        </w:tc>
        <w:tc>
          <w:tcPr>
            <w:tcW w:w="462" w:type="pct"/>
            <w:shd w:val="clear" w:color="auto" w:fill="auto"/>
            <w:vAlign w:val="center"/>
          </w:tcPr>
          <w:p w14:paraId="123E5649">
            <w:pPr>
              <w:pStyle w:val="25"/>
              <w:rPr>
                <w:rFonts w:hint="eastAsia" w:eastAsia="仿宋_GB2312"/>
                <w:color w:val="auto"/>
                <w:lang w:eastAsia="zh-CN"/>
              </w:rPr>
            </w:pPr>
            <w:r>
              <w:rPr>
                <w:rFonts w:hint="eastAsia"/>
                <w:color w:val="auto"/>
                <w:lang w:val="en-US" w:eastAsia="zh-CN"/>
              </w:rPr>
              <w:t>工程数量</w:t>
            </w:r>
          </w:p>
        </w:tc>
        <w:tc>
          <w:tcPr>
            <w:tcW w:w="1379" w:type="pct"/>
            <w:shd w:val="clear" w:color="auto" w:fill="auto"/>
            <w:vAlign w:val="center"/>
          </w:tcPr>
          <w:p w14:paraId="7BCFB027">
            <w:pPr>
              <w:pStyle w:val="25"/>
              <w:jc w:val="left"/>
              <w:rPr>
                <w:color w:val="auto"/>
              </w:rPr>
            </w:pPr>
            <w:r>
              <w:rPr>
                <w:rFonts w:hint="default"/>
                <w:color w:val="auto"/>
              </w:rPr>
              <w:t>项目实施的实际</w:t>
            </w:r>
            <w:r>
              <w:rPr>
                <w:rFonts w:hint="eastAsia"/>
                <w:color w:val="auto"/>
                <w:lang w:val="en-US" w:eastAsia="zh-CN"/>
              </w:rPr>
              <w:t>完成数量</w:t>
            </w:r>
            <w:r>
              <w:rPr>
                <w:rFonts w:hint="default"/>
                <w:color w:val="auto"/>
              </w:rPr>
              <w:t>与计划</w:t>
            </w:r>
            <w:r>
              <w:rPr>
                <w:rFonts w:hint="eastAsia"/>
                <w:color w:val="auto"/>
                <w:lang w:val="en-US" w:eastAsia="zh-CN"/>
              </w:rPr>
              <w:t>完成数量</w:t>
            </w:r>
            <w:r>
              <w:rPr>
                <w:rFonts w:hint="default"/>
                <w:color w:val="auto"/>
              </w:rPr>
              <w:t>的比率，用以反映和考核项目产出数量目标的实现程度。</w:t>
            </w:r>
          </w:p>
        </w:tc>
        <w:tc>
          <w:tcPr>
            <w:tcW w:w="2226" w:type="pct"/>
            <w:shd w:val="clear" w:color="auto" w:fill="auto"/>
            <w:vAlign w:val="center"/>
          </w:tcPr>
          <w:p w14:paraId="4F6AC2CC">
            <w:pPr>
              <w:pStyle w:val="25"/>
              <w:jc w:val="left"/>
              <w:rPr>
                <w:rFonts w:hint="eastAsia"/>
                <w:color w:val="auto"/>
                <w:lang w:val="en-US" w:eastAsia="zh-CN"/>
              </w:rPr>
            </w:pPr>
            <w:r>
              <w:rPr>
                <w:rFonts w:hint="eastAsia"/>
                <w:color w:val="auto"/>
                <w:lang w:val="en-US" w:eastAsia="zh-CN"/>
              </w:rPr>
              <w:t>对项目数量指标进行考核，达到年初设置的指标为满分；</w:t>
            </w:r>
          </w:p>
          <w:p w14:paraId="72E4FECF">
            <w:pPr>
              <w:pStyle w:val="25"/>
              <w:jc w:val="left"/>
              <w:rPr>
                <w:rFonts w:hint="eastAsia"/>
                <w:color w:val="auto"/>
                <w:lang w:val="en-US" w:eastAsia="zh-CN"/>
              </w:rPr>
            </w:pPr>
            <w:r>
              <w:rPr>
                <w:rFonts w:hint="eastAsia"/>
                <w:color w:val="auto"/>
                <w:lang w:val="en-US" w:eastAsia="zh-CN"/>
              </w:rPr>
              <w:t>未达到年初设置的指标按照实际完成情况进行得分：</w:t>
            </w:r>
          </w:p>
          <w:p w14:paraId="1C46F8BA">
            <w:pPr>
              <w:pStyle w:val="25"/>
              <w:jc w:val="left"/>
              <w:rPr>
                <w:color w:val="auto"/>
              </w:rPr>
            </w:pPr>
            <w:r>
              <w:rPr>
                <w:rFonts w:hint="eastAsia"/>
                <w:color w:val="auto"/>
                <w:lang w:val="en-US" w:eastAsia="zh-CN"/>
              </w:rPr>
              <w:t>数量指标分数=实际完成数量/计划完成数量×100%×权重。</w:t>
            </w:r>
            <w:r>
              <w:rPr>
                <w:rFonts w:hint="default"/>
                <w:color w:val="auto"/>
              </w:rPr>
              <w:br w:type="textWrapping"/>
            </w:r>
            <w:r>
              <w:rPr>
                <w:rFonts w:hint="default"/>
                <w:color w:val="auto"/>
              </w:rPr>
              <w:t>实际</w:t>
            </w:r>
            <w:r>
              <w:rPr>
                <w:rFonts w:hint="eastAsia"/>
                <w:color w:val="auto"/>
                <w:lang w:val="en-US" w:eastAsia="zh-CN"/>
              </w:rPr>
              <w:t>完成数量</w:t>
            </w:r>
            <w:r>
              <w:rPr>
                <w:rFonts w:hint="default"/>
                <w:color w:val="auto"/>
              </w:rPr>
              <w:t>：一定时期（本年度或项目期）内项目实际产出的产品或提供的服务数量。</w:t>
            </w:r>
            <w:r>
              <w:rPr>
                <w:rFonts w:hint="default"/>
                <w:color w:val="auto"/>
              </w:rPr>
              <w:br w:type="textWrapping"/>
            </w:r>
            <w:r>
              <w:rPr>
                <w:rFonts w:hint="default"/>
                <w:color w:val="auto"/>
              </w:rPr>
              <w:t>计划</w:t>
            </w:r>
            <w:r>
              <w:rPr>
                <w:rFonts w:hint="eastAsia"/>
                <w:color w:val="auto"/>
                <w:lang w:val="en-US" w:eastAsia="zh-CN"/>
              </w:rPr>
              <w:t>完成数量</w:t>
            </w:r>
            <w:r>
              <w:rPr>
                <w:rFonts w:hint="default"/>
                <w:color w:val="auto"/>
              </w:rPr>
              <w:t>：项目绩效目标确定的在一定时期（本年度或项目期）内计划</w:t>
            </w:r>
            <w:r>
              <w:rPr>
                <w:rFonts w:hint="eastAsia"/>
                <w:color w:val="auto"/>
                <w:lang w:val="en-US" w:eastAsia="zh-CN"/>
              </w:rPr>
              <w:t>完成的</w:t>
            </w:r>
            <w:r>
              <w:rPr>
                <w:rFonts w:hint="default"/>
                <w:color w:val="auto"/>
              </w:rPr>
              <w:t>数量。</w:t>
            </w:r>
          </w:p>
        </w:tc>
      </w:tr>
      <w:tr w14:paraId="25BFB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 w:type="pct"/>
            <w:vMerge w:val="continue"/>
            <w:shd w:val="clear" w:color="auto" w:fill="auto"/>
            <w:vAlign w:val="center"/>
          </w:tcPr>
          <w:p w14:paraId="7E5A95CB">
            <w:pPr>
              <w:pStyle w:val="25"/>
              <w:rPr>
                <w:color w:val="auto"/>
              </w:rPr>
            </w:pPr>
          </w:p>
        </w:tc>
        <w:tc>
          <w:tcPr>
            <w:tcW w:w="420" w:type="pct"/>
            <w:shd w:val="clear" w:color="auto" w:fill="auto"/>
            <w:vAlign w:val="center"/>
          </w:tcPr>
          <w:p w14:paraId="09B5F0FB">
            <w:pPr>
              <w:pStyle w:val="25"/>
              <w:rPr>
                <w:color w:val="auto"/>
              </w:rPr>
            </w:pPr>
            <w:r>
              <w:rPr>
                <w:rFonts w:hint="default"/>
                <w:color w:val="auto"/>
              </w:rPr>
              <w:t>质量</w:t>
            </w:r>
            <w:r>
              <w:rPr>
                <w:color w:val="auto"/>
              </w:rPr>
              <w:t>指标</w:t>
            </w:r>
          </w:p>
        </w:tc>
        <w:tc>
          <w:tcPr>
            <w:tcW w:w="462" w:type="pct"/>
            <w:shd w:val="clear" w:color="auto" w:fill="auto"/>
            <w:vAlign w:val="center"/>
          </w:tcPr>
          <w:p w14:paraId="4189736E">
            <w:pPr>
              <w:pStyle w:val="25"/>
              <w:rPr>
                <w:rFonts w:hint="eastAsia" w:eastAsia="仿宋_GB2312"/>
                <w:color w:val="auto"/>
                <w:lang w:eastAsia="zh-CN"/>
              </w:rPr>
            </w:pPr>
            <w:r>
              <w:rPr>
                <w:rFonts w:hint="eastAsia"/>
                <w:color w:val="auto"/>
                <w:lang w:val="en-US" w:eastAsia="zh-CN"/>
              </w:rPr>
              <w:t>交（竣）工验收合格率；项目设计变更率</w:t>
            </w:r>
          </w:p>
        </w:tc>
        <w:tc>
          <w:tcPr>
            <w:tcW w:w="1379" w:type="pct"/>
            <w:shd w:val="clear" w:color="auto" w:fill="auto"/>
            <w:vAlign w:val="center"/>
          </w:tcPr>
          <w:p w14:paraId="2864E782">
            <w:pPr>
              <w:pStyle w:val="25"/>
              <w:jc w:val="left"/>
              <w:rPr>
                <w:rFonts w:hint="default"/>
                <w:color w:val="auto"/>
              </w:rPr>
            </w:pPr>
            <w:r>
              <w:rPr>
                <w:rFonts w:hint="default"/>
                <w:color w:val="auto"/>
              </w:rPr>
              <w:t>项目完成的质量达标产出数与实际产出数的比率，用以反映和考核项目产出质量目标的实现程度。</w:t>
            </w:r>
          </w:p>
          <w:p w14:paraId="532911A7">
            <w:pPr>
              <w:pStyle w:val="25"/>
              <w:jc w:val="left"/>
              <w:rPr>
                <w:rFonts w:hint="default" w:eastAsia="仿宋_GB2312"/>
                <w:color w:val="auto"/>
                <w:lang w:val="en-US" w:eastAsia="zh-CN"/>
              </w:rPr>
            </w:pPr>
            <w:r>
              <w:rPr>
                <w:rFonts w:hint="eastAsia" w:cs="仿宋_GB2312"/>
                <w:szCs w:val="28"/>
                <w:highlight w:val="none"/>
              </w:rPr>
              <w:t>项目在执行过程中，需求或计划发生变更的频率</w:t>
            </w:r>
            <w:r>
              <w:rPr>
                <w:rFonts w:hint="eastAsia" w:cs="仿宋_GB2312"/>
                <w:szCs w:val="28"/>
                <w:highlight w:val="none"/>
                <w:lang w:eastAsia="zh-CN"/>
              </w:rPr>
              <w:t>，反映项目设计变更情况</w:t>
            </w:r>
            <w:r>
              <w:rPr>
                <w:rFonts w:cs="仿宋_GB2312"/>
                <w:szCs w:val="28"/>
                <w:highlight w:val="none"/>
              </w:rPr>
              <w:t>。</w:t>
            </w:r>
          </w:p>
        </w:tc>
        <w:tc>
          <w:tcPr>
            <w:tcW w:w="2226" w:type="pct"/>
            <w:shd w:val="clear" w:color="auto" w:fill="auto"/>
            <w:vAlign w:val="center"/>
          </w:tcPr>
          <w:p w14:paraId="3313C552">
            <w:pPr>
              <w:pStyle w:val="25"/>
              <w:jc w:val="left"/>
              <w:rPr>
                <w:rFonts w:hint="default" w:eastAsia="仿宋_GB2312" w:cs="仿宋_GB2312"/>
                <w:szCs w:val="28"/>
                <w:highlight w:val="none"/>
                <w:lang w:val="en-US" w:eastAsia="zh-CN"/>
              </w:rPr>
            </w:pPr>
            <w:r>
              <w:rPr>
                <w:rFonts w:hint="eastAsia"/>
                <w:color w:val="auto"/>
                <w:lang w:val="en-US" w:eastAsia="zh-CN"/>
              </w:rPr>
              <w:t>交（竣）工验收合格率</w:t>
            </w:r>
            <w:r>
              <w:rPr>
                <w:rFonts w:hint="default"/>
                <w:color w:val="auto"/>
              </w:rPr>
              <w:t>=</w:t>
            </w:r>
            <w:r>
              <w:rPr>
                <w:rFonts w:hint="eastAsia" w:cs="仿宋_GB2312"/>
                <w:szCs w:val="28"/>
                <w:highlight w:val="none"/>
                <w:lang w:val="en-US" w:eastAsia="zh-CN"/>
              </w:rPr>
              <w:t>验收合格工程量</w:t>
            </w:r>
            <w:r>
              <w:rPr>
                <w:rFonts w:cs="仿宋_GB2312"/>
                <w:szCs w:val="28"/>
                <w:highlight w:val="none"/>
              </w:rPr>
              <w:t>/</w:t>
            </w:r>
            <w:r>
              <w:rPr>
                <w:rFonts w:hint="eastAsia" w:cs="仿宋_GB2312"/>
                <w:szCs w:val="28"/>
                <w:highlight w:val="none"/>
                <w:lang w:val="en-US" w:eastAsia="zh-CN"/>
              </w:rPr>
              <w:t>工程总量。</w:t>
            </w:r>
          </w:p>
          <w:p w14:paraId="4FDBC414">
            <w:pPr>
              <w:pStyle w:val="25"/>
              <w:jc w:val="left"/>
              <w:rPr>
                <w:rFonts w:hint="default" w:cs="仿宋_GB2312"/>
                <w:szCs w:val="28"/>
                <w:highlight w:val="none"/>
              </w:rPr>
            </w:pPr>
            <w:r>
              <w:rPr>
                <w:rFonts w:hint="eastAsia" w:cs="仿宋_GB2312"/>
                <w:szCs w:val="28"/>
                <w:highlight w:val="none"/>
              </w:rPr>
              <w:t>设计变更率=设计变更总费用÷</w:t>
            </w:r>
            <w:r>
              <w:rPr>
                <w:rFonts w:hint="eastAsia" w:cs="仿宋_GB2312"/>
                <w:szCs w:val="28"/>
                <w:highlight w:val="none"/>
                <w:lang w:val="en-US" w:eastAsia="zh-CN"/>
              </w:rPr>
              <w:t>工程费用</w:t>
            </w:r>
            <w:r>
              <w:rPr>
                <w:rFonts w:cs="仿宋_GB2312"/>
                <w:szCs w:val="28"/>
                <w:highlight w:val="none"/>
              </w:rPr>
              <w:t>。</w:t>
            </w:r>
          </w:p>
          <w:p w14:paraId="56B7F3F1">
            <w:pPr>
              <w:pStyle w:val="25"/>
              <w:jc w:val="left"/>
              <w:rPr>
                <w:color w:val="auto"/>
              </w:rPr>
            </w:pPr>
          </w:p>
        </w:tc>
      </w:tr>
      <w:tr w14:paraId="3788E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 w:type="pct"/>
            <w:vMerge w:val="continue"/>
            <w:shd w:val="clear" w:color="auto" w:fill="auto"/>
            <w:vAlign w:val="center"/>
          </w:tcPr>
          <w:p w14:paraId="2D6AE2BE">
            <w:pPr>
              <w:pStyle w:val="25"/>
              <w:rPr>
                <w:color w:val="auto"/>
              </w:rPr>
            </w:pPr>
          </w:p>
        </w:tc>
        <w:tc>
          <w:tcPr>
            <w:tcW w:w="420" w:type="pct"/>
            <w:shd w:val="clear" w:color="auto" w:fill="auto"/>
            <w:vAlign w:val="center"/>
          </w:tcPr>
          <w:p w14:paraId="26A4A988">
            <w:pPr>
              <w:pStyle w:val="25"/>
              <w:rPr>
                <w:color w:val="auto"/>
              </w:rPr>
            </w:pPr>
            <w:r>
              <w:rPr>
                <w:rFonts w:hint="default"/>
                <w:color w:val="auto"/>
              </w:rPr>
              <w:t>时效</w:t>
            </w:r>
            <w:r>
              <w:rPr>
                <w:color w:val="auto"/>
              </w:rPr>
              <w:t>指标</w:t>
            </w:r>
          </w:p>
        </w:tc>
        <w:tc>
          <w:tcPr>
            <w:tcW w:w="462" w:type="pct"/>
            <w:shd w:val="clear" w:color="auto" w:fill="auto"/>
            <w:vAlign w:val="center"/>
          </w:tcPr>
          <w:p w14:paraId="371B1260">
            <w:pPr>
              <w:pStyle w:val="25"/>
              <w:rPr>
                <w:rFonts w:hint="default" w:eastAsia="仿宋_GB2312"/>
                <w:color w:val="auto"/>
                <w:lang w:val="en-US" w:eastAsia="zh-CN"/>
              </w:rPr>
            </w:pPr>
            <w:r>
              <w:rPr>
                <w:rFonts w:hint="eastAsia"/>
                <w:color w:val="auto"/>
                <w:lang w:val="en-US" w:eastAsia="zh-CN"/>
              </w:rPr>
              <w:t>工程按时开工率；工程完成时间</w:t>
            </w:r>
          </w:p>
        </w:tc>
        <w:tc>
          <w:tcPr>
            <w:tcW w:w="1379" w:type="pct"/>
            <w:shd w:val="clear" w:color="auto" w:fill="auto"/>
            <w:vAlign w:val="center"/>
          </w:tcPr>
          <w:p w14:paraId="2ECAB504">
            <w:pPr>
              <w:pStyle w:val="25"/>
              <w:jc w:val="left"/>
              <w:rPr>
                <w:color w:val="auto"/>
              </w:rPr>
            </w:pPr>
            <w:r>
              <w:rPr>
                <w:rFonts w:hint="default"/>
                <w:color w:val="auto"/>
              </w:rPr>
              <w:t>项目实际</w:t>
            </w:r>
            <w:r>
              <w:rPr>
                <w:rFonts w:hint="eastAsia"/>
                <w:color w:val="auto"/>
                <w:lang w:val="en-US" w:eastAsia="zh-CN"/>
              </w:rPr>
              <w:t>开工时间与计划开工时间的比较；项目</w:t>
            </w:r>
            <w:r>
              <w:rPr>
                <w:rFonts w:hint="default"/>
                <w:color w:val="auto"/>
              </w:rPr>
              <w:t>完成时间与计划完成时间的比较，用以反映和考核项目产出时效目标的实现程度。</w:t>
            </w:r>
          </w:p>
        </w:tc>
        <w:tc>
          <w:tcPr>
            <w:tcW w:w="2226" w:type="pct"/>
            <w:shd w:val="clear" w:color="auto" w:fill="auto"/>
            <w:vAlign w:val="center"/>
          </w:tcPr>
          <w:p w14:paraId="32EBD0FA">
            <w:pPr>
              <w:pStyle w:val="25"/>
              <w:jc w:val="left"/>
              <w:rPr>
                <w:rFonts w:hint="default" w:eastAsia="仿宋_GB2312"/>
                <w:color w:val="auto"/>
                <w:lang w:val="en-US" w:eastAsia="zh-CN"/>
              </w:rPr>
            </w:pPr>
            <w:r>
              <w:rPr>
                <w:rFonts w:hint="eastAsia"/>
                <w:color w:val="auto"/>
                <w:lang w:val="en-US" w:eastAsia="zh-CN"/>
              </w:rPr>
              <w:t>项目在计划时间内开工、完成，得满分。如果未在计划期限内开始建设项目、完成项目，则酌情扣分。</w:t>
            </w:r>
          </w:p>
          <w:p w14:paraId="3B752214">
            <w:pPr>
              <w:pStyle w:val="25"/>
              <w:jc w:val="left"/>
              <w:rPr>
                <w:color w:val="auto"/>
              </w:rPr>
            </w:pPr>
          </w:p>
        </w:tc>
      </w:tr>
      <w:tr w14:paraId="6EB32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 w:type="pct"/>
            <w:vMerge w:val="continue"/>
            <w:shd w:val="clear" w:color="auto" w:fill="auto"/>
            <w:vAlign w:val="center"/>
          </w:tcPr>
          <w:p w14:paraId="7828292D">
            <w:pPr>
              <w:pStyle w:val="25"/>
              <w:rPr>
                <w:color w:val="auto"/>
              </w:rPr>
            </w:pPr>
          </w:p>
        </w:tc>
        <w:tc>
          <w:tcPr>
            <w:tcW w:w="420" w:type="pct"/>
            <w:shd w:val="clear" w:color="auto" w:fill="auto"/>
            <w:vAlign w:val="center"/>
          </w:tcPr>
          <w:p w14:paraId="2624CC7B">
            <w:pPr>
              <w:pStyle w:val="25"/>
              <w:rPr>
                <w:color w:val="auto"/>
              </w:rPr>
            </w:pPr>
            <w:r>
              <w:rPr>
                <w:rFonts w:hint="default"/>
                <w:color w:val="auto"/>
              </w:rPr>
              <w:t>成本</w:t>
            </w:r>
            <w:r>
              <w:rPr>
                <w:color w:val="auto"/>
              </w:rPr>
              <w:t>指标</w:t>
            </w:r>
          </w:p>
        </w:tc>
        <w:tc>
          <w:tcPr>
            <w:tcW w:w="462" w:type="pct"/>
            <w:shd w:val="clear" w:color="auto" w:fill="auto"/>
            <w:vAlign w:val="center"/>
          </w:tcPr>
          <w:p w14:paraId="4C2ADA03">
            <w:pPr>
              <w:pStyle w:val="25"/>
              <w:rPr>
                <w:rFonts w:hint="eastAsia" w:eastAsia="仿宋_GB2312"/>
                <w:color w:val="auto"/>
                <w:lang w:eastAsia="zh-CN"/>
              </w:rPr>
            </w:pPr>
            <w:r>
              <w:rPr>
                <w:rFonts w:hint="eastAsia"/>
                <w:color w:val="auto"/>
                <w:lang w:val="en-US" w:eastAsia="zh-CN"/>
              </w:rPr>
              <w:t>工程建设成本</w:t>
            </w:r>
          </w:p>
        </w:tc>
        <w:tc>
          <w:tcPr>
            <w:tcW w:w="1379" w:type="pct"/>
            <w:shd w:val="clear" w:color="auto" w:fill="auto"/>
            <w:vAlign w:val="center"/>
          </w:tcPr>
          <w:p w14:paraId="44EA2E96">
            <w:pPr>
              <w:pStyle w:val="25"/>
              <w:jc w:val="left"/>
              <w:rPr>
                <w:color w:val="auto"/>
              </w:rPr>
            </w:pPr>
            <w:r>
              <w:rPr>
                <w:rFonts w:hint="default"/>
                <w:color w:val="auto"/>
              </w:rPr>
              <w:t>控制在项目预算范围内，实现成本效益最大化。</w:t>
            </w:r>
          </w:p>
        </w:tc>
        <w:tc>
          <w:tcPr>
            <w:tcW w:w="2226" w:type="pct"/>
            <w:shd w:val="clear" w:color="auto" w:fill="auto"/>
            <w:vAlign w:val="center"/>
          </w:tcPr>
          <w:p w14:paraId="1029BC74">
            <w:pPr>
              <w:pStyle w:val="25"/>
              <w:jc w:val="left"/>
              <w:rPr>
                <w:color w:val="auto"/>
              </w:rPr>
            </w:pPr>
            <w:r>
              <w:rPr>
                <w:rFonts w:hint="default"/>
                <w:color w:val="auto"/>
                <w:lang w:val="en-US" w:eastAsia="zh-CN"/>
              </w:rPr>
              <w:t>项目实际成本在计划</w:t>
            </w:r>
            <w:r>
              <w:rPr>
                <w:rFonts w:hint="eastAsia"/>
                <w:color w:val="auto"/>
                <w:lang w:val="en-US" w:eastAsia="zh-CN"/>
              </w:rPr>
              <w:t>成本</w:t>
            </w:r>
            <w:r>
              <w:rPr>
                <w:rFonts w:hint="default"/>
                <w:color w:val="auto"/>
                <w:lang w:val="en-US" w:eastAsia="zh-CN"/>
              </w:rPr>
              <w:t>范围内，则</w:t>
            </w:r>
            <w:r>
              <w:rPr>
                <w:rFonts w:hint="eastAsia"/>
                <w:color w:val="auto"/>
                <w:lang w:val="en-US" w:eastAsia="zh-CN"/>
              </w:rPr>
              <w:t>本项指标满分。如超过计划成本，则本项不得分。</w:t>
            </w:r>
            <w:r>
              <w:rPr>
                <w:rFonts w:hint="default"/>
                <w:color w:val="auto"/>
              </w:rPr>
              <w:br w:type="textWrapping"/>
            </w:r>
            <w:r>
              <w:rPr>
                <w:rFonts w:hint="default"/>
                <w:color w:val="auto"/>
              </w:rPr>
              <w:t>实际成本：项目实施单位如期、保质、保量完成既定工作目标实际所耗费的支出。</w:t>
            </w:r>
            <w:r>
              <w:rPr>
                <w:rFonts w:hint="default"/>
                <w:color w:val="auto"/>
              </w:rPr>
              <w:br w:type="textWrapping"/>
            </w:r>
            <w:r>
              <w:rPr>
                <w:rFonts w:hint="default"/>
                <w:color w:val="auto"/>
              </w:rPr>
              <w:t>计划成本：项目实施单位为完成工作目标计划安排的支出，一般以项目预算为参考。</w:t>
            </w:r>
          </w:p>
        </w:tc>
      </w:tr>
      <w:tr w14:paraId="495DF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 w:type="pct"/>
            <w:shd w:val="clear" w:color="auto" w:fill="auto"/>
            <w:vAlign w:val="center"/>
          </w:tcPr>
          <w:p w14:paraId="0DF92ED6">
            <w:pPr>
              <w:pStyle w:val="25"/>
              <w:rPr>
                <w:color w:val="auto"/>
                <w:highlight w:val="none"/>
              </w:rPr>
            </w:pPr>
            <w:r>
              <w:rPr>
                <w:rFonts w:hint="default"/>
                <w:color w:val="auto"/>
                <w:highlight w:val="none"/>
              </w:rPr>
              <w:t>预算执行率指标（10分）</w:t>
            </w:r>
          </w:p>
        </w:tc>
        <w:tc>
          <w:tcPr>
            <w:tcW w:w="420" w:type="pct"/>
            <w:shd w:val="clear" w:color="auto" w:fill="auto"/>
            <w:vAlign w:val="center"/>
          </w:tcPr>
          <w:p w14:paraId="079C275C">
            <w:pPr>
              <w:pStyle w:val="25"/>
              <w:rPr>
                <w:color w:val="auto"/>
                <w:highlight w:val="none"/>
              </w:rPr>
            </w:pPr>
            <w:r>
              <w:rPr>
                <w:rFonts w:hint="default"/>
                <w:color w:val="auto"/>
                <w:highlight w:val="none"/>
              </w:rPr>
              <w:t>预算执行率指标</w:t>
            </w:r>
          </w:p>
        </w:tc>
        <w:tc>
          <w:tcPr>
            <w:tcW w:w="462" w:type="pct"/>
            <w:shd w:val="clear" w:color="auto" w:fill="auto"/>
            <w:vAlign w:val="center"/>
          </w:tcPr>
          <w:p w14:paraId="395BEC6B">
            <w:pPr>
              <w:pStyle w:val="25"/>
              <w:rPr>
                <w:color w:val="auto"/>
                <w:highlight w:val="none"/>
              </w:rPr>
            </w:pPr>
            <w:r>
              <w:rPr>
                <w:rFonts w:hint="default"/>
                <w:color w:val="auto"/>
                <w:highlight w:val="none"/>
              </w:rPr>
              <w:t>预算执行率</w:t>
            </w:r>
          </w:p>
        </w:tc>
        <w:tc>
          <w:tcPr>
            <w:tcW w:w="1379" w:type="pct"/>
            <w:shd w:val="clear" w:color="auto" w:fill="auto"/>
            <w:vAlign w:val="center"/>
          </w:tcPr>
          <w:p w14:paraId="5B468181">
            <w:pPr>
              <w:pStyle w:val="25"/>
              <w:jc w:val="left"/>
              <w:rPr>
                <w:color w:val="auto"/>
                <w:highlight w:val="none"/>
              </w:rPr>
            </w:pPr>
            <w:r>
              <w:rPr>
                <w:rFonts w:hint="default"/>
                <w:color w:val="auto"/>
                <w:highlight w:val="none"/>
              </w:rPr>
              <w:t>实际支出与预算的匹配程度，预算执行率越高得分越高。</w:t>
            </w:r>
          </w:p>
        </w:tc>
        <w:tc>
          <w:tcPr>
            <w:tcW w:w="2226" w:type="pct"/>
            <w:shd w:val="clear" w:color="auto" w:fill="auto"/>
            <w:vAlign w:val="center"/>
          </w:tcPr>
          <w:p w14:paraId="05323536">
            <w:pPr>
              <w:pStyle w:val="25"/>
              <w:jc w:val="left"/>
              <w:rPr>
                <w:rFonts w:hint="eastAsia"/>
                <w:color w:val="auto"/>
                <w:highlight w:val="none"/>
                <w:lang w:val="en-US" w:eastAsia="zh-CN"/>
              </w:rPr>
            </w:pPr>
            <w:r>
              <w:rPr>
                <w:rFonts w:hint="eastAsia"/>
                <w:color w:val="auto"/>
                <w:highlight w:val="none"/>
                <w:lang w:val="en-US" w:eastAsia="zh-CN"/>
              </w:rPr>
              <w:t>“预算执行率”指标得分为系统自动生成，当“预算执行进度≥95%”时，“预算执行率”指标自评得分自动显示为10分；当“预算执行进度＜95%”时，“预算执行率”指标自评得分=预算执行进度*10。</w:t>
            </w:r>
          </w:p>
          <w:p w14:paraId="63E02E87">
            <w:pPr>
              <w:pStyle w:val="25"/>
              <w:jc w:val="left"/>
              <w:rPr>
                <w:color w:val="auto"/>
                <w:highlight w:val="none"/>
              </w:rPr>
            </w:pPr>
            <w:r>
              <w:rPr>
                <w:rFonts w:hint="eastAsia"/>
                <w:color w:val="auto"/>
                <w:highlight w:val="none"/>
                <w:lang w:val="en-US" w:eastAsia="zh-CN"/>
              </w:rPr>
              <w:t>“预算执行进度”由系统自动生成，计算公式为：预算执行进度=执行数/预算数*100%；</w:t>
            </w:r>
          </w:p>
        </w:tc>
      </w:tr>
      <w:tr w14:paraId="6AFB2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 w:type="pct"/>
            <w:vMerge w:val="restart"/>
            <w:shd w:val="clear" w:color="auto" w:fill="auto"/>
            <w:vAlign w:val="center"/>
          </w:tcPr>
          <w:p w14:paraId="4DA77BDE">
            <w:pPr>
              <w:pStyle w:val="25"/>
              <w:rPr>
                <w:color w:val="auto"/>
                <w:highlight w:val="none"/>
              </w:rPr>
            </w:pPr>
            <w:r>
              <w:rPr>
                <w:rFonts w:hint="default"/>
                <w:color w:val="auto"/>
                <w:highlight w:val="none"/>
              </w:rPr>
              <w:t>效益指标（</w:t>
            </w:r>
            <w:r>
              <w:rPr>
                <w:color w:val="auto"/>
                <w:highlight w:val="none"/>
              </w:rPr>
              <w:t>3</w:t>
            </w:r>
            <w:r>
              <w:rPr>
                <w:rFonts w:hint="default"/>
                <w:color w:val="auto"/>
                <w:highlight w:val="none"/>
              </w:rPr>
              <w:t>0分）</w:t>
            </w:r>
          </w:p>
        </w:tc>
        <w:tc>
          <w:tcPr>
            <w:tcW w:w="420" w:type="pct"/>
            <w:shd w:val="clear" w:color="auto" w:fill="auto"/>
            <w:vAlign w:val="center"/>
          </w:tcPr>
          <w:p w14:paraId="14DD2152">
            <w:pPr>
              <w:pStyle w:val="25"/>
              <w:rPr>
                <w:rFonts w:hint="default" w:eastAsia="仿宋_GB2312"/>
                <w:color w:val="auto"/>
                <w:highlight w:val="none"/>
                <w:lang w:val="en-US" w:eastAsia="zh-CN"/>
              </w:rPr>
            </w:pPr>
            <w:r>
              <w:rPr>
                <w:rFonts w:hint="eastAsia"/>
                <w:color w:val="auto"/>
                <w:highlight w:val="none"/>
                <w:lang w:val="en-US" w:eastAsia="zh-CN"/>
              </w:rPr>
              <w:t>社会效益指标</w:t>
            </w:r>
          </w:p>
        </w:tc>
        <w:tc>
          <w:tcPr>
            <w:tcW w:w="462" w:type="pct"/>
            <w:shd w:val="clear" w:color="auto" w:fill="auto"/>
            <w:vAlign w:val="center"/>
          </w:tcPr>
          <w:p w14:paraId="3EF357BB">
            <w:pPr>
              <w:pStyle w:val="25"/>
              <w:ind w:firstLine="0" w:firstLineChars="0"/>
              <w:rPr>
                <w:rFonts w:hint="default" w:ascii="仿宋_GB2312" w:hAnsi="仿宋_GB2312" w:eastAsia="仿宋_GB2312" w:cstheme="minorBidi"/>
                <w:color w:val="auto"/>
                <w:kern w:val="2"/>
                <w:sz w:val="28"/>
                <w:szCs w:val="24"/>
                <w:highlight w:val="none"/>
                <w:lang w:val="en-US" w:eastAsia="zh-CN" w:bidi="ar-SA"/>
              </w:rPr>
            </w:pPr>
            <w:r>
              <w:rPr>
                <w:rFonts w:hint="eastAsia"/>
                <w:color w:val="auto"/>
                <w:highlight w:val="none"/>
                <w:lang w:val="en-US" w:eastAsia="zh-CN"/>
              </w:rPr>
              <w:t>排涝能力提升率</w:t>
            </w:r>
          </w:p>
        </w:tc>
        <w:tc>
          <w:tcPr>
            <w:tcW w:w="1379" w:type="pct"/>
            <w:shd w:val="clear" w:color="auto" w:fill="auto"/>
            <w:vAlign w:val="center"/>
          </w:tcPr>
          <w:p w14:paraId="41AA37D8">
            <w:pPr>
              <w:pStyle w:val="25"/>
              <w:ind w:firstLine="0" w:firstLineChars="0"/>
              <w:jc w:val="left"/>
              <w:rPr>
                <w:rFonts w:hint="default" w:ascii="仿宋_GB2312" w:hAnsi="仿宋_GB2312" w:eastAsia="仿宋_GB2312" w:cstheme="minorBidi"/>
                <w:color w:val="auto"/>
                <w:kern w:val="2"/>
                <w:sz w:val="28"/>
                <w:szCs w:val="24"/>
                <w:highlight w:val="none"/>
                <w:lang w:val="en-US" w:eastAsia="zh-CN" w:bidi="ar-SA"/>
              </w:rPr>
            </w:pPr>
            <w:r>
              <w:rPr>
                <w:rFonts w:hint="eastAsia" w:cstheme="minorBidi"/>
                <w:color w:val="auto"/>
                <w:kern w:val="2"/>
                <w:sz w:val="28"/>
                <w:szCs w:val="24"/>
                <w:highlight w:val="none"/>
                <w:lang w:val="en-US" w:eastAsia="zh-CN" w:bidi="ar-SA"/>
              </w:rPr>
              <w:t>考核项目建设后，较项目实施前排涝能力提升的情况。</w:t>
            </w:r>
          </w:p>
        </w:tc>
        <w:tc>
          <w:tcPr>
            <w:tcW w:w="2226" w:type="pct"/>
            <w:shd w:val="clear" w:color="auto" w:fill="auto"/>
            <w:vAlign w:val="center"/>
          </w:tcPr>
          <w:p w14:paraId="39096129">
            <w:pPr>
              <w:pStyle w:val="25"/>
              <w:jc w:val="left"/>
              <w:rPr>
                <w:color w:val="auto"/>
                <w:highlight w:val="none"/>
              </w:rPr>
            </w:pPr>
            <w:r>
              <w:rPr>
                <w:rFonts w:hint="eastAsia"/>
                <w:color w:val="auto"/>
                <w:highlight w:val="none"/>
                <w:lang w:val="en-US" w:eastAsia="zh-CN"/>
              </w:rPr>
              <w:t>项目实施后，排涝能力提升情况在预期指标范围内，则本项指标得满分</w:t>
            </w:r>
            <w:r>
              <w:rPr>
                <w:rFonts w:hint="default"/>
                <w:color w:val="auto"/>
                <w:highlight w:val="none"/>
              </w:rPr>
              <w:t>。</w:t>
            </w:r>
          </w:p>
        </w:tc>
      </w:tr>
      <w:tr w14:paraId="79E38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 w:type="pct"/>
            <w:vMerge w:val="continue"/>
            <w:shd w:val="clear" w:color="auto" w:fill="auto"/>
            <w:vAlign w:val="center"/>
          </w:tcPr>
          <w:p w14:paraId="7EA57D81">
            <w:pPr>
              <w:pStyle w:val="25"/>
              <w:rPr>
                <w:rFonts w:hint="default"/>
                <w:color w:val="auto"/>
                <w:highlight w:val="none"/>
              </w:rPr>
            </w:pPr>
          </w:p>
        </w:tc>
        <w:tc>
          <w:tcPr>
            <w:tcW w:w="420" w:type="pct"/>
            <w:shd w:val="clear" w:color="auto" w:fill="auto"/>
            <w:vAlign w:val="center"/>
          </w:tcPr>
          <w:p w14:paraId="2E9FCE5A">
            <w:pPr>
              <w:pStyle w:val="25"/>
              <w:rPr>
                <w:rFonts w:hint="default"/>
                <w:color w:val="auto"/>
                <w:highlight w:val="none"/>
                <w:lang w:val="en-US" w:eastAsia="zh-CN"/>
              </w:rPr>
            </w:pPr>
            <w:r>
              <w:rPr>
                <w:rFonts w:hint="eastAsia"/>
                <w:color w:val="auto"/>
                <w:highlight w:val="none"/>
                <w:lang w:val="en-US" w:eastAsia="zh-CN"/>
              </w:rPr>
              <w:t>可持续影响</w:t>
            </w:r>
          </w:p>
        </w:tc>
        <w:tc>
          <w:tcPr>
            <w:tcW w:w="462" w:type="pct"/>
            <w:shd w:val="clear" w:color="auto" w:fill="auto"/>
            <w:vAlign w:val="center"/>
          </w:tcPr>
          <w:p w14:paraId="6342F365">
            <w:pPr>
              <w:pStyle w:val="25"/>
              <w:ind w:firstLine="0" w:firstLineChars="0"/>
              <w:rPr>
                <w:rFonts w:hint="default"/>
                <w:color w:val="auto"/>
                <w:highlight w:val="none"/>
                <w:lang w:val="en-US" w:eastAsia="zh-CN"/>
              </w:rPr>
            </w:pPr>
            <w:r>
              <w:rPr>
                <w:rFonts w:hint="eastAsia"/>
                <w:color w:val="auto"/>
                <w:highlight w:val="none"/>
                <w:lang w:val="en-US" w:eastAsia="zh-CN"/>
              </w:rPr>
              <w:t>可持续使用时间</w:t>
            </w:r>
          </w:p>
        </w:tc>
        <w:tc>
          <w:tcPr>
            <w:tcW w:w="1379" w:type="pct"/>
            <w:shd w:val="clear" w:color="auto" w:fill="auto"/>
            <w:vAlign w:val="center"/>
          </w:tcPr>
          <w:p w14:paraId="0E3929FD">
            <w:pPr>
              <w:pStyle w:val="25"/>
              <w:ind w:firstLine="0" w:firstLineChars="0"/>
              <w:jc w:val="left"/>
              <w:rPr>
                <w:rFonts w:hint="default" w:eastAsia="仿宋_GB2312"/>
                <w:color w:val="auto"/>
                <w:highlight w:val="none"/>
                <w:lang w:val="en-US" w:eastAsia="zh-CN"/>
              </w:rPr>
            </w:pPr>
            <w:r>
              <w:rPr>
                <w:rFonts w:hint="eastAsia"/>
                <w:color w:val="auto"/>
                <w:highlight w:val="none"/>
                <w:lang w:val="en-US" w:eastAsia="zh-CN"/>
              </w:rPr>
              <w:t>反映工程建成后正常使用年限。</w:t>
            </w:r>
          </w:p>
        </w:tc>
        <w:tc>
          <w:tcPr>
            <w:tcW w:w="2226" w:type="pct"/>
            <w:shd w:val="clear" w:color="auto" w:fill="auto"/>
            <w:vAlign w:val="center"/>
          </w:tcPr>
          <w:p w14:paraId="4012FFB3">
            <w:pPr>
              <w:pStyle w:val="25"/>
              <w:jc w:val="left"/>
              <w:rPr>
                <w:rFonts w:hint="default" w:eastAsia="仿宋_GB2312"/>
                <w:color w:val="auto"/>
                <w:highlight w:val="none"/>
                <w:lang w:val="en-US" w:eastAsia="zh-CN"/>
              </w:rPr>
            </w:pPr>
            <w:r>
              <w:rPr>
                <w:rFonts w:hint="eastAsia"/>
                <w:color w:val="auto"/>
                <w:highlight w:val="none"/>
                <w:lang w:val="en-US" w:eastAsia="zh-CN"/>
              </w:rPr>
              <w:t>项目实施后，可持续影响得分=正常使用年限/预期可使用年限*权重</w:t>
            </w:r>
          </w:p>
        </w:tc>
      </w:tr>
      <w:tr w14:paraId="54238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 w:type="pct"/>
            <w:shd w:val="clear" w:color="auto" w:fill="auto"/>
            <w:vAlign w:val="center"/>
          </w:tcPr>
          <w:p w14:paraId="0D4142B7">
            <w:pPr>
              <w:pStyle w:val="25"/>
              <w:rPr>
                <w:rFonts w:hint="default" w:eastAsia="仿宋_GB2312"/>
                <w:color w:val="auto"/>
                <w:highlight w:val="none"/>
                <w:lang w:val="en-US" w:eastAsia="zh-CN"/>
              </w:rPr>
            </w:pPr>
            <w:r>
              <w:rPr>
                <w:rFonts w:hint="eastAsia"/>
                <w:color w:val="auto"/>
                <w:highlight w:val="none"/>
                <w:lang w:val="en-US" w:eastAsia="zh-CN"/>
              </w:rPr>
              <w:t>满意度指标（10）</w:t>
            </w:r>
          </w:p>
        </w:tc>
        <w:tc>
          <w:tcPr>
            <w:tcW w:w="420" w:type="pct"/>
            <w:shd w:val="clear" w:color="auto" w:fill="auto"/>
            <w:vAlign w:val="center"/>
          </w:tcPr>
          <w:p w14:paraId="0F8705E7">
            <w:pPr>
              <w:pStyle w:val="25"/>
              <w:rPr>
                <w:color w:val="auto"/>
                <w:highlight w:val="none"/>
              </w:rPr>
            </w:pPr>
            <w:bookmarkStart w:id="0" w:name="OLE_LINK2"/>
            <w:r>
              <w:rPr>
                <w:rFonts w:hint="eastAsia"/>
                <w:color w:val="auto"/>
                <w:highlight w:val="none"/>
              </w:rPr>
              <w:t>服务对象满意度指标</w:t>
            </w:r>
            <w:bookmarkEnd w:id="0"/>
          </w:p>
        </w:tc>
        <w:tc>
          <w:tcPr>
            <w:tcW w:w="462" w:type="pct"/>
            <w:shd w:val="clear" w:color="auto" w:fill="auto"/>
            <w:vAlign w:val="center"/>
          </w:tcPr>
          <w:p w14:paraId="2E1EB4FF">
            <w:pPr>
              <w:pStyle w:val="25"/>
              <w:ind w:firstLine="0" w:firstLineChars="0"/>
              <w:rPr>
                <w:rFonts w:hint="eastAsia"/>
                <w:color w:val="auto"/>
                <w:highlight w:val="none"/>
                <w:lang w:val="en-US" w:eastAsia="zh-CN"/>
              </w:rPr>
            </w:pPr>
            <w:r>
              <w:rPr>
                <w:rFonts w:hint="eastAsia"/>
                <w:color w:val="auto"/>
                <w:highlight w:val="none"/>
                <w:lang w:val="en-US" w:eastAsia="zh-CN"/>
              </w:rPr>
              <w:t>受益群众满意度</w:t>
            </w:r>
          </w:p>
        </w:tc>
        <w:tc>
          <w:tcPr>
            <w:tcW w:w="1379" w:type="pct"/>
            <w:shd w:val="clear" w:color="auto" w:fill="auto"/>
            <w:vAlign w:val="center"/>
          </w:tcPr>
          <w:p w14:paraId="3180118B">
            <w:pPr>
              <w:pStyle w:val="25"/>
              <w:ind w:firstLine="0" w:firstLineChars="0"/>
              <w:jc w:val="left"/>
              <w:rPr>
                <w:rFonts w:hint="default" w:eastAsia="仿宋_GB2312"/>
                <w:color w:val="auto"/>
                <w:highlight w:val="none"/>
                <w:lang w:val="en-US" w:eastAsia="zh-CN"/>
              </w:rPr>
            </w:pPr>
            <w:r>
              <w:rPr>
                <w:rFonts w:hint="eastAsia"/>
                <w:color w:val="auto"/>
                <w:highlight w:val="none"/>
                <w:lang w:val="en-US" w:eastAsia="zh-CN"/>
              </w:rPr>
              <w:t>项目受益群众对项目建设设施的满意度调查。</w:t>
            </w:r>
          </w:p>
        </w:tc>
        <w:tc>
          <w:tcPr>
            <w:tcW w:w="2226" w:type="pct"/>
            <w:shd w:val="clear" w:color="auto" w:fill="auto"/>
            <w:vAlign w:val="center"/>
          </w:tcPr>
          <w:p w14:paraId="03870041">
            <w:pPr>
              <w:pStyle w:val="25"/>
              <w:jc w:val="left"/>
              <w:rPr>
                <w:rFonts w:hint="default" w:eastAsia="仿宋_GB2312"/>
                <w:color w:val="auto"/>
                <w:highlight w:val="none"/>
                <w:lang w:val="en-US" w:eastAsia="zh-CN"/>
              </w:rPr>
            </w:pPr>
            <w:r>
              <w:rPr>
                <w:rFonts w:hint="eastAsia"/>
                <w:color w:val="auto"/>
                <w:highlight w:val="none"/>
                <w:lang w:val="en-US" w:eastAsia="zh-CN"/>
              </w:rPr>
              <w:t>设计调查问卷，下发给受益对象，受益对象对项目建设实施的满意程度。</w:t>
            </w:r>
          </w:p>
        </w:tc>
      </w:tr>
    </w:tbl>
    <w:p w14:paraId="3E7E9E87">
      <w:pPr>
        <w:pStyle w:val="2"/>
        <w:numPr>
          <w:ilvl w:val="0"/>
          <w:numId w:val="0"/>
        </w:numPr>
        <w:ind w:left="640" w:leftChars="200"/>
        <w:rPr>
          <w:rFonts w:hint="eastAsia"/>
          <w:color w:val="auto"/>
        </w:rPr>
        <w:sectPr>
          <w:pgSz w:w="16838" w:h="11906" w:orient="landscape"/>
          <w:pgMar w:top="1800" w:right="1440" w:bottom="1800" w:left="1440" w:header="851" w:footer="992" w:gutter="0"/>
          <w:pgNumType w:fmt="numberInDash"/>
          <w:cols w:space="425" w:num="1"/>
          <w:docGrid w:type="lines" w:linePitch="312" w:charSpace="0"/>
        </w:sectPr>
      </w:pPr>
    </w:p>
    <w:p w14:paraId="1B883856">
      <w:pPr>
        <w:pStyle w:val="2"/>
        <w:ind w:firstLine="643"/>
        <w:rPr>
          <w:rFonts w:hint="eastAsia"/>
          <w:color w:val="auto"/>
        </w:rPr>
      </w:pPr>
      <w:r>
        <w:rPr>
          <w:color w:val="auto"/>
        </w:rPr>
        <w:t>项目执行及绩效实现情况</w:t>
      </w:r>
    </w:p>
    <w:p w14:paraId="5DC43455">
      <w:pPr>
        <w:pStyle w:val="3"/>
        <w:ind w:firstLine="643"/>
        <w:rPr>
          <w:color w:val="auto"/>
        </w:rPr>
      </w:pPr>
      <w:r>
        <w:rPr>
          <w:color w:val="auto"/>
        </w:rPr>
        <w:t>预算执行情况</w:t>
      </w:r>
    </w:p>
    <w:p w14:paraId="48F59262">
      <w:pPr>
        <w:rPr>
          <w:rFonts w:hint="eastAsia"/>
          <w:color w:val="auto"/>
        </w:rPr>
      </w:pPr>
      <w:r>
        <w:rPr>
          <w:rFonts w:hint="eastAsia"/>
          <w:color w:val="auto"/>
          <w:lang w:val="en-US" w:eastAsia="zh-CN"/>
        </w:rPr>
        <w:t>本项目2024年财政预算资金为50000.00万元，其中，国债中央补助资金47548.00万元，省级补助资金1188.70万元，市级配套资金1263.30万元。</w:t>
      </w:r>
    </w:p>
    <w:p w14:paraId="64782A2E">
      <w:pPr>
        <w:rPr>
          <w:rFonts w:hint="default"/>
          <w:color w:val="auto"/>
          <w:lang w:val="en-US" w:eastAsia="zh-CN"/>
        </w:rPr>
      </w:pPr>
      <w:r>
        <w:rPr>
          <w:rFonts w:hint="eastAsia"/>
          <w:color w:val="auto"/>
          <w:lang w:val="en-US" w:eastAsia="zh-CN"/>
        </w:rPr>
        <w:t>截至2024年12月31日，项目</w:t>
      </w:r>
      <w:r>
        <w:rPr>
          <w:rFonts w:hint="default"/>
          <w:color w:val="auto"/>
          <w:lang w:val="en-US" w:eastAsia="zh-CN"/>
        </w:rPr>
        <w:t>预算支出</w:t>
      </w:r>
      <w:r>
        <w:rPr>
          <w:rFonts w:hint="eastAsia"/>
          <w:color w:val="auto"/>
          <w:lang w:val="en-US" w:eastAsia="zh-CN"/>
        </w:rPr>
        <w:t>28347.67</w:t>
      </w:r>
      <w:r>
        <w:rPr>
          <w:rFonts w:hint="default"/>
          <w:color w:val="auto"/>
          <w:lang w:val="en-US" w:eastAsia="zh-CN"/>
        </w:rPr>
        <w:t>万元，预算执行率为</w:t>
      </w:r>
      <w:r>
        <w:rPr>
          <w:rFonts w:hint="eastAsia"/>
          <w:color w:val="auto"/>
          <w:lang w:val="en-US" w:eastAsia="zh-CN"/>
        </w:rPr>
        <w:t>56.70%。</w:t>
      </w:r>
      <w:r>
        <w:rPr>
          <w:rFonts w:hint="default"/>
          <w:color w:val="auto"/>
          <w:lang w:val="en-US" w:eastAsia="zh-CN"/>
        </w:rPr>
        <w:t>其中，</w:t>
      </w:r>
      <w:r>
        <w:rPr>
          <w:rFonts w:hint="eastAsia"/>
          <w:color w:val="auto"/>
          <w:lang w:val="en-US" w:eastAsia="zh-CN"/>
        </w:rPr>
        <w:t>国债中央补助资金支出28340.67</w:t>
      </w:r>
      <w:r>
        <w:rPr>
          <w:rFonts w:hint="default"/>
          <w:color w:val="auto"/>
          <w:lang w:val="en-US" w:eastAsia="zh-CN"/>
        </w:rPr>
        <w:t>万元，市级配套资金</w:t>
      </w:r>
      <w:r>
        <w:rPr>
          <w:rFonts w:hint="eastAsia"/>
          <w:color w:val="auto"/>
          <w:lang w:val="en-US" w:eastAsia="zh-CN"/>
        </w:rPr>
        <w:t>支出7.00</w:t>
      </w:r>
      <w:r>
        <w:rPr>
          <w:rFonts w:hint="default"/>
          <w:color w:val="auto"/>
          <w:lang w:val="en-US" w:eastAsia="zh-CN"/>
        </w:rPr>
        <w:t>万元。</w:t>
      </w:r>
    </w:p>
    <w:p w14:paraId="16C089AD">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此项满分10分，按照评分办法，得分=</w:t>
      </w:r>
      <w:r>
        <w:rPr>
          <w:rFonts w:hint="eastAsia"/>
          <w:sz w:val="32"/>
          <w:szCs w:val="32"/>
          <w:lang w:val="en-US" w:eastAsia="zh-CN"/>
        </w:rPr>
        <w:t>56.70%</w:t>
      </w:r>
      <w:r>
        <w:rPr>
          <w:rFonts w:hint="eastAsia" w:ascii="仿宋_GB2312" w:eastAsia="仿宋_GB2312"/>
          <w:sz w:val="32"/>
          <w:szCs w:val="32"/>
          <w:lang w:val="en-US" w:eastAsia="zh-CN"/>
        </w:rPr>
        <w:t>*10分=</w:t>
      </w:r>
      <w:r>
        <w:rPr>
          <w:rFonts w:hint="eastAsia"/>
          <w:sz w:val="32"/>
          <w:szCs w:val="32"/>
          <w:lang w:val="en-US" w:eastAsia="zh-CN"/>
        </w:rPr>
        <w:t>5.67</w:t>
      </w:r>
      <w:r>
        <w:rPr>
          <w:rFonts w:hint="eastAsia" w:ascii="仿宋_GB2312" w:eastAsia="仿宋_GB2312"/>
          <w:sz w:val="32"/>
          <w:szCs w:val="32"/>
          <w:lang w:val="en-US" w:eastAsia="zh-CN"/>
        </w:rPr>
        <w:t>分。</w:t>
      </w:r>
    </w:p>
    <w:p w14:paraId="5F314E35">
      <w:pPr>
        <w:pStyle w:val="3"/>
        <w:ind w:firstLine="643"/>
        <w:rPr>
          <w:color w:val="auto"/>
        </w:rPr>
      </w:pPr>
      <w:r>
        <w:rPr>
          <w:color w:val="auto"/>
        </w:rPr>
        <w:t>项目产出</w:t>
      </w:r>
    </w:p>
    <w:p w14:paraId="466A84EC">
      <w:pPr>
        <w:pStyle w:val="4"/>
        <w:ind w:firstLine="643"/>
        <w:rPr>
          <w:color w:val="auto"/>
        </w:rPr>
      </w:pPr>
      <w:r>
        <w:rPr>
          <w:rFonts w:hint="default"/>
          <w:color w:val="auto"/>
        </w:rPr>
        <w:t>数量完成情况</w:t>
      </w:r>
    </w:p>
    <w:p w14:paraId="3F6FA706">
      <w:pPr>
        <w:ind w:firstLine="640"/>
        <w:rPr>
          <w:rFonts w:hint="eastAsia"/>
          <w:color w:val="auto"/>
          <w:lang w:val="en-US" w:eastAsia="zh-CN"/>
        </w:rPr>
      </w:pPr>
      <w:r>
        <w:rPr>
          <w:rFonts w:hint="eastAsia"/>
          <w:color w:val="auto"/>
          <w:lang w:val="en-US" w:eastAsia="zh-CN"/>
        </w:rPr>
        <w:t>项目数量指标为“新建排水渠=</w:t>
      </w:r>
      <w:r>
        <w:rPr>
          <w:rFonts w:hint="eastAsia"/>
          <w:color w:val="auto"/>
          <w:lang w:val="en-US" w:eastAsia="zh-CN"/>
        </w:rPr>
        <w:tab/>
      </w:r>
      <w:r>
        <w:rPr>
          <w:rFonts w:hint="eastAsia"/>
          <w:color w:val="auto"/>
          <w:lang w:val="en-US" w:eastAsia="zh-CN"/>
        </w:rPr>
        <w:t>5.10公里”，项目实际新建排水渠长度为3公里，未完成指标。</w:t>
      </w:r>
    </w:p>
    <w:p w14:paraId="42497581">
      <w:pPr>
        <w:ind w:firstLine="640"/>
        <w:rPr>
          <w:rFonts w:hint="default"/>
          <w:color w:val="auto"/>
          <w:lang w:val="en-US" w:eastAsia="zh-CN"/>
        </w:rPr>
      </w:pPr>
      <w:r>
        <w:rPr>
          <w:rFonts w:hint="eastAsia"/>
          <w:color w:val="auto"/>
          <w:lang w:val="en-US" w:eastAsia="zh-CN"/>
        </w:rPr>
        <w:t>此项满分8分，根据项目实际完成情况，本项得分5分。</w:t>
      </w:r>
    </w:p>
    <w:p w14:paraId="720CE1F1">
      <w:pPr>
        <w:pStyle w:val="4"/>
        <w:ind w:firstLine="643"/>
        <w:rPr>
          <w:color w:val="auto"/>
        </w:rPr>
      </w:pPr>
      <w:r>
        <w:rPr>
          <w:rFonts w:hint="default"/>
          <w:color w:val="auto"/>
        </w:rPr>
        <w:t>质量达标情况</w:t>
      </w:r>
    </w:p>
    <w:p w14:paraId="12ACE8FC">
      <w:pPr>
        <w:ind w:firstLine="640"/>
        <w:rPr>
          <w:rFonts w:hint="default"/>
          <w:color w:val="auto"/>
          <w:lang w:val="en-US" w:eastAsia="zh-CN"/>
        </w:rPr>
      </w:pPr>
      <w:r>
        <w:rPr>
          <w:rFonts w:hint="eastAsia"/>
          <w:color w:val="auto"/>
          <w:lang w:val="en-US" w:eastAsia="zh-CN"/>
        </w:rPr>
        <w:t>项目质量指标为“交（竣）工验收合格率=100%”、“项目设计变更率≤10.00%”，该项目目前尚未竣工，分部分项工程资料完成，符合设计要求及国家相关技术标准规范，分部分项工程质量合格，按照工程进度得5分。该项目建设过程中未发生设计变更情况，得分8分。</w:t>
      </w:r>
    </w:p>
    <w:p w14:paraId="2B360F00">
      <w:pPr>
        <w:ind w:firstLine="640"/>
        <w:rPr>
          <w:rFonts w:hint="eastAsia"/>
          <w:color w:val="auto"/>
          <w:lang w:val="en-US" w:eastAsia="zh-CN"/>
        </w:rPr>
      </w:pPr>
      <w:r>
        <w:rPr>
          <w:rFonts w:hint="eastAsia"/>
          <w:color w:val="auto"/>
          <w:lang w:val="en-US" w:eastAsia="zh-CN"/>
        </w:rPr>
        <w:t>质量指标满分16分，评价得分13分。</w:t>
      </w:r>
    </w:p>
    <w:p w14:paraId="7389F327">
      <w:pPr>
        <w:pStyle w:val="4"/>
        <w:ind w:firstLine="643"/>
        <w:rPr>
          <w:color w:val="auto"/>
        </w:rPr>
      </w:pPr>
      <w:r>
        <w:rPr>
          <w:rFonts w:hint="default"/>
          <w:color w:val="auto"/>
        </w:rPr>
        <w:t>时效</w:t>
      </w:r>
      <w:r>
        <w:rPr>
          <w:color w:val="auto"/>
        </w:rPr>
        <w:t>控制情况</w:t>
      </w:r>
    </w:p>
    <w:p w14:paraId="1D6A9495">
      <w:pPr>
        <w:ind w:firstLine="640"/>
        <w:rPr>
          <w:rFonts w:hint="eastAsia"/>
          <w:color w:val="auto"/>
          <w:lang w:val="en-US" w:eastAsia="zh-CN"/>
        </w:rPr>
      </w:pPr>
      <w:r>
        <w:rPr>
          <w:rFonts w:hint="eastAsia"/>
          <w:color w:val="auto"/>
          <w:lang w:val="en-US" w:eastAsia="zh-CN"/>
        </w:rPr>
        <w:t>项目时效指标“工程按时开工率=100%”、“工程完成时间为2025年6月30日前”。</w:t>
      </w:r>
    </w:p>
    <w:p w14:paraId="3C4C35AB">
      <w:pPr>
        <w:ind w:firstLine="640"/>
        <w:rPr>
          <w:rFonts w:hint="eastAsia"/>
          <w:color w:val="auto"/>
          <w:lang w:val="en-US" w:eastAsia="zh-CN"/>
        </w:rPr>
      </w:pPr>
      <w:r>
        <w:rPr>
          <w:rFonts w:hint="eastAsia"/>
          <w:color w:val="auto"/>
          <w:lang w:val="en-US" w:eastAsia="zh-CN"/>
        </w:rPr>
        <w:t>实际项目按时开工，按时开工率100%，评价得分8分；目前正在施工，按照施工许可证的竣工时间为2025年6月30日前完工。截至2024年12月31日，项目完成当年工程计划，按照时间进度，得分7.2分。</w:t>
      </w:r>
    </w:p>
    <w:p w14:paraId="6E0DFBBF">
      <w:pPr>
        <w:ind w:firstLine="640"/>
        <w:rPr>
          <w:rFonts w:hint="eastAsia"/>
          <w:color w:val="auto"/>
          <w:lang w:val="en-US" w:eastAsia="zh-CN"/>
        </w:rPr>
      </w:pPr>
      <w:r>
        <w:rPr>
          <w:rFonts w:hint="eastAsia"/>
          <w:color w:val="auto"/>
          <w:lang w:val="en-US" w:eastAsia="zh-CN"/>
        </w:rPr>
        <w:t>时效指标满分16分，评价得分15.2分。</w:t>
      </w:r>
    </w:p>
    <w:p w14:paraId="2C2B0984">
      <w:pPr>
        <w:pStyle w:val="4"/>
        <w:ind w:firstLine="643"/>
        <w:rPr>
          <w:color w:val="auto"/>
        </w:rPr>
      </w:pPr>
      <w:r>
        <w:rPr>
          <w:color w:val="auto"/>
        </w:rPr>
        <w:t>成本控制情况</w:t>
      </w:r>
    </w:p>
    <w:p w14:paraId="326C3AC2">
      <w:pPr>
        <w:ind w:firstLine="640"/>
        <w:rPr>
          <w:rFonts w:hint="eastAsia" w:eastAsiaTheme="minorEastAsia"/>
          <w:color w:val="auto"/>
        </w:rPr>
      </w:pPr>
      <w:r>
        <w:rPr>
          <w:rFonts w:hint="eastAsia"/>
          <w:color w:val="auto"/>
          <w:lang w:val="en-US" w:eastAsia="zh-CN"/>
        </w:rPr>
        <w:t>2024年项目成本指标为“工程建设成本控制情况≤11654.10万元/公里”，截至2024年12月31日，本项目预算支出28347.67万元，工程完成3公里，工程建设</w:t>
      </w:r>
      <w:bookmarkStart w:id="1" w:name="_GoBack"/>
      <w:bookmarkEnd w:id="1"/>
      <w:r>
        <w:rPr>
          <w:rFonts w:hint="eastAsia"/>
          <w:color w:val="auto"/>
          <w:lang w:val="en-US" w:eastAsia="zh-CN"/>
        </w:rPr>
        <w:t>成本在计划指标范围内，此项满分10分，评价得分10分。</w:t>
      </w:r>
    </w:p>
    <w:p w14:paraId="5599E709">
      <w:pPr>
        <w:pStyle w:val="3"/>
        <w:ind w:firstLine="643"/>
        <w:rPr>
          <w:color w:val="auto"/>
        </w:rPr>
      </w:pPr>
      <w:r>
        <w:rPr>
          <w:color w:val="auto"/>
        </w:rPr>
        <w:t>项目效益</w:t>
      </w:r>
    </w:p>
    <w:p w14:paraId="5BB2D765">
      <w:pPr>
        <w:rPr>
          <w:rFonts w:hint="eastAsia"/>
          <w:color w:val="auto"/>
          <w:lang w:val="en-US" w:eastAsia="zh-CN"/>
        </w:rPr>
      </w:pPr>
      <w:r>
        <w:rPr>
          <w:rFonts w:hint="eastAsia"/>
          <w:color w:val="auto"/>
          <w:lang w:val="en-US" w:eastAsia="zh-CN"/>
        </w:rPr>
        <w:t>项目社会效益指标为“排涝能力提升率≥90%”，四支渠（新华路-南泄洪渠）新建工程实施后，排水渠能快速排除雨水，降低暴雨期间的地面积水，缓解内涝、改善水环境，预计较上一年度排涝能力提升95%；</w:t>
      </w:r>
    </w:p>
    <w:p w14:paraId="5364A879">
      <w:pPr>
        <w:rPr>
          <w:rFonts w:hint="eastAsia"/>
          <w:color w:val="auto"/>
          <w:lang w:val="en-US" w:eastAsia="zh-CN"/>
        </w:rPr>
      </w:pPr>
      <w:r>
        <w:rPr>
          <w:rFonts w:hint="eastAsia"/>
          <w:color w:val="auto"/>
          <w:lang w:val="en-US" w:eastAsia="zh-CN"/>
        </w:rPr>
        <w:t>项目可持续影响指标为“可持续使用时间≥50</w:t>
      </w:r>
      <w:r>
        <w:rPr>
          <w:rFonts w:hint="eastAsia"/>
          <w:color w:val="auto"/>
          <w:lang w:val="en-US" w:eastAsia="zh-CN"/>
        </w:rPr>
        <w:tab/>
      </w:r>
      <w:r>
        <w:rPr>
          <w:rFonts w:hint="eastAsia"/>
          <w:color w:val="auto"/>
          <w:lang w:val="en-US" w:eastAsia="zh-CN"/>
        </w:rPr>
        <w:t>年”，项目正常建设，质量有保障，预计工程使用年限为50年。</w:t>
      </w:r>
    </w:p>
    <w:p w14:paraId="6D0AAB43">
      <w:pPr>
        <w:rPr>
          <w:rFonts w:hint="eastAsia"/>
          <w:color w:val="auto"/>
          <w:lang w:val="en-US" w:eastAsia="zh-CN"/>
        </w:rPr>
      </w:pPr>
      <w:r>
        <w:rPr>
          <w:rFonts w:hint="eastAsia"/>
          <w:color w:val="auto"/>
          <w:lang w:val="en-US" w:eastAsia="zh-CN"/>
        </w:rPr>
        <w:t>此项满分30.0分，按照工程进度，此项评价得分27.0分。</w:t>
      </w:r>
    </w:p>
    <w:p w14:paraId="7F27949F">
      <w:pPr>
        <w:pStyle w:val="3"/>
        <w:rPr>
          <w:rFonts w:hint="eastAsia"/>
          <w:color w:val="auto"/>
          <w:lang w:val="en-US" w:eastAsia="zh-CN"/>
        </w:rPr>
      </w:pPr>
      <w:r>
        <w:rPr>
          <w:rFonts w:hint="eastAsia"/>
          <w:color w:val="auto"/>
          <w:lang w:val="en-US" w:eastAsia="zh-CN"/>
        </w:rPr>
        <w:t>项目满意度</w:t>
      </w:r>
    </w:p>
    <w:p w14:paraId="6FA727E3">
      <w:pPr>
        <w:ind w:firstLine="640"/>
        <w:rPr>
          <w:rFonts w:hint="eastAsia"/>
          <w:color w:val="auto"/>
        </w:rPr>
      </w:pPr>
      <w:r>
        <w:rPr>
          <w:color w:val="auto"/>
        </w:rPr>
        <w:t>满意度指标</w:t>
      </w:r>
      <w:r>
        <w:rPr>
          <w:rFonts w:hint="eastAsia"/>
          <w:color w:val="auto"/>
          <w:lang w:eastAsia="zh-CN"/>
        </w:rPr>
        <w:t>，</w:t>
      </w:r>
      <w:r>
        <w:rPr>
          <w:color w:val="auto"/>
        </w:rPr>
        <w:t>“</w:t>
      </w:r>
      <w:r>
        <w:rPr>
          <w:rFonts w:hint="eastAsia"/>
          <w:color w:val="auto"/>
        </w:rPr>
        <w:t>受益群众满意度</w:t>
      </w:r>
      <w:r>
        <w:rPr>
          <w:color w:val="auto"/>
        </w:rPr>
        <w:t>”指标，随机调查问卷，对项目满意人数与调查总人数的比值预期指标值为</w:t>
      </w:r>
      <w:r>
        <w:rPr>
          <w:rFonts w:hint="eastAsia"/>
          <w:color w:val="auto"/>
        </w:rPr>
        <w:t>“≥</w:t>
      </w:r>
      <w:r>
        <w:rPr>
          <w:rFonts w:hint="eastAsia"/>
          <w:color w:val="auto"/>
          <w:lang w:val="en-US" w:eastAsia="zh-CN"/>
        </w:rPr>
        <w:t>90</w:t>
      </w:r>
      <w:r>
        <w:rPr>
          <w:rFonts w:hint="eastAsia"/>
          <w:color w:val="auto"/>
        </w:rPr>
        <w:t>.00%”</w:t>
      </w:r>
      <w:r>
        <w:rPr>
          <w:rFonts w:hint="eastAsia"/>
          <w:color w:val="auto"/>
          <w:lang w:eastAsia="zh-CN"/>
        </w:rPr>
        <w:t>，</w:t>
      </w:r>
      <w:r>
        <w:rPr>
          <w:rFonts w:hint="eastAsia"/>
          <w:color w:val="auto"/>
          <w:lang w:val="en-US" w:eastAsia="zh-CN"/>
        </w:rPr>
        <w:t>四支渠（新华路-南泄洪渠）新建工程实施后，</w:t>
      </w:r>
      <w:r>
        <w:rPr>
          <w:rFonts w:hint="eastAsia"/>
          <w:color w:val="auto"/>
        </w:rPr>
        <w:t>受益群众满意度</w:t>
      </w:r>
      <w:r>
        <w:rPr>
          <w:rFonts w:hint="eastAsia"/>
          <w:color w:val="auto"/>
          <w:lang w:val="en-US" w:eastAsia="zh-CN"/>
        </w:rPr>
        <w:t>达到95%</w:t>
      </w:r>
      <w:r>
        <w:rPr>
          <w:rFonts w:hint="eastAsia"/>
          <w:color w:val="auto"/>
        </w:rPr>
        <w:t>。</w:t>
      </w:r>
    </w:p>
    <w:p w14:paraId="6B80FE14">
      <w:pPr>
        <w:ind w:firstLine="640"/>
        <w:rPr>
          <w:rFonts w:hint="eastAsia"/>
          <w:color w:val="auto"/>
        </w:rPr>
      </w:pPr>
      <w:r>
        <w:rPr>
          <w:rFonts w:hint="eastAsia"/>
          <w:color w:val="auto"/>
          <w:lang w:val="en-US" w:eastAsia="zh-CN"/>
        </w:rPr>
        <w:t>此项满分10.0分，评价得分10.0分。</w:t>
      </w:r>
    </w:p>
    <w:p w14:paraId="0FEF65B6">
      <w:pPr>
        <w:pStyle w:val="2"/>
        <w:ind w:firstLine="643"/>
        <w:rPr>
          <w:rFonts w:hint="eastAsia"/>
          <w:color w:val="auto"/>
        </w:rPr>
      </w:pPr>
      <w:r>
        <w:rPr>
          <w:color w:val="auto"/>
        </w:rPr>
        <w:t>项目综合评价结论</w:t>
      </w:r>
      <w:r>
        <w:rPr>
          <w:rFonts w:hint="eastAsia"/>
          <w:color w:val="auto"/>
        </w:rPr>
        <w:t>和评价</w:t>
      </w:r>
      <w:r>
        <w:rPr>
          <w:color w:val="auto"/>
        </w:rPr>
        <w:t>等级</w:t>
      </w:r>
    </w:p>
    <w:p w14:paraId="55E91846">
      <w:pPr>
        <w:ind w:firstLine="640"/>
        <w:rPr>
          <w:rFonts w:hint="eastAsia"/>
          <w:color w:val="auto"/>
          <w:lang w:val="zh-TW"/>
        </w:rPr>
      </w:pPr>
      <w:r>
        <w:rPr>
          <w:rFonts w:hint="eastAsia"/>
          <w:color w:val="auto"/>
        </w:rPr>
        <w:t>此次绩效评价</w:t>
      </w:r>
      <w:r>
        <w:rPr>
          <w:rFonts w:hint="eastAsia"/>
          <w:color w:val="auto"/>
          <w:lang w:val="zh-TW"/>
        </w:rPr>
        <w:t>通过组织论证的评价指标体系及评分标准，</w:t>
      </w:r>
      <w:r>
        <w:rPr>
          <w:rFonts w:hint="eastAsia"/>
          <w:color w:val="auto"/>
        </w:rPr>
        <w:t>采用的方法比较法、公众评判法，</w:t>
      </w:r>
      <w:r>
        <w:rPr>
          <w:rFonts w:hint="eastAsia"/>
          <w:color w:val="auto"/>
          <w:lang w:val="zh-TW"/>
        </w:rPr>
        <w:t>对</w:t>
      </w:r>
      <w:r>
        <w:rPr>
          <w:rFonts w:hint="eastAsia"/>
          <w:color w:val="auto"/>
        </w:rPr>
        <w:t>四支渠（新华路-南泄洪渠）新建工程项目</w:t>
      </w:r>
      <w:r>
        <w:rPr>
          <w:rFonts w:hint="eastAsia"/>
          <w:color w:val="auto"/>
          <w:lang w:val="zh-TW"/>
        </w:rPr>
        <w:t>绩效进行客观评价，最终评分结果：总分为</w:t>
      </w:r>
      <w:r>
        <w:rPr>
          <w:rFonts w:hint="eastAsia"/>
          <w:color w:val="auto"/>
          <w:lang w:val="en-US" w:eastAsia="zh-CN"/>
        </w:rPr>
        <w:t>85.87</w:t>
      </w:r>
      <w:r>
        <w:rPr>
          <w:rFonts w:hint="eastAsia"/>
          <w:color w:val="auto"/>
          <w:lang w:val="zh-TW"/>
        </w:rPr>
        <w:t>分，绩效评级为“</w:t>
      </w:r>
      <w:r>
        <w:rPr>
          <w:rFonts w:hint="eastAsia"/>
          <w:color w:val="auto"/>
          <w:lang w:val="en-US" w:eastAsia="zh-CN"/>
        </w:rPr>
        <w:t>优秀</w:t>
      </w:r>
      <w:r>
        <w:rPr>
          <w:rFonts w:hint="eastAsia"/>
          <w:color w:val="auto"/>
          <w:lang w:val="zh-TW"/>
        </w:rPr>
        <w:t>”。各部分绩效</w:t>
      </w:r>
      <w:r>
        <w:rPr>
          <w:rFonts w:hint="eastAsia"/>
          <w:color w:val="auto"/>
          <w:lang w:val="en-US" w:eastAsia="zh-CN"/>
        </w:rPr>
        <w:t>评价</w:t>
      </w:r>
      <w:r>
        <w:rPr>
          <w:rFonts w:hint="eastAsia"/>
          <w:color w:val="auto"/>
          <w:lang w:val="zh-TW"/>
        </w:rPr>
        <w:t>分值如下表所示：</w:t>
      </w:r>
    </w:p>
    <w:p w14:paraId="01EFA357">
      <w:pPr>
        <w:pStyle w:val="26"/>
        <w:rPr>
          <w:color w:val="auto"/>
        </w:rPr>
      </w:pPr>
      <w:r>
        <w:rPr>
          <w:color w:val="auto"/>
        </w:rPr>
        <w:t>表：四支渠（新华路-南泄洪渠）新建工程</w:t>
      </w:r>
    </w:p>
    <w:p w14:paraId="2EB1809D">
      <w:pPr>
        <w:pStyle w:val="26"/>
        <w:rPr>
          <w:color w:val="auto"/>
        </w:rPr>
      </w:pPr>
      <w:r>
        <w:rPr>
          <w:color w:val="auto"/>
        </w:rPr>
        <w:t>项目得分表</w:t>
      </w:r>
    </w:p>
    <w:tbl>
      <w:tblPr>
        <w:tblStyle w:val="19"/>
        <w:tblW w:w="4998" w:type="pct"/>
        <w:jc w:val="center"/>
        <w:tblLayout w:type="autofit"/>
        <w:tblCellMar>
          <w:top w:w="0" w:type="dxa"/>
          <w:left w:w="0" w:type="dxa"/>
          <w:bottom w:w="0" w:type="dxa"/>
          <w:right w:w="0" w:type="dxa"/>
        </w:tblCellMar>
      </w:tblPr>
      <w:tblGrid>
        <w:gridCol w:w="1723"/>
        <w:gridCol w:w="1731"/>
        <w:gridCol w:w="1392"/>
        <w:gridCol w:w="1392"/>
        <w:gridCol w:w="1047"/>
        <w:gridCol w:w="1048"/>
      </w:tblGrid>
      <w:tr w14:paraId="57943E66">
        <w:tblPrEx>
          <w:tblCellMar>
            <w:top w:w="0" w:type="dxa"/>
            <w:left w:w="0" w:type="dxa"/>
            <w:bottom w:w="0" w:type="dxa"/>
            <w:right w:w="0" w:type="dxa"/>
          </w:tblCellMar>
        </w:tblPrEx>
        <w:trPr>
          <w:trHeight w:val="375" w:hRule="atLeast"/>
          <w:jc w:val="center"/>
        </w:trPr>
        <w:tc>
          <w:tcPr>
            <w:tcW w:w="10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D9043">
            <w:pPr>
              <w:pStyle w:val="25"/>
              <w:rPr>
                <w:b/>
                <w:bCs/>
                <w:color w:val="auto"/>
              </w:rPr>
            </w:pPr>
            <w:r>
              <w:rPr>
                <w:b/>
                <w:bCs/>
                <w:color w:val="auto"/>
              </w:rPr>
              <w:t>指标类别</w:t>
            </w:r>
          </w:p>
        </w:tc>
        <w:tc>
          <w:tcPr>
            <w:tcW w:w="10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D38426">
            <w:pPr>
              <w:pStyle w:val="25"/>
              <w:rPr>
                <w:b/>
                <w:bCs/>
                <w:color w:val="auto"/>
              </w:rPr>
            </w:pPr>
            <w:r>
              <w:rPr>
                <w:b/>
                <w:bCs/>
                <w:color w:val="auto"/>
              </w:rPr>
              <w:t>预算执行率</w:t>
            </w:r>
          </w:p>
        </w:tc>
        <w:tc>
          <w:tcPr>
            <w:tcW w:w="8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F87F6">
            <w:pPr>
              <w:pStyle w:val="25"/>
              <w:rPr>
                <w:b/>
                <w:bCs/>
                <w:color w:val="auto"/>
              </w:rPr>
            </w:pPr>
            <w:r>
              <w:rPr>
                <w:b/>
                <w:bCs/>
                <w:color w:val="auto"/>
              </w:rPr>
              <w:t>项目产出</w:t>
            </w:r>
          </w:p>
        </w:tc>
        <w:tc>
          <w:tcPr>
            <w:tcW w:w="8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726E8E">
            <w:pPr>
              <w:pStyle w:val="25"/>
              <w:rPr>
                <w:b/>
                <w:bCs/>
                <w:color w:val="auto"/>
              </w:rPr>
            </w:pPr>
            <w:r>
              <w:rPr>
                <w:b/>
                <w:bCs/>
                <w:color w:val="auto"/>
              </w:rPr>
              <w:t>项目效益</w:t>
            </w:r>
          </w:p>
        </w:tc>
        <w:tc>
          <w:tcPr>
            <w:tcW w:w="6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88E3D">
            <w:pPr>
              <w:pStyle w:val="25"/>
              <w:rPr>
                <w:rFonts w:hint="eastAsia" w:eastAsia="仿宋_GB2312"/>
                <w:b/>
                <w:bCs/>
                <w:color w:val="auto"/>
                <w:lang w:val="en-US" w:eastAsia="zh-CN"/>
              </w:rPr>
            </w:pPr>
            <w:r>
              <w:rPr>
                <w:rFonts w:hint="eastAsia"/>
                <w:b/>
                <w:bCs/>
                <w:color w:val="auto"/>
                <w:lang w:val="en-US" w:eastAsia="zh-CN"/>
              </w:rPr>
              <w:t>项目满意度</w:t>
            </w:r>
          </w:p>
        </w:tc>
        <w:tc>
          <w:tcPr>
            <w:tcW w:w="6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E076C">
            <w:pPr>
              <w:pStyle w:val="25"/>
              <w:rPr>
                <w:b/>
                <w:bCs/>
                <w:color w:val="auto"/>
              </w:rPr>
            </w:pPr>
            <w:r>
              <w:rPr>
                <w:b/>
                <w:bCs/>
                <w:color w:val="auto"/>
              </w:rPr>
              <w:t>合计</w:t>
            </w:r>
          </w:p>
        </w:tc>
      </w:tr>
      <w:tr w14:paraId="6AC9C15B">
        <w:tblPrEx>
          <w:tblCellMar>
            <w:top w:w="0" w:type="dxa"/>
            <w:left w:w="0" w:type="dxa"/>
            <w:bottom w:w="0" w:type="dxa"/>
            <w:right w:w="0" w:type="dxa"/>
          </w:tblCellMar>
        </w:tblPrEx>
        <w:trPr>
          <w:trHeight w:val="375" w:hRule="atLeast"/>
          <w:jc w:val="center"/>
        </w:trPr>
        <w:tc>
          <w:tcPr>
            <w:tcW w:w="10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9E5F4B">
            <w:pPr>
              <w:pStyle w:val="25"/>
              <w:rPr>
                <w:color w:val="auto"/>
              </w:rPr>
            </w:pPr>
            <w:r>
              <w:rPr>
                <w:rFonts w:hint="eastAsia"/>
                <w:color w:val="auto"/>
                <w:lang w:val="en-US" w:eastAsia="zh-CN"/>
              </w:rPr>
              <w:t>满分分值</w:t>
            </w:r>
            <w:r>
              <w:rPr>
                <w:color w:val="auto"/>
              </w:rPr>
              <w:t>（分）</w:t>
            </w:r>
          </w:p>
        </w:tc>
        <w:tc>
          <w:tcPr>
            <w:tcW w:w="10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B1585">
            <w:pPr>
              <w:pStyle w:val="25"/>
              <w:rPr>
                <w:color w:val="auto"/>
              </w:rPr>
            </w:pPr>
            <w:r>
              <w:rPr>
                <w:color w:val="auto"/>
              </w:rPr>
              <w:t>10</w:t>
            </w:r>
          </w:p>
        </w:tc>
        <w:tc>
          <w:tcPr>
            <w:tcW w:w="8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97F49">
            <w:pPr>
              <w:pStyle w:val="25"/>
              <w:rPr>
                <w:rFonts w:hint="default" w:eastAsia="仿宋_GB2312"/>
                <w:color w:val="auto"/>
                <w:lang w:val="en-US" w:eastAsia="zh-CN"/>
              </w:rPr>
            </w:pPr>
            <w:r>
              <w:rPr>
                <w:rFonts w:hint="eastAsia"/>
                <w:color w:val="auto"/>
                <w:lang w:val="en-US" w:eastAsia="zh-CN"/>
              </w:rPr>
              <w:t>50</w:t>
            </w:r>
          </w:p>
        </w:tc>
        <w:tc>
          <w:tcPr>
            <w:tcW w:w="8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3BB930">
            <w:pPr>
              <w:pStyle w:val="25"/>
              <w:rPr>
                <w:color w:val="auto"/>
              </w:rPr>
            </w:pPr>
            <w:r>
              <w:rPr>
                <w:color w:val="auto"/>
              </w:rPr>
              <w:t>30</w:t>
            </w:r>
          </w:p>
        </w:tc>
        <w:tc>
          <w:tcPr>
            <w:tcW w:w="6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6B2F74">
            <w:pPr>
              <w:pStyle w:val="25"/>
              <w:rPr>
                <w:rFonts w:hint="default" w:eastAsia="仿宋_GB2312"/>
                <w:color w:val="auto"/>
                <w:lang w:val="en-US" w:eastAsia="zh-CN"/>
              </w:rPr>
            </w:pPr>
            <w:r>
              <w:rPr>
                <w:rFonts w:hint="eastAsia"/>
                <w:color w:val="auto"/>
                <w:lang w:val="en-US" w:eastAsia="zh-CN"/>
              </w:rPr>
              <w:t>10</w:t>
            </w:r>
          </w:p>
        </w:tc>
        <w:tc>
          <w:tcPr>
            <w:tcW w:w="6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4368B">
            <w:pPr>
              <w:pStyle w:val="25"/>
              <w:rPr>
                <w:color w:val="auto"/>
              </w:rPr>
            </w:pPr>
            <w:r>
              <w:rPr>
                <w:color w:val="auto"/>
              </w:rPr>
              <w:t>100</w:t>
            </w:r>
          </w:p>
        </w:tc>
      </w:tr>
      <w:tr w14:paraId="4935C505">
        <w:tblPrEx>
          <w:tblCellMar>
            <w:top w:w="0" w:type="dxa"/>
            <w:left w:w="0" w:type="dxa"/>
            <w:bottom w:w="0" w:type="dxa"/>
            <w:right w:w="0" w:type="dxa"/>
          </w:tblCellMar>
        </w:tblPrEx>
        <w:trPr>
          <w:trHeight w:val="375" w:hRule="atLeast"/>
          <w:jc w:val="center"/>
        </w:trPr>
        <w:tc>
          <w:tcPr>
            <w:tcW w:w="103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C395B0">
            <w:pPr>
              <w:pStyle w:val="25"/>
              <w:ind w:firstLine="0" w:firstLineChars="0"/>
              <w:rPr>
                <w:rFonts w:hint="eastAsia" w:ascii="仿宋_GB2312" w:hAnsi="仿宋_GB2312" w:eastAsia="仿宋_GB2312" w:cstheme="minorBidi"/>
                <w:color w:val="auto"/>
                <w:kern w:val="2"/>
                <w:sz w:val="28"/>
                <w:szCs w:val="24"/>
                <w:lang w:val="en-US" w:eastAsia="zh-CN" w:bidi="ar-SA"/>
              </w:rPr>
            </w:pPr>
            <w:r>
              <w:rPr>
                <w:rFonts w:hint="eastAsia"/>
                <w:color w:val="auto"/>
                <w:lang w:val="en-US" w:eastAsia="zh-CN"/>
              </w:rPr>
              <w:t>自评得分</w:t>
            </w:r>
            <w:r>
              <w:rPr>
                <w:color w:val="auto"/>
              </w:rPr>
              <w:t>（分）</w:t>
            </w:r>
          </w:p>
        </w:tc>
        <w:tc>
          <w:tcPr>
            <w:tcW w:w="10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FB5E63">
            <w:pPr>
              <w:pStyle w:val="25"/>
              <w:ind w:firstLine="0" w:firstLineChars="0"/>
              <w:rPr>
                <w:rFonts w:hint="default" w:ascii="仿宋_GB2312" w:hAnsi="仿宋_GB2312" w:eastAsia="仿宋_GB2312" w:cstheme="minorBidi"/>
                <w:color w:val="auto"/>
                <w:kern w:val="2"/>
                <w:sz w:val="28"/>
                <w:szCs w:val="24"/>
                <w:lang w:val="en-US" w:eastAsia="zh-CN" w:bidi="ar-SA"/>
              </w:rPr>
            </w:pPr>
            <w:r>
              <w:rPr>
                <w:rFonts w:hint="eastAsia"/>
                <w:color w:val="auto"/>
                <w:lang w:val="en-US" w:eastAsia="zh-CN"/>
              </w:rPr>
              <w:t>5.67</w:t>
            </w:r>
          </w:p>
        </w:tc>
        <w:tc>
          <w:tcPr>
            <w:tcW w:w="8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B78EEF">
            <w:pPr>
              <w:pStyle w:val="25"/>
              <w:ind w:firstLine="0" w:firstLineChars="0"/>
              <w:rPr>
                <w:rFonts w:hint="default" w:ascii="仿宋_GB2312" w:hAnsi="仿宋_GB2312" w:eastAsia="仿宋_GB2312" w:cstheme="minorBidi"/>
                <w:color w:val="auto"/>
                <w:kern w:val="2"/>
                <w:sz w:val="28"/>
                <w:szCs w:val="24"/>
                <w:lang w:val="en-US" w:eastAsia="zh-CN" w:bidi="ar-SA"/>
              </w:rPr>
            </w:pPr>
            <w:r>
              <w:rPr>
                <w:rFonts w:hint="eastAsia"/>
                <w:color w:val="auto"/>
                <w:lang w:val="en-US" w:eastAsia="zh-CN"/>
              </w:rPr>
              <w:t>43.2</w:t>
            </w:r>
          </w:p>
        </w:tc>
        <w:tc>
          <w:tcPr>
            <w:tcW w:w="8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8A0A0B">
            <w:pPr>
              <w:pStyle w:val="25"/>
              <w:ind w:firstLine="0" w:firstLineChars="0"/>
              <w:rPr>
                <w:rFonts w:hint="default" w:ascii="仿宋_GB2312" w:hAnsi="仿宋_GB2312" w:eastAsia="仿宋_GB2312" w:cstheme="minorBidi"/>
                <w:color w:val="auto"/>
                <w:kern w:val="2"/>
                <w:sz w:val="28"/>
                <w:szCs w:val="24"/>
                <w:lang w:val="en-US" w:eastAsia="zh-CN" w:bidi="ar-SA"/>
              </w:rPr>
            </w:pPr>
            <w:r>
              <w:rPr>
                <w:rFonts w:hint="eastAsia"/>
                <w:color w:val="auto"/>
                <w:lang w:val="en-US" w:eastAsia="zh-CN"/>
              </w:rPr>
              <w:t>27</w:t>
            </w:r>
          </w:p>
        </w:tc>
        <w:tc>
          <w:tcPr>
            <w:tcW w:w="6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F4741A">
            <w:pPr>
              <w:pStyle w:val="25"/>
              <w:ind w:firstLine="0" w:firstLineChars="0"/>
              <w:rPr>
                <w:rFonts w:hint="default"/>
                <w:color w:val="auto"/>
                <w:lang w:val="en-US" w:eastAsia="zh-CN"/>
              </w:rPr>
            </w:pPr>
            <w:r>
              <w:rPr>
                <w:rFonts w:hint="eastAsia"/>
                <w:color w:val="auto"/>
                <w:lang w:val="en-US" w:eastAsia="zh-CN"/>
              </w:rPr>
              <w:t>10</w:t>
            </w:r>
          </w:p>
        </w:tc>
        <w:tc>
          <w:tcPr>
            <w:tcW w:w="6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2D3C87">
            <w:pPr>
              <w:pStyle w:val="25"/>
              <w:ind w:firstLine="0" w:firstLineChars="0"/>
              <w:rPr>
                <w:rFonts w:hint="default" w:ascii="仿宋_GB2312" w:hAnsi="仿宋_GB2312" w:eastAsia="仿宋_GB2312" w:cstheme="minorBidi"/>
                <w:color w:val="auto"/>
                <w:kern w:val="2"/>
                <w:sz w:val="28"/>
                <w:szCs w:val="24"/>
                <w:lang w:val="en-US" w:eastAsia="zh-CN" w:bidi="ar-SA"/>
              </w:rPr>
            </w:pPr>
            <w:r>
              <w:rPr>
                <w:rFonts w:hint="eastAsia"/>
                <w:color w:val="auto"/>
                <w:lang w:val="en-US" w:eastAsia="zh-CN"/>
              </w:rPr>
              <w:t>85.87</w:t>
            </w:r>
          </w:p>
        </w:tc>
      </w:tr>
    </w:tbl>
    <w:p w14:paraId="1D4D2969">
      <w:pPr>
        <w:pStyle w:val="2"/>
        <w:ind w:firstLine="643"/>
        <w:rPr>
          <w:rFonts w:hint="eastAsia"/>
          <w:color w:val="auto"/>
        </w:rPr>
      </w:pPr>
      <w:r>
        <w:rPr>
          <w:color w:val="auto"/>
        </w:rPr>
        <w:t>存在的问题及改进措施</w:t>
      </w:r>
    </w:p>
    <w:p w14:paraId="33C1112A">
      <w:pPr>
        <w:pStyle w:val="3"/>
        <w:ind w:firstLine="643"/>
        <w:rPr>
          <w:color w:val="auto"/>
        </w:rPr>
      </w:pPr>
      <w:r>
        <w:rPr>
          <w:color w:val="auto"/>
        </w:rPr>
        <w:t>主要问题分析</w:t>
      </w:r>
    </w:p>
    <w:p w14:paraId="0AAFD644">
      <w:pPr>
        <w:pStyle w:val="4"/>
        <w:rPr>
          <w:rFonts w:hint="default" w:eastAsia="仿宋_GB2312"/>
          <w:color w:val="auto"/>
          <w:lang w:val="en-US" w:eastAsia="zh-CN"/>
        </w:rPr>
      </w:pPr>
      <w:r>
        <w:rPr>
          <w:rFonts w:hint="eastAsia"/>
          <w:color w:val="auto"/>
          <w:lang w:val="en-US" w:eastAsia="zh-CN"/>
        </w:rPr>
        <w:t>预算执行率较低</w:t>
      </w:r>
    </w:p>
    <w:p w14:paraId="00ECED29">
      <w:pPr>
        <w:ind w:firstLine="640"/>
        <w:rPr>
          <w:rFonts w:hint="eastAsia"/>
          <w:color w:val="auto"/>
        </w:rPr>
      </w:pPr>
      <w:r>
        <w:rPr>
          <w:rFonts w:hint="eastAsia"/>
          <w:color w:val="auto"/>
        </w:rPr>
        <w:t>该项目202</w:t>
      </w:r>
      <w:r>
        <w:rPr>
          <w:rFonts w:hint="eastAsia"/>
          <w:color w:val="auto"/>
          <w:lang w:val="en-US" w:eastAsia="zh-CN"/>
        </w:rPr>
        <w:t>4</w:t>
      </w:r>
      <w:r>
        <w:rPr>
          <w:rFonts w:hint="eastAsia"/>
          <w:color w:val="auto"/>
        </w:rPr>
        <w:t>年预算</w:t>
      </w:r>
      <w:r>
        <w:rPr>
          <w:rFonts w:hint="eastAsia"/>
          <w:color w:val="auto"/>
          <w:lang w:val="en-US" w:eastAsia="zh-CN"/>
        </w:rPr>
        <w:t>资金50000.00万</w:t>
      </w:r>
      <w:r>
        <w:rPr>
          <w:rFonts w:hint="eastAsia"/>
          <w:color w:val="auto"/>
        </w:rPr>
        <w:t>元，截至</w:t>
      </w:r>
      <w:r>
        <w:rPr>
          <w:rFonts w:hint="eastAsia"/>
          <w:color w:val="auto"/>
          <w:lang w:val="en-US" w:eastAsia="zh-CN"/>
        </w:rPr>
        <w:t>2024年年底</w:t>
      </w:r>
      <w:r>
        <w:rPr>
          <w:rFonts w:hint="eastAsia"/>
          <w:color w:val="auto"/>
        </w:rPr>
        <w:t>，实际支出</w:t>
      </w:r>
      <w:r>
        <w:rPr>
          <w:rFonts w:hint="eastAsia"/>
          <w:color w:val="auto"/>
          <w:lang w:val="en-US" w:eastAsia="zh-CN"/>
        </w:rPr>
        <w:t>28347.67万</w:t>
      </w:r>
      <w:r>
        <w:rPr>
          <w:rFonts w:hint="eastAsia"/>
          <w:color w:val="auto"/>
        </w:rPr>
        <w:t>元，</w:t>
      </w:r>
      <w:r>
        <w:rPr>
          <w:rFonts w:hint="eastAsia"/>
          <w:color w:val="auto"/>
          <w:lang w:val="en-US" w:eastAsia="zh-CN"/>
        </w:rPr>
        <w:t>年度预算执行率为56.70%。</w:t>
      </w:r>
    </w:p>
    <w:p w14:paraId="5281DD16">
      <w:pPr>
        <w:pStyle w:val="4"/>
        <w:rPr>
          <w:rFonts w:hint="eastAsia"/>
          <w:lang w:val="en-US" w:eastAsia="zh-CN"/>
        </w:rPr>
      </w:pPr>
      <w:r>
        <w:rPr>
          <w:rFonts w:hint="eastAsia"/>
          <w:lang w:val="en-US" w:eastAsia="zh-CN"/>
        </w:rPr>
        <w:t>数指标设置不当</w:t>
      </w:r>
    </w:p>
    <w:p w14:paraId="0068F4D4">
      <w:pPr>
        <w:rPr>
          <w:rFonts w:hint="default"/>
          <w:lang w:val="en-US" w:eastAsia="zh-CN"/>
        </w:rPr>
      </w:pPr>
      <w:r>
        <w:rPr>
          <w:rFonts w:hint="eastAsia"/>
          <w:lang w:val="en-US" w:eastAsia="zh-CN"/>
        </w:rPr>
        <w:t>2024年项目绩效目标，数量指标为新建排水渠米数≥5100米。根据可研报告，5100米为全部长度，项目建设工期为2024年1月-2025年6月，2024年度阶段性指标制定没有分解工程量。</w:t>
      </w:r>
    </w:p>
    <w:p w14:paraId="25DB8AC5">
      <w:pPr>
        <w:pStyle w:val="3"/>
        <w:ind w:firstLine="643"/>
        <w:rPr>
          <w:color w:val="auto"/>
        </w:rPr>
      </w:pPr>
      <w:r>
        <w:rPr>
          <w:color w:val="auto"/>
        </w:rPr>
        <w:t>改进措施与建议</w:t>
      </w:r>
    </w:p>
    <w:p w14:paraId="77EA6469">
      <w:pPr>
        <w:ind w:firstLine="640"/>
        <w:rPr>
          <w:rFonts w:hint="eastAsia"/>
          <w:color w:val="auto"/>
          <w:lang w:val="en-US" w:eastAsia="zh-CN"/>
        </w:rPr>
      </w:pPr>
      <w:r>
        <w:rPr>
          <w:rFonts w:hint="eastAsia"/>
          <w:color w:val="auto"/>
          <w:lang w:val="en-US" w:eastAsia="zh-CN"/>
        </w:rPr>
        <w:t>后续将加快施工进展，加强绩效目标的设定，做好年度工作计划，将绩效目标做实，便于对项目进行监控和考核。在实际操作中，应建立全面规范的绩效指标体系依据项目和年度工作计划，设定科学、合理、可行的年度绩效目标、绩效指标。</w:t>
      </w:r>
    </w:p>
    <w:p w14:paraId="777EBD67">
      <w:pPr>
        <w:pStyle w:val="2"/>
        <w:ind w:firstLine="643"/>
        <w:rPr>
          <w:rFonts w:hint="eastAsia"/>
          <w:color w:val="auto"/>
        </w:rPr>
      </w:pPr>
      <w:r>
        <w:rPr>
          <w:color w:val="auto"/>
        </w:rPr>
        <w:t>评价工作组人员名单</w:t>
      </w:r>
      <w:r>
        <w:rPr>
          <w:rFonts w:hint="eastAsia"/>
          <w:color w:val="auto"/>
        </w:rPr>
        <w:t>及签字</w:t>
      </w:r>
    </w:p>
    <w:p w14:paraId="5C3600F6">
      <w:pPr>
        <w:ind w:firstLine="640"/>
        <w:rPr>
          <w:rFonts w:hint="eastAsia"/>
          <w:color w:val="auto"/>
        </w:rPr>
      </w:pPr>
      <w:r>
        <w:rPr>
          <w:color w:val="auto"/>
        </w:rPr>
        <w:t>姓名、工作单位、职务、职称（需签字确认）。</w:t>
      </w:r>
    </w:p>
    <w:tbl>
      <w:tblPr>
        <w:tblStyle w:val="2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4"/>
        <w:gridCol w:w="4785"/>
        <w:gridCol w:w="1750"/>
        <w:gridCol w:w="840"/>
      </w:tblGrid>
      <w:tr w14:paraId="5641D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671" w:type="pct"/>
            <w:vAlign w:val="top"/>
          </w:tcPr>
          <w:p w14:paraId="2BC0AAC7">
            <w:pPr>
              <w:pStyle w:val="25"/>
              <w:rPr>
                <w:rFonts w:hint="eastAsia"/>
              </w:rPr>
            </w:pPr>
            <w:r>
              <w:rPr>
                <w:rFonts w:hint="eastAsia"/>
              </w:rPr>
              <w:t>姓名</w:t>
            </w:r>
          </w:p>
        </w:tc>
        <w:tc>
          <w:tcPr>
            <w:tcW w:w="2808" w:type="pct"/>
            <w:vAlign w:val="top"/>
          </w:tcPr>
          <w:p w14:paraId="6BE3E5BA">
            <w:pPr>
              <w:pStyle w:val="25"/>
              <w:rPr>
                <w:rFonts w:hint="eastAsia"/>
                <w:lang w:val="en-US" w:eastAsia="zh-CN"/>
              </w:rPr>
            </w:pPr>
            <w:r>
              <w:rPr>
                <w:rFonts w:hint="eastAsia"/>
                <w:lang w:val="en-US" w:eastAsia="zh-CN"/>
              </w:rPr>
              <w:t>工作单位</w:t>
            </w:r>
          </w:p>
        </w:tc>
        <w:tc>
          <w:tcPr>
            <w:tcW w:w="1027" w:type="pct"/>
            <w:vAlign w:val="top"/>
          </w:tcPr>
          <w:p w14:paraId="1513357C">
            <w:pPr>
              <w:pStyle w:val="25"/>
              <w:rPr>
                <w:rFonts w:hint="eastAsia"/>
                <w:lang w:val="en-US" w:eastAsia="zh-CN"/>
              </w:rPr>
            </w:pPr>
            <w:r>
              <w:rPr>
                <w:rFonts w:hint="eastAsia"/>
                <w:lang w:val="en-US" w:eastAsia="zh-CN"/>
              </w:rPr>
              <w:t>职务</w:t>
            </w:r>
          </w:p>
        </w:tc>
        <w:tc>
          <w:tcPr>
            <w:tcW w:w="493" w:type="pct"/>
            <w:vAlign w:val="top"/>
          </w:tcPr>
          <w:p w14:paraId="7CFF3E65">
            <w:pPr>
              <w:pStyle w:val="25"/>
              <w:rPr>
                <w:rFonts w:hint="eastAsia"/>
                <w:lang w:val="en-US" w:eastAsia="zh-CN"/>
              </w:rPr>
            </w:pPr>
            <w:r>
              <w:rPr>
                <w:rFonts w:hint="eastAsia"/>
                <w:lang w:val="en-US" w:eastAsia="zh-CN"/>
              </w:rPr>
              <w:t>签字</w:t>
            </w:r>
          </w:p>
        </w:tc>
      </w:tr>
      <w:tr w14:paraId="51760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671" w:type="pct"/>
            <w:vAlign w:val="top"/>
          </w:tcPr>
          <w:p w14:paraId="518C5565">
            <w:pPr>
              <w:pStyle w:val="25"/>
              <w:rPr>
                <w:rFonts w:hint="eastAsia"/>
                <w:lang w:val="en-US" w:eastAsia="zh-CN"/>
              </w:rPr>
            </w:pPr>
            <w:r>
              <w:rPr>
                <w:rFonts w:hint="eastAsia"/>
                <w:lang w:val="en-US" w:eastAsia="zh-CN"/>
              </w:rPr>
              <w:t>李永青</w:t>
            </w:r>
          </w:p>
        </w:tc>
        <w:tc>
          <w:tcPr>
            <w:tcW w:w="2808" w:type="pct"/>
            <w:vAlign w:val="top"/>
          </w:tcPr>
          <w:p w14:paraId="07FE9BB8">
            <w:pPr>
              <w:pStyle w:val="25"/>
              <w:rPr>
                <w:rFonts w:hint="eastAsia"/>
                <w:lang w:val="en-US" w:eastAsia="zh-CN"/>
              </w:rPr>
            </w:pPr>
            <w:r>
              <w:rPr>
                <w:rFonts w:hint="eastAsia"/>
                <w:lang w:val="en-US" w:eastAsia="zh-CN"/>
              </w:rPr>
              <w:t>石家庄市城市管理综合行政执法局</w:t>
            </w:r>
          </w:p>
        </w:tc>
        <w:tc>
          <w:tcPr>
            <w:tcW w:w="1027" w:type="pct"/>
            <w:vAlign w:val="top"/>
          </w:tcPr>
          <w:p w14:paraId="0C928AB1">
            <w:pPr>
              <w:pStyle w:val="25"/>
              <w:rPr>
                <w:rFonts w:hint="eastAsia"/>
                <w:lang w:val="en-US" w:eastAsia="zh-CN"/>
              </w:rPr>
            </w:pPr>
            <w:r>
              <w:rPr>
                <w:rFonts w:hint="eastAsia"/>
                <w:lang w:val="en-US" w:eastAsia="zh-CN"/>
              </w:rPr>
              <w:t>副局长</w:t>
            </w:r>
          </w:p>
        </w:tc>
        <w:tc>
          <w:tcPr>
            <w:tcW w:w="493" w:type="pct"/>
            <w:vAlign w:val="top"/>
          </w:tcPr>
          <w:p w14:paraId="75A838E1">
            <w:pPr>
              <w:pStyle w:val="25"/>
              <w:rPr>
                <w:rFonts w:hint="eastAsia"/>
              </w:rPr>
            </w:pPr>
          </w:p>
        </w:tc>
      </w:tr>
      <w:tr w14:paraId="4440C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671" w:type="pct"/>
            <w:vAlign w:val="top"/>
          </w:tcPr>
          <w:p w14:paraId="6C407D6D">
            <w:pPr>
              <w:pStyle w:val="25"/>
              <w:rPr>
                <w:rFonts w:hint="eastAsia"/>
                <w:lang w:val="en-US" w:eastAsia="zh-CN"/>
              </w:rPr>
            </w:pPr>
            <w:r>
              <w:rPr>
                <w:rFonts w:hint="eastAsia"/>
                <w:lang w:val="en-US" w:eastAsia="zh-CN"/>
              </w:rPr>
              <w:t>亓鹏</w:t>
            </w:r>
          </w:p>
        </w:tc>
        <w:tc>
          <w:tcPr>
            <w:tcW w:w="2808" w:type="pct"/>
            <w:vAlign w:val="top"/>
          </w:tcPr>
          <w:p w14:paraId="56BEFDC6">
            <w:pPr>
              <w:pStyle w:val="25"/>
              <w:rPr>
                <w:rFonts w:hint="eastAsia"/>
              </w:rPr>
            </w:pPr>
            <w:r>
              <w:rPr>
                <w:rFonts w:hint="eastAsia"/>
                <w:lang w:val="en-US" w:eastAsia="zh-CN"/>
              </w:rPr>
              <w:t>石家庄市城市管理综合行政执法局</w:t>
            </w:r>
          </w:p>
        </w:tc>
        <w:tc>
          <w:tcPr>
            <w:tcW w:w="1027" w:type="pct"/>
            <w:vAlign w:val="top"/>
          </w:tcPr>
          <w:p w14:paraId="2DE12440">
            <w:pPr>
              <w:pStyle w:val="25"/>
              <w:rPr>
                <w:rFonts w:hint="eastAsia"/>
                <w:lang w:val="en-US" w:eastAsia="zh-CN"/>
              </w:rPr>
            </w:pPr>
            <w:r>
              <w:rPr>
                <w:rFonts w:hint="eastAsia"/>
                <w:lang w:val="en-US" w:eastAsia="zh-CN"/>
              </w:rPr>
              <w:t>市政科科长</w:t>
            </w:r>
          </w:p>
        </w:tc>
        <w:tc>
          <w:tcPr>
            <w:tcW w:w="493" w:type="pct"/>
            <w:vAlign w:val="top"/>
          </w:tcPr>
          <w:p w14:paraId="674192BF">
            <w:pPr>
              <w:pStyle w:val="25"/>
              <w:rPr>
                <w:rFonts w:hint="eastAsia"/>
              </w:rPr>
            </w:pPr>
          </w:p>
        </w:tc>
      </w:tr>
      <w:tr w14:paraId="4083F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671" w:type="pct"/>
            <w:vAlign w:val="top"/>
          </w:tcPr>
          <w:p w14:paraId="41D8EB6A">
            <w:pPr>
              <w:pStyle w:val="25"/>
              <w:rPr>
                <w:rFonts w:hint="eastAsia"/>
                <w:lang w:val="en-US" w:eastAsia="zh-CN"/>
              </w:rPr>
            </w:pPr>
            <w:r>
              <w:rPr>
                <w:rFonts w:hint="eastAsia"/>
                <w:lang w:val="en-US" w:eastAsia="zh-CN"/>
              </w:rPr>
              <w:t>王辉</w:t>
            </w:r>
          </w:p>
        </w:tc>
        <w:tc>
          <w:tcPr>
            <w:tcW w:w="2808" w:type="pct"/>
            <w:vAlign w:val="top"/>
          </w:tcPr>
          <w:p w14:paraId="2D24CE59">
            <w:pPr>
              <w:pStyle w:val="25"/>
              <w:rPr>
                <w:rFonts w:hint="eastAsia"/>
              </w:rPr>
            </w:pPr>
            <w:r>
              <w:rPr>
                <w:rFonts w:hint="eastAsia"/>
                <w:lang w:val="en-US" w:eastAsia="zh-CN"/>
              </w:rPr>
              <w:t>石家庄市城市管理综合行政执法局</w:t>
            </w:r>
          </w:p>
        </w:tc>
        <w:tc>
          <w:tcPr>
            <w:tcW w:w="1027" w:type="pct"/>
            <w:vAlign w:val="top"/>
          </w:tcPr>
          <w:p w14:paraId="6BDBF3B9">
            <w:pPr>
              <w:pStyle w:val="25"/>
              <w:rPr>
                <w:rFonts w:hint="eastAsia"/>
                <w:lang w:val="en-US" w:eastAsia="zh-CN"/>
              </w:rPr>
            </w:pPr>
            <w:r>
              <w:rPr>
                <w:rFonts w:hint="eastAsia"/>
                <w:lang w:val="en-US" w:eastAsia="zh-CN"/>
              </w:rPr>
              <w:t>财务科科长</w:t>
            </w:r>
          </w:p>
        </w:tc>
        <w:tc>
          <w:tcPr>
            <w:tcW w:w="493" w:type="pct"/>
            <w:vAlign w:val="top"/>
          </w:tcPr>
          <w:p w14:paraId="0A414AFF">
            <w:pPr>
              <w:pStyle w:val="25"/>
              <w:rPr>
                <w:rFonts w:hint="eastAsia"/>
              </w:rPr>
            </w:pPr>
          </w:p>
        </w:tc>
      </w:tr>
      <w:tr w14:paraId="7F757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671" w:type="pct"/>
            <w:vAlign w:val="top"/>
          </w:tcPr>
          <w:p w14:paraId="78115B5B">
            <w:pPr>
              <w:pStyle w:val="25"/>
              <w:rPr>
                <w:rFonts w:hint="eastAsia"/>
                <w:lang w:val="en-US" w:eastAsia="zh-CN"/>
              </w:rPr>
            </w:pPr>
            <w:r>
              <w:rPr>
                <w:rFonts w:hint="eastAsia"/>
                <w:lang w:val="en-US" w:eastAsia="zh-CN"/>
              </w:rPr>
              <w:t>白雪锋</w:t>
            </w:r>
          </w:p>
        </w:tc>
        <w:tc>
          <w:tcPr>
            <w:tcW w:w="2808" w:type="pct"/>
            <w:vAlign w:val="top"/>
          </w:tcPr>
          <w:p w14:paraId="291EC7CC">
            <w:pPr>
              <w:pStyle w:val="25"/>
              <w:rPr>
                <w:rFonts w:hint="eastAsia"/>
                <w:lang w:val="en-US" w:eastAsia="zh-CN"/>
              </w:rPr>
            </w:pPr>
            <w:r>
              <w:rPr>
                <w:rFonts w:hint="eastAsia"/>
                <w:lang w:val="en-US" w:eastAsia="zh-CN"/>
              </w:rPr>
              <w:t>石家庄市城市管理综合行政执法局</w:t>
            </w:r>
          </w:p>
        </w:tc>
        <w:tc>
          <w:tcPr>
            <w:tcW w:w="1027" w:type="pct"/>
            <w:vAlign w:val="top"/>
          </w:tcPr>
          <w:p w14:paraId="5C9A9E98">
            <w:pPr>
              <w:pStyle w:val="25"/>
              <w:rPr>
                <w:rFonts w:hint="eastAsia"/>
                <w:lang w:val="en-US" w:eastAsia="zh-CN"/>
              </w:rPr>
            </w:pPr>
            <w:r>
              <w:rPr>
                <w:rFonts w:hint="eastAsia"/>
                <w:lang w:val="en-US" w:eastAsia="zh-CN"/>
              </w:rPr>
              <w:t>市政科科员</w:t>
            </w:r>
          </w:p>
        </w:tc>
        <w:tc>
          <w:tcPr>
            <w:tcW w:w="493" w:type="pct"/>
            <w:vAlign w:val="top"/>
          </w:tcPr>
          <w:p w14:paraId="3C494D72">
            <w:pPr>
              <w:pStyle w:val="25"/>
              <w:rPr>
                <w:rFonts w:hint="eastAsia"/>
              </w:rPr>
            </w:pPr>
          </w:p>
        </w:tc>
      </w:tr>
    </w:tbl>
    <w:p w14:paraId="6BE57C3A">
      <w:pPr>
        <w:ind w:firstLine="640"/>
        <w:rPr>
          <w:rFonts w:hint="eastAsia" w:eastAsiaTheme="minorEastAsia"/>
          <w:color w:val="auto"/>
        </w:rPr>
      </w:pPr>
    </w:p>
    <w:sectPr>
      <w:pgSz w:w="11906" w:h="16838"/>
      <w:pgMar w:top="1440" w:right="1800" w:bottom="1440" w:left="1800"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altName w:val="方正舒体"/>
    <w:panose1 w:val="02000000000000000000"/>
    <w:charset w:val="86"/>
    <w:family w:val="script"/>
    <w:pitch w:val="default"/>
    <w:sig w:usb0="00000000" w:usb1="00000000" w:usb2="00000000" w:usb3="00000000" w:csb0="00040000"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11287">
    <w:pPr>
      <w:pStyle w:val="1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91ABE6">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291ABE6">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640"/>
      </w:pPr>
      <w:r>
        <w:separator/>
      </w:r>
    </w:p>
  </w:footnote>
  <w:footnote w:type="continuationSeparator" w:id="1">
    <w:p>
      <w:pPr>
        <w:spacing w:line="36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BC61DA"/>
    <w:multiLevelType w:val="multilevel"/>
    <w:tmpl w:val="82BC61DA"/>
    <w:lvl w:ilvl="0" w:tentative="0">
      <w:start w:val="1"/>
      <w:numFmt w:val="chineseCounting"/>
      <w:pStyle w:val="2"/>
      <w:suff w:val="nothing"/>
      <w:lvlText w:val="%1、"/>
      <w:lvlJc w:val="left"/>
      <w:pPr>
        <w:tabs>
          <w:tab w:val="left" w:pos="0"/>
        </w:tabs>
        <w:ind w:left="0" w:firstLine="0"/>
      </w:pPr>
      <w:rPr>
        <w:rFonts w:hint="eastAsia" w:eastAsia="黑体"/>
        <w:sz w:val="32"/>
      </w:rPr>
    </w:lvl>
    <w:lvl w:ilvl="1" w:tentative="0">
      <w:start w:val="1"/>
      <w:numFmt w:val="chineseCounting"/>
      <w:pStyle w:val="3"/>
      <w:suff w:val="nothing"/>
      <w:lvlText w:val="（%2）"/>
      <w:lvlJc w:val="left"/>
      <w:pPr>
        <w:tabs>
          <w:tab w:val="left" w:pos="0"/>
        </w:tabs>
        <w:ind w:left="0" w:firstLine="0"/>
      </w:pPr>
      <w:rPr>
        <w:rFonts w:hint="eastAsia" w:eastAsia="楷体"/>
        <w:b/>
        <w:sz w:val="32"/>
      </w:rPr>
    </w:lvl>
    <w:lvl w:ilvl="2" w:tentative="0">
      <w:start w:val="1"/>
      <w:numFmt w:val="decimal"/>
      <w:pStyle w:val="4"/>
      <w:suff w:val="nothing"/>
      <w:lvlText w:val="%3、"/>
      <w:lvlJc w:val="left"/>
      <w:pPr>
        <w:ind w:left="0" w:firstLine="400"/>
      </w:pPr>
      <w:rPr>
        <w:rFonts w:hint="eastAsia" w:eastAsia="仿宋_GB2312"/>
        <w:b/>
        <w:sz w:val="32"/>
      </w:rPr>
    </w:lvl>
    <w:lvl w:ilvl="3" w:tentative="0">
      <w:start w:val="1"/>
      <w:numFmt w:val="decimal"/>
      <w:pStyle w:val="5"/>
      <w:suff w:val="nothing"/>
      <w:lvlText w:val="（%4）"/>
      <w:lvlJc w:val="left"/>
      <w:pPr>
        <w:tabs>
          <w:tab w:val="left" w:pos="0"/>
        </w:tabs>
        <w:ind w:left="0" w:firstLine="402"/>
      </w:pPr>
      <w:rPr>
        <w:rFonts w:hint="eastAsia" w:ascii="仿宋_GB2312" w:hAnsi="仿宋_GB2312" w:eastAsia="仿宋_GB2312" w:cs="仿宋_GB2312"/>
        <w:sz w:val="32"/>
        <w:szCs w:val="32"/>
      </w:rPr>
    </w:lvl>
    <w:lvl w:ilvl="4" w:tentative="0">
      <w:start w:val="1"/>
      <w:numFmt w:val="decimalEnclosedCircleChinese"/>
      <w:pStyle w:val="6"/>
      <w:suff w:val="nothing"/>
      <w:lvlText w:val="%5"/>
      <w:lvlJc w:val="left"/>
      <w:pPr>
        <w:ind w:left="0" w:firstLine="402"/>
      </w:pPr>
      <w:rPr>
        <w:rFonts w:hint="eastAsia"/>
      </w:rPr>
    </w:lvl>
    <w:lvl w:ilvl="5" w:tentative="0">
      <w:start w:val="1"/>
      <w:numFmt w:val="decimal"/>
      <w:pStyle w:val="7"/>
      <w:suff w:val="nothing"/>
      <w:lvlText w:val="%6）"/>
      <w:lvlJc w:val="left"/>
      <w:pPr>
        <w:ind w:left="0" w:firstLine="402"/>
      </w:pPr>
      <w:rPr>
        <w:rFonts w:hint="eastAsia"/>
      </w:rPr>
    </w:lvl>
    <w:lvl w:ilvl="6" w:tentative="0">
      <w:start w:val="1"/>
      <w:numFmt w:val="lowerLetter"/>
      <w:pStyle w:val="8"/>
      <w:suff w:val="nothing"/>
      <w:lvlText w:val="%7．"/>
      <w:lvlJc w:val="left"/>
      <w:pPr>
        <w:ind w:left="0" w:firstLine="402"/>
      </w:pPr>
      <w:rPr>
        <w:rFonts w:hint="eastAsia"/>
      </w:rPr>
    </w:lvl>
    <w:lvl w:ilvl="7" w:tentative="0">
      <w:start w:val="1"/>
      <w:numFmt w:val="lowerLetter"/>
      <w:pStyle w:val="9"/>
      <w:suff w:val="nothing"/>
      <w:lvlText w:val="%8）"/>
      <w:lvlJc w:val="left"/>
      <w:pPr>
        <w:ind w:left="0" w:firstLine="402"/>
      </w:pPr>
      <w:rPr>
        <w:rFonts w:hint="eastAsia"/>
      </w:rPr>
    </w:lvl>
    <w:lvl w:ilvl="8" w:tentative="0">
      <w:start w:val="1"/>
      <w:numFmt w:val="lowerRoman"/>
      <w:pStyle w:val="10"/>
      <w:suff w:val="nothing"/>
      <w:lvlText w:val="%9 "/>
      <w:lvlJc w:val="left"/>
      <w:pPr>
        <w:ind w:left="0" w:firstLine="402"/>
      </w:pPr>
      <w:rPr>
        <w:rFonts w:hint="eastAsia"/>
      </w:rPr>
    </w:lvl>
  </w:abstractNum>
  <w:abstractNum w:abstractNumId="1">
    <w:nsid w:val="3A7260C0"/>
    <w:multiLevelType w:val="multilevel"/>
    <w:tmpl w:val="3A7260C0"/>
    <w:lvl w:ilvl="0" w:tentative="0">
      <w:start w:val="1"/>
      <w:numFmt w:val="chineseCountingThousand"/>
      <w:pStyle w:val="24"/>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7E23ACA"/>
    <w:rsid w:val="00136F34"/>
    <w:rsid w:val="004B52D2"/>
    <w:rsid w:val="0079352B"/>
    <w:rsid w:val="008163C6"/>
    <w:rsid w:val="008F518C"/>
    <w:rsid w:val="009A7C97"/>
    <w:rsid w:val="00F51219"/>
    <w:rsid w:val="00F6108B"/>
    <w:rsid w:val="054E09BE"/>
    <w:rsid w:val="05832D5D"/>
    <w:rsid w:val="0B1A1FD4"/>
    <w:rsid w:val="0BC834EB"/>
    <w:rsid w:val="0EA543E4"/>
    <w:rsid w:val="0EFC6F6C"/>
    <w:rsid w:val="0F89675F"/>
    <w:rsid w:val="10367256"/>
    <w:rsid w:val="1176656F"/>
    <w:rsid w:val="12130B22"/>
    <w:rsid w:val="135B7E18"/>
    <w:rsid w:val="160F623F"/>
    <w:rsid w:val="163D32CC"/>
    <w:rsid w:val="16D41068"/>
    <w:rsid w:val="17F677E4"/>
    <w:rsid w:val="1B8F06B7"/>
    <w:rsid w:val="1B9C5B07"/>
    <w:rsid w:val="1C2508AC"/>
    <w:rsid w:val="1C4B28E0"/>
    <w:rsid w:val="1FEA7809"/>
    <w:rsid w:val="22C91E20"/>
    <w:rsid w:val="2537799C"/>
    <w:rsid w:val="265F38FB"/>
    <w:rsid w:val="27E23ACA"/>
    <w:rsid w:val="28655112"/>
    <w:rsid w:val="288051AE"/>
    <w:rsid w:val="28942A08"/>
    <w:rsid w:val="2A260A48"/>
    <w:rsid w:val="2C250F0E"/>
    <w:rsid w:val="2E6D7F83"/>
    <w:rsid w:val="2E8C546A"/>
    <w:rsid w:val="2EA57934"/>
    <w:rsid w:val="32841188"/>
    <w:rsid w:val="328E671A"/>
    <w:rsid w:val="32B20114"/>
    <w:rsid w:val="352978C7"/>
    <w:rsid w:val="36873BBF"/>
    <w:rsid w:val="385A00FD"/>
    <w:rsid w:val="39BE6C1A"/>
    <w:rsid w:val="3B4E14F1"/>
    <w:rsid w:val="3D422232"/>
    <w:rsid w:val="3DA60587"/>
    <w:rsid w:val="3DEE2762"/>
    <w:rsid w:val="3F904AE6"/>
    <w:rsid w:val="40B732E0"/>
    <w:rsid w:val="43467E25"/>
    <w:rsid w:val="44C66A64"/>
    <w:rsid w:val="47232B44"/>
    <w:rsid w:val="48890B42"/>
    <w:rsid w:val="48B25693"/>
    <w:rsid w:val="4CAE1A3B"/>
    <w:rsid w:val="4D4639C1"/>
    <w:rsid w:val="4DB1003F"/>
    <w:rsid w:val="50370EE3"/>
    <w:rsid w:val="526B041E"/>
    <w:rsid w:val="534D2836"/>
    <w:rsid w:val="578D4E8B"/>
    <w:rsid w:val="57B00C82"/>
    <w:rsid w:val="57F84E9A"/>
    <w:rsid w:val="59D72BBF"/>
    <w:rsid w:val="5D5A52C7"/>
    <w:rsid w:val="5E0222FE"/>
    <w:rsid w:val="5E1D7D42"/>
    <w:rsid w:val="62855E53"/>
    <w:rsid w:val="64A80C2C"/>
    <w:rsid w:val="65893C4A"/>
    <w:rsid w:val="65E16585"/>
    <w:rsid w:val="6840098A"/>
    <w:rsid w:val="685457A1"/>
    <w:rsid w:val="68FC1E41"/>
    <w:rsid w:val="6D9E6B0A"/>
    <w:rsid w:val="6FD260B9"/>
    <w:rsid w:val="72972E83"/>
    <w:rsid w:val="72C96D81"/>
    <w:rsid w:val="74F809A1"/>
    <w:rsid w:val="77B804F8"/>
    <w:rsid w:val="781F11A1"/>
    <w:rsid w:val="784A2763"/>
    <w:rsid w:val="78D216BD"/>
    <w:rsid w:val="798F56C7"/>
    <w:rsid w:val="7C155759"/>
    <w:rsid w:val="7C8643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60" w:lineRule="auto"/>
      <w:ind w:firstLine="420" w:firstLineChars="200"/>
      <w:jc w:val="both"/>
    </w:pPr>
    <w:rPr>
      <w:rFonts w:ascii="仿宋_GB2312" w:hAnsi="仿宋_GB2312" w:eastAsia="仿宋_GB2312" w:cstheme="minorBidi"/>
      <w:kern w:val="2"/>
      <w:sz w:val="32"/>
      <w:szCs w:val="24"/>
      <w:lang w:val="en-US" w:eastAsia="zh-CN" w:bidi="ar-SA"/>
    </w:rPr>
  </w:style>
  <w:style w:type="paragraph" w:styleId="2">
    <w:name w:val="heading 1"/>
    <w:basedOn w:val="1"/>
    <w:next w:val="1"/>
    <w:qFormat/>
    <w:uiPriority w:val="0"/>
    <w:pPr>
      <w:keepNext/>
      <w:keepLines/>
      <w:numPr>
        <w:ilvl w:val="0"/>
        <w:numId w:val="1"/>
      </w:numPr>
      <w:ind w:firstLine="640"/>
      <w:outlineLvl w:val="0"/>
    </w:pPr>
    <w:rPr>
      <w:rFonts w:eastAsia="黑体"/>
      <w:b/>
      <w:kern w:val="44"/>
    </w:rPr>
  </w:style>
  <w:style w:type="paragraph" w:styleId="3">
    <w:name w:val="heading 2"/>
    <w:basedOn w:val="1"/>
    <w:next w:val="1"/>
    <w:unhideWhenUsed/>
    <w:qFormat/>
    <w:uiPriority w:val="0"/>
    <w:pPr>
      <w:keepNext/>
      <w:keepLines/>
      <w:numPr>
        <w:ilvl w:val="1"/>
        <w:numId w:val="1"/>
      </w:numPr>
      <w:ind w:firstLine="640"/>
      <w:outlineLvl w:val="1"/>
    </w:pPr>
    <w:rPr>
      <w:rFonts w:ascii="Arial" w:hAnsi="Arial" w:eastAsia="楷体"/>
      <w:b/>
    </w:rPr>
  </w:style>
  <w:style w:type="paragraph" w:styleId="4">
    <w:name w:val="heading 3"/>
    <w:basedOn w:val="1"/>
    <w:next w:val="1"/>
    <w:link w:val="31"/>
    <w:unhideWhenUsed/>
    <w:qFormat/>
    <w:uiPriority w:val="0"/>
    <w:pPr>
      <w:numPr>
        <w:ilvl w:val="2"/>
        <w:numId w:val="1"/>
      </w:numPr>
      <w:ind w:firstLine="640"/>
      <w:jc w:val="left"/>
      <w:outlineLvl w:val="2"/>
    </w:pPr>
    <w:rPr>
      <w:rFonts w:hint="eastAsia" w:ascii="宋体" w:hAnsi="宋体" w:cs="Times New Roman"/>
      <w:b/>
      <w:bCs/>
      <w:kern w:val="0"/>
      <w:szCs w:val="27"/>
    </w:rPr>
  </w:style>
  <w:style w:type="paragraph" w:styleId="5">
    <w:name w:val="heading 4"/>
    <w:basedOn w:val="1"/>
    <w:next w:val="1"/>
    <w:unhideWhenUsed/>
    <w:qFormat/>
    <w:uiPriority w:val="0"/>
    <w:pPr>
      <w:keepNext/>
      <w:keepLines/>
      <w:numPr>
        <w:ilvl w:val="3"/>
        <w:numId w:val="1"/>
      </w:numPr>
      <w:ind w:firstLine="640"/>
      <w:outlineLvl w:val="3"/>
    </w:pPr>
    <w:rPr>
      <w:b/>
    </w:rPr>
  </w:style>
  <w:style w:type="paragraph" w:styleId="6">
    <w:name w:val="heading 5"/>
    <w:basedOn w:val="1"/>
    <w:next w:val="1"/>
    <w:semiHidden/>
    <w:unhideWhenUsed/>
    <w:qFormat/>
    <w:uiPriority w:val="0"/>
    <w:pPr>
      <w:keepNext/>
      <w:keepLines/>
      <w:numPr>
        <w:ilvl w:val="4"/>
        <w:numId w:val="1"/>
      </w:numPr>
      <w:spacing w:before="280" w:after="290" w:line="372" w:lineRule="auto"/>
      <w:ind w:firstLineChars="0"/>
      <w:outlineLvl w:val="4"/>
    </w:pPr>
    <w:rPr>
      <w:b/>
      <w:sz w:val="28"/>
    </w:rPr>
  </w:style>
  <w:style w:type="paragraph" w:styleId="7">
    <w:name w:val="heading 6"/>
    <w:basedOn w:val="1"/>
    <w:next w:val="1"/>
    <w:semiHidden/>
    <w:unhideWhenUsed/>
    <w:qFormat/>
    <w:uiPriority w:val="0"/>
    <w:pPr>
      <w:keepNext/>
      <w:keepLines/>
      <w:numPr>
        <w:ilvl w:val="5"/>
        <w:numId w:val="1"/>
      </w:numPr>
      <w:spacing w:before="240" w:after="64" w:line="317" w:lineRule="auto"/>
      <w:ind w:firstLineChars="0"/>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after="64" w:line="317" w:lineRule="auto"/>
      <w:ind w:firstLineChars="0"/>
      <w:outlineLvl w:val="6"/>
    </w:pPr>
    <w:rPr>
      <w:b/>
      <w:sz w:val="24"/>
    </w:rPr>
  </w:style>
  <w:style w:type="paragraph" w:styleId="9">
    <w:name w:val="heading 8"/>
    <w:basedOn w:val="1"/>
    <w:next w:val="1"/>
    <w:semiHidden/>
    <w:unhideWhenUsed/>
    <w:qFormat/>
    <w:uiPriority w:val="0"/>
    <w:pPr>
      <w:keepNext/>
      <w:keepLines/>
      <w:numPr>
        <w:ilvl w:val="7"/>
        <w:numId w:val="1"/>
      </w:numPr>
      <w:spacing w:before="240" w:after="64" w:line="317" w:lineRule="auto"/>
      <w:ind w:firstLineChars="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after="64" w:line="317" w:lineRule="auto"/>
      <w:ind w:firstLineChars="0"/>
      <w:outlineLvl w:val="8"/>
    </w:pPr>
    <w:rPr>
      <w:rFonts w:ascii="Arial" w:hAnsi="Arial" w:eastAsia="黑体"/>
      <w:sz w:val="21"/>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29"/>
    <w:qFormat/>
    <w:uiPriority w:val="0"/>
    <w:pPr>
      <w:jc w:val="left"/>
    </w:pPr>
  </w:style>
  <w:style w:type="paragraph" w:styleId="12">
    <w:name w:val="Body Text Indent"/>
    <w:basedOn w:val="1"/>
    <w:next w:val="13"/>
    <w:qFormat/>
    <w:uiPriority w:val="0"/>
    <w:pPr>
      <w:ind w:left="420" w:leftChars="200"/>
    </w:pPr>
    <w:rPr>
      <w:rFonts w:ascii="Times New Roman" w:hAnsi="Times New Roman" w:eastAsia="宋体" w:cs="Times New Roman"/>
    </w:rPr>
  </w:style>
  <w:style w:type="paragraph" w:styleId="13">
    <w:name w:val="Subtitle"/>
    <w:basedOn w:val="1"/>
    <w:next w:val="1"/>
    <w:qFormat/>
    <w:uiPriority w:val="0"/>
    <w:pPr>
      <w:spacing w:line="700" w:lineRule="exact"/>
      <w:jc w:val="center"/>
      <w:outlineLvl w:val="1"/>
    </w:pPr>
    <w:rPr>
      <w:rFonts w:ascii="Arial" w:hAnsi="Arial" w:eastAsia="方正小标宋简体" w:cs="Arial"/>
      <w:b/>
      <w:bCs/>
      <w:kern w:val="28"/>
      <w:sz w:val="44"/>
      <w:szCs w:val="44"/>
    </w:r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6">
    <w:name w:val="Normal (Web)"/>
    <w:basedOn w:val="1"/>
    <w:qFormat/>
    <w:uiPriority w:val="0"/>
    <w:pPr>
      <w:spacing w:beforeAutospacing="1" w:afterAutospacing="1"/>
      <w:jc w:val="left"/>
    </w:pPr>
    <w:rPr>
      <w:rFonts w:cs="Times New Roman"/>
      <w:kern w:val="0"/>
      <w:sz w:val="24"/>
    </w:rPr>
  </w:style>
  <w:style w:type="paragraph" w:styleId="17">
    <w:name w:val="annotation subject"/>
    <w:basedOn w:val="11"/>
    <w:next w:val="11"/>
    <w:link w:val="30"/>
    <w:qFormat/>
    <w:uiPriority w:val="0"/>
    <w:rPr>
      <w:b/>
      <w:bCs/>
    </w:rPr>
  </w:style>
  <w:style w:type="paragraph" w:styleId="18">
    <w:name w:val="Body Text First Indent 2"/>
    <w:basedOn w:val="12"/>
    <w:qFormat/>
    <w:uiPriority w:val="0"/>
  </w:style>
  <w:style w:type="table" w:styleId="20">
    <w:name w:val="Table Grid"/>
    <w:basedOn w:val="1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annotation reference"/>
    <w:basedOn w:val="21"/>
    <w:qFormat/>
    <w:uiPriority w:val="0"/>
    <w:rPr>
      <w:sz w:val="21"/>
      <w:szCs w:val="21"/>
    </w:rPr>
  </w:style>
  <w:style w:type="paragraph" w:customStyle="1" w:styleId="24">
    <w:name w:val="标题2"/>
    <w:basedOn w:val="3"/>
    <w:qFormat/>
    <w:uiPriority w:val="0"/>
    <w:pPr>
      <w:numPr>
        <w:ilvl w:val="0"/>
        <w:numId w:val="2"/>
      </w:numPr>
      <w:spacing w:before="120" w:after="120" w:line="500" w:lineRule="exact"/>
    </w:pPr>
    <w:rPr>
      <w:rFonts w:ascii="仿宋_GB2312" w:eastAsia="仿宋_GB2312"/>
    </w:rPr>
  </w:style>
  <w:style w:type="paragraph" w:customStyle="1" w:styleId="25">
    <w:name w:val="表格"/>
    <w:basedOn w:val="1"/>
    <w:qFormat/>
    <w:uiPriority w:val="0"/>
    <w:pPr>
      <w:spacing w:line="240" w:lineRule="auto"/>
      <w:ind w:firstLine="0" w:firstLineChars="0"/>
      <w:jc w:val="center"/>
    </w:pPr>
    <w:rPr>
      <w:rFonts w:hint="eastAsia"/>
      <w:sz w:val="28"/>
    </w:rPr>
  </w:style>
  <w:style w:type="paragraph" w:customStyle="1" w:styleId="26">
    <w:name w:val="表头"/>
    <w:basedOn w:val="1"/>
    <w:next w:val="25"/>
    <w:qFormat/>
    <w:uiPriority w:val="0"/>
    <w:pPr>
      <w:ind w:firstLine="0" w:firstLineChars="0"/>
      <w:jc w:val="center"/>
    </w:pPr>
    <w:rPr>
      <w:rFonts w:hint="eastAsia"/>
      <w:b/>
      <w:lang w:val="zh-TW"/>
    </w:rPr>
  </w:style>
  <w:style w:type="character" w:customStyle="1" w:styleId="27">
    <w:name w:val="font61"/>
    <w:basedOn w:val="21"/>
    <w:qFormat/>
    <w:uiPriority w:val="0"/>
    <w:rPr>
      <w:rFonts w:ascii="方正黑体_GBK" w:hAnsi="方正黑体_GBK" w:eastAsia="方正黑体_GBK" w:cs="方正黑体_GBK"/>
      <w:color w:val="000000"/>
      <w:sz w:val="28"/>
      <w:szCs w:val="28"/>
      <w:u w:val="none"/>
    </w:rPr>
  </w:style>
  <w:style w:type="character" w:customStyle="1" w:styleId="28">
    <w:name w:val="font31"/>
    <w:basedOn w:val="21"/>
    <w:qFormat/>
    <w:uiPriority w:val="0"/>
    <w:rPr>
      <w:rFonts w:hint="default" w:ascii="Times New Roman" w:hAnsi="Times New Roman" w:cs="Times New Roman"/>
      <w:color w:val="000000"/>
      <w:sz w:val="28"/>
      <w:szCs w:val="28"/>
      <w:u w:val="none"/>
    </w:rPr>
  </w:style>
  <w:style w:type="character" w:customStyle="1" w:styleId="29">
    <w:name w:val="批注文字 字符"/>
    <w:basedOn w:val="21"/>
    <w:link w:val="11"/>
    <w:qFormat/>
    <w:uiPriority w:val="0"/>
    <w:rPr>
      <w:rFonts w:ascii="仿宋_GB2312" w:hAnsi="仿宋_GB2312" w:eastAsia="仿宋_GB2312" w:cstheme="minorBidi"/>
      <w:kern w:val="2"/>
      <w:sz w:val="32"/>
      <w:szCs w:val="24"/>
    </w:rPr>
  </w:style>
  <w:style w:type="character" w:customStyle="1" w:styleId="30">
    <w:name w:val="批注主题 字符"/>
    <w:basedOn w:val="29"/>
    <w:link w:val="17"/>
    <w:qFormat/>
    <w:uiPriority w:val="0"/>
    <w:rPr>
      <w:rFonts w:ascii="仿宋_GB2312" w:hAnsi="仿宋_GB2312" w:eastAsia="仿宋_GB2312" w:cstheme="minorBidi"/>
      <w:b/>
      <w:bCs/>
      <w:kern w:val="2"/>
      <w:sz w:val="32"/>
      <w:szCs w:val="24"/>
    </w:rPr>
  </w:style>
  <w:style w:type="character" w:customStyle="1" w:styleId="31">
    <w:name w:val="标题 3 Char"/>
    <w:link w:val="4"/>
    <w:qFormat/>
    <w:uiPriority w:val="0"/>
    <w:rPr>
      <w:rFonts w:hint="eastAsia" w:ascii="宋体" w:hAnsi="宋体" w:cs="Times New Roman"/>
      <w:b/>
      <w:bCs/>
      <w:kern w:val="0"/>
      <w:szCs w:val="27"/>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3804</Words>
  <Characters>4153</Characters>
  <Lines>43</Lines>
  <Paragraphs>12</Paragraphs>
  <TotalTime>66</TotalTime>
  <ScaleCrop>false</ScaleCrop>
  <LinksUpToDate>false</LinksUpToDate>
  <CharactersWithSpaces>4154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2025-02-18T01:44:00Z</dcterms:created>
  <dc:creator>z</dc:creator>
  <cp:lastModifiedBy>。。。</cp:lastModifiedBy>
  <dcterms:modified xsi:type="dcterms:W3CDTF">2025-03-18T01:26:46Z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71D76AC7B73946D3A7F6785E2C8BD47A_13</vt:lpwstr>
  </property>
  <property fmtid="{D5CDD505-2E9C-101B-9397-08002B2CF9AE}" pid="4" name="KSOTemplateDocerSaveRecord">
    <vt:lpwstr>eyJoZGlkIjoiYjg3YjZkMDZiMTdkMmI2NjRlZDc4NzhjNTZmMTc0YzgiLCJ1c2VySWQiOiI0MDA1Mzk4NDcifQ==</vt:lpwstr>
  </property>
</Properties>
</file>