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26986">
      <w:pPr>
        <w:ind w:firstLine="640"/>
      </w:pPr>
    </w:p>
    <w:p w14:paraId="280E59AD">
      <w:pPr>
        <w:ind w:firstLine="880"/>
        <w:jc w:val="center"/>
        <w:rPr>
          <w:rFonts w:ascii="黑体" w:hAnsi="黑体" w:eastAsia="黑体" w:cs="黑体"/>
          <w:sz w:val="44"/>
          <w:szCs w:val="44"/>
        </w:rPr>
      </w:pPr>
      <w:r>
        <w:rPr>
          <w:rFonts w:hint="eastAsia" w:ascii="黑体" w:hAnsi="黑体" w:eastAsia="黑体" w:cs="黑体"/>
          <w:sz w:val="44"/>
          <w:szCs w:val="44"/>
        </w:rPr>
        <w:t>雨水调蓄设施建设工程</w:t>
      </w:r>
    </w:p>
    <w:p w14:paraId="5E02CCAC">
      <w:pPr>
        <w:ind w:firstLine="880"/>
        <w:jc w:val="center"/>
        <w:rPr>
          <w:rFonts w:ascii="黑体" w:hAnsi="黑体" w:eastAsia="黑体" w:cs="黑体"/>
          <w:sz w:val="44"/>
          <w:szCs w:val="44"/>
        </w:rPr>
      </w:pPr>
      <w:r>
        <w:rPr>
          <w:rFonts w:hint="eastAsia" w:ascii="黑体" w:hAnsi="黑体" w:eastAsia="黑体" w:cs="黑体"/>
          <w:sz w:val="44"/>
          <w:szCs w:val="44"/>
        </w:rPr>
        <w:t>项目自评报告</w:t>
      </w:r>
    </w:p>
    <w:p w14:paraId="2F62B939">
      <w:pPr>
        <w:ind w:firstLine="640"/>
      </w:pPr>
      <w:r>
        <w:rPr>
          <w:rFonts w:hint="eastAsia"/>
          <w:szCs w:val="32"/>
        </w:rPr>
        <w:t>根据《石家庄市财政支出绩效评价办法》（石财绩〔2013〕2号），遵循“科学性、规范性、客观性和公正性”的原则，对雨水调蓄设施建设工程实施了财政支出绩效自评价，形成本评价报告。</w:t>
      </w:r>
    </w:p>
    <w:p w14:paraId="003A976E">
      <w:pPr>
        <w:pStyle w:val="5"/>
        <w:ind w:firstLine="643"/>
      </w:pPr>
      <w:r>
        <w:t>项目基本情况项目概况</w:t>
      </w:r>
    </w:p>
    <w:p w14:paraId="5079FC5F">
      <w:pPr>
        <w:pStyle w:val="6"/>
        <w:ind w:firstLine="643"/>
      </w:pPr>
      <w:r>
        <w:rPr>
          <w:rFonts w:hint="eastAsia"/>
        </w:rPr>
        <w:t>项目概况</w:t>
      </w:r>
    </w:p>
    <w:p w14:paraId="216A3BD6">
      <w:pPr>
        <w:pStyle w:val="7"/>
        <w:ind w:firstLine="643"/>
        <w:rPr>
          <w:rFonts w:hint="default"/>
        </w:rPr>
      </w:pPr>
      <w:r>
        <w:t>项目实施单位及项目立项等基本情况</w:t>
      </w:r>
    </w:p>
    <w:p w14:paraId="18FCE9A1">
      <w:pPr>
        <w:pStyle w:val="8"/>
        <w:ind w:firstLine="643"/>
      </w:pPr>
      <w:r>
        <w:rPr>
          <w:rFonts w:hint="eastAsia"/>
        </w:rPr>
        <w:t>项目实施单位</w:t>
      </w:r>
    </w:p>
    <w:p w14:paraId="4ED5E52A">
      <w:pPr>
        <w:ind w:firstLine="640"/>
      </w:pPr>
      <w:r>
        <w:t>单位名称</w:t>
      </w:r>
      <w:r>
        <w:rPr>
          <w:rFonts w:hint="eastAsia"/>
        </w:rPr>
        <w:t>：石家庄市城市管理综合行政执法局</w:t>
      </w:r>
    </w:p>
    <w:p w14:paraId="4C15DC1E">
      <w:pPr>
        <w:ind w:firstLine="640"/>
      </w:pPr>
      <w:r>
        <w:rPr>
          <w:rFonts w:hint="eastAsia"/>
        </w:rPr>
        <w:t>石家庄市城市管理综合行政执法局（以下简称“市城管综合行政执法局”），主要负责城市道路、桥梁、照明、排水等市政设施维护管理工作，负责民心河河道管理、城区防汛工作；负责城市供热燃气、供水节水污水处理行业管理工作；组织督导城市市容环境卫生、城市管理综合执法以及城区生活垃圾、建筑垃圾、餐厨垃圾、粪便垃圾无害化处理工作；负责指导各县（市、区）城镇（县城城建界以内）的城市管理相关工作。</w:t>
      </w:r>
    </w:p>
    <w:p w14:paraId="4C7DB4D4">
      <w:pPr>
        <w:pStyle w:val="8"/>
        <w:ind w:firstLine="643"/>
      </w:pPr>
      <w:r>
        <w:t>项目背景</w:t>
      </w:r>
      <w:r>
        <w:rPr>
          <w:rFonts w:hint="eastAsia"/>
        </w:rPr>
        <w:t>（立项依据、政策文件、需求分析等）</w:t>
      </w:r>
    </w:p>
    <w:p w14:paraId="6B744293">
      <w:pPr>
        <w:ind w:firstLine="640"/>
      </w:pPr>
      <w:r>
        <w:rPr>
          <w:rFonts w:hint="eastAsia"/>
        </w:rPr>
        <w:t>按照《国务院办公厅关于加强城市内涝治理的实施意见》（国办发〔2021〕11号）的目标要求，以及市政府、市城管局的安排部署，为进一步推进我市排涝设施体系建设，增强抵御内涝风险能力，对市区强降雨过程中仍然存在的易积水路段进行认真梳理分析，本着“完善体系、因地制宜、突出重点”的原则，谋划了七大类工程，系统治理城市内涝。计划至2025年通过“源头减排、管网排放、蓄排并举、超标应急”的城市排水防涝工程体系建设，使石家庄市区排水防涝能力显著提升，有效应对城市内涝防治标准内的降雨，达到“雨停后能够及时排干积水，低洼地区防洪排涝能力大幅提升，严重影响生产生活秩序的易涝积水点全面消除，超标准降雨条件下少积水、退水快，基本保障城市安全运行”的目标。通过对城区易积水点进行分析，共需建设9座雨水调蓄池。调蓄池基本位于公园或绿地内。为全地下钢筋混凝土结构。</w:t>
      </w:r>
    </w:p>
    <w:p w14:paraId="4E3DEB8C">
      <w:pPr>
        <w:ind w:firstLine="640"/>
      </w:pPr>
      <w:r>
        <w:rPr>
          <w:rFonts w:hint="eastAsia"/>
        </w:rPr>
        <w:t>通过降雨暴露的道路积水问题，石家庄市城市管理综合行政执法局对市区强降雨过程中易积水路段进行了排查梳理，并结合排水管网设施现状，按照“一点一案”的原则，制定整改方案，针对泰华街北城路口，东二环辅路与槐安路东南角，针对位于东二环辅路与槐中路以东，位于东二环与南二环内侧辅路，位于西二环与南二环内侧辅路，位于植物园街与和平路交口以北区域，位于建华大街与南二环交口以北区域，位于中华大街南延处的积水点，提出雨水调蓄设施新建工程。</w:t>
      </w:r>
    </w:p>
    <w:p w14:paraId="5CD13F03">
      <w:pPr>
        <w:ind w:firstLine="640"/>
      </w:pPr>
      <w:r>
        <w:rPr>
          <w:rFonts w:hint="eastAsia"/>
        </w:rPr>
        <w:t>1.交通受阻</w:t>
      </w:r>
    </w:p>
    <w:p w14:paraId="040FD4F4">
      <w:pPr>
        <w:ind w:firstLine="640"/>
      </w:pPr>
      <w:r>
        <w:rPr>
          <w:rFonts w:hint="eastAsia"/>
        </w:rPr>
        <w:t>强降雨天气容易导致道路积水、泥泞，给道路交通带来极大的困扰。行车过程中，车辆容易打滑、失控，甚至发生交通事故。此外，强降雨还可能导致公共交通工具延误或停运，影响市民出行。</w:t>
      </w:r>
    </w:p>
    <w:p w14:paraId="15C35191">
      <w:pPr>
        <w:ind w:firstLine="640"/>
      </w:pPr>
      <w:r>
        <w:rPr>
          <w:rFonts w:hint="eastAsia"/>
        </w:rPr>
        <w:t>2.城市内涝</w:t>
      </w:r>
    </w:p>
    <w:p w14:paraId="3071455C">
      <w:pPr>
        <w:ind w:firstLine="640"/>
      </w:pPr>
      <w:r>
        <w:rPr>
          <w:rFonts w:hint="eastAsia"/>
        </w:rPr>
        <w:t>强降雨过后，城市的排水系统往往承受着巨大的压力。部分地区由于排水系统不完善，容易出现内涝现象，给市民生活带来诸多不便。内涝可能导致房屋渗漏、居民被困等严重后果。</w:t>
      </w:r>
    </w:p>
    <w:p w14:paraId="395B6A9A">
      <w:pPr>
        <w:ind w:firstLine="640"/>
      </w:pPr>
      <w:r>
        <w:rPr>
          <w:rFonts w:hint="eastAsia"/>
        </w:rPr>
        <w:t>3.基础设施受损</w:t>
      </w:r>
    </w:p>
    <w:p w14:paraId="762D3728">
      <w:pPr>
        <w:ind w:firstLine="640"/>
      </w:pPr>
      <w:r>
        <w:rPr>
          <w:rFonts w:hint="eastAsia"/>
        </w:rPr>
        <w:t>强降雨天气对城市的基础设施造成严重破坏。桥梁、隧道、道路等设施可能因为洪水冲击而受损，影响城市的正常运行。此外，强降雨还可能导致供电、供水等基础设施出现问题，给市民生活带来诸多不便。</w:t>
      </w:r>
    </w:p>
    <w:p w14:paraId="2CD7D330">
      <w:pPr>
        <w:ind w:firstLine="640"/>
      </w:pPr>
      <w:r>
        <w:rPr>
          <w:rFonts w:hint="eastAsia"/>
        </w:rPr>
        <w:t>故本项目需求性较大。</w:t>
      </w:r>
    </w:p>
    <w:p w14:paraId="4EC7CCF1">
      <w:pPr>
        <w:pStyle w:val="8"/>
        <w:ind w:firstLine="643"/>
      </w:pPr>
      <w:r>
        <w:rPr>
          <w:rFonts w:hint="eastAsia"/>
        </w:rPr>
        <w:t>项目立项情况</w:t>
      </w:r>
    </w:p>
    <w:p w14:paraId="1B566ED9">
      <w:pPr>
        <w:ind w:firstLine="640"/>
      </w:pPr>
      <w:r>
        <w:rPr>
          <w:rFonts w:hint="eastAsia"/>
        </w:rPr>
        <w:t>项目前期资料办理情况：</w:t>
      </w:r>
    </w:p>
    <w:p w14:paraId="083105AD">
      <w:pPr>
        <w:ind w:firstLine="640"/>
      </w:pPr>
      <w:r>
        <w:rPr>
          <w:rFonts w:hint="eastAsia"/>
        </w:rPr>
        <w:t>2023年10月28日取得《石家庄市行政审批局关于雨水调蓄设施建设工程可行性研究报的批复》（石行审投资〔2023〕194号）；</w:t>
      </w:r>
    </w:p>
    <w:p w14:paraId="67D16CB6">
      <w:pPr>
        <w:ind w:firstLine="640"/>
      </w:pPr>
      <w:r>
        <w:rPr>
          <w:rFonts w:hint="eastAsia"/>
        </w:rPr>
        <w:t>2024年4月3日取得《石家庄市行政审批局关于雨水调蓄设施建设工程初步设计的批复》（石行审投资〔2024〕84号）；</w:t>
      </w:r>
    </w:p>
    <w:p w14:paraId="529EA983">
      <w:pPr>
        <w:ind w:firstLine="640"/>
      </w:pPr>
      <w:r>
        <w:rPr>
          <w:rFonts w:hint="eastAsia"/>
        </w:rPr>
        <w:t>2024年5月16日前完成施工、监理招标；</w:t>
      </w:r>
    </w:p>
    <w:p w14:paraId="09BA6BF8">
      <w:pPr>
        <w:ind w:firstLine="640"/>
      </w:pPr>
      <w:r>
        <w:rPr>
          <w:rFonts w:hint="eastAsia"/>
        </w:rPr>
        <w:t>2024年5月21日完成施工许可手续，取得施工许可证；</w:t>
      </w:r>
    </w:p>
    <w:p w14:paraId="3690D470">
      <w:pPr>
        <w:ind w:firstLine="640"/>
      </w:pPr>
      <w:r>
        <w:rPr>
          <w:rFonts w:hint="eastAsia"/>
        </w:rPr>
        <w:t>2024年5月31日开工建设；</w:t>
      </w:r>
    </w:p>
    <w:p w14:paraId="031778AD">
      <w:pPr>
        <w:ind w:firstLine="640"/>
      </w:pPr>
      <w:r>
        <w:rPr>
          <w:rFonts w:hint="eastAsia"/>
        </w:rPr>
        <w:t>2024年12月31日完工，尚未进行竣工验收工作。</w:t>
      </w:r>
    </w:p>
    <w:p w14:paraId="3AF7F7D9">
      <w:pPr>
        <w:ind w:firstLine="640"/>
      </w:pPr>
      <w:r>
        <w:rPr>
          <w:rFonts w:hint="eastAsia"/>
        </w:rPr>
        <w:t>项目立项流程合规，资料齐全。</w:t>
      </w:r>
    </w:p>
    <w:p w14:paraId="09D84786">
      <w:pPr>
        <w:pStyle w:val="7"/>
        <w:ind w:firstLine="643"/>
        <w:rPr>
          <w:rFonts w:hint="default"/>
        </w:rPr>
      </w:pPr>
      <w:r>
        <w:rPr>
          <w:rFonts w:hint="default"/>
        </w:rPr>
        <w:t>项目实施内容与范围</w:t>
      </w:r>
    </w:p>
    <w:p w14:paraId="344F953A">
      <w:pPr>
        <w:pStyle w:val="8"/>
        <w:ind w:firstLine="643"/>
      </w:pPr>
      <w:r>
        <w:t>项目主要建设内容</w:t>
      </w:r>
      <w:r>
        <w:rPr>
          <w:rFonts w:hint="eastAsia"/>
        </w:rPr>
        <w:t>：</w:t>
      </w:r>
    </w:p>
    <w:p w14:paraId="61910D3A">
      <w:pPr>
        <w:ind w:firstLine="640"/>
      </w:pPr>
      <w:r>
        <w:rPr>
          <w:rFonts w:hint="eastAsia"/>
        </w:rPr>
        <w:t>通过对城区易积水点进行分析，共需新建6座雨水调蓄池，改造2座雨水调蓄池。调蓄池基本位于公园或绿地内。为全地下钢筋混凝土结构。</w:t>
      </w:r>
    </w:p>
    <w:p w14:paraId="216DF460">
      <w:pPr>
        <w:ind w:firstLine="640"/>
      </w:pPr>
      <w:r>
        <w:rPr>
          <w:rFonts w:hint="eastAsia"/>
        </w:rPr>
        <w:t>水上公园调蓄池：本工程拟将水上公园景观湖作为天然调蓄池并在施工范围的道路上按规划新建雨水箱涵。在泰华路按规划新建2.8x1.5m箱涵，并新建相同尺寸箱涵接入新建20x10x5m沉淀池中，沉淀池设置格栅、溢流管、闸门及潜水泵，沉淀池出水管排入水上公园景观湖内，让景观湖起到调蓄作用。</w:t>
      </w:r>
    </w:p>
    <w:p w14:paraId="028B8341">
      <w:pPr>
        <w:ind w:firstLine="640"/>
      </w:pPr>
      <w:r>
        <w:rPr>
          <w:rFonts w:hint="eastAsia"/>
        </w:rPr>
        <w:t>东二环辅路槐安路调蓄池：在槐安路东南角绿地内新建调蓄池，用于缓解暴雨时路面积水情况。新建调蓄池采用60m</w:t>
      </w:r>
      <w:r>
        <w:rPr>
          <w:rFonts w:ascii="Arial" w:hAnsi="Arial" w:cs="Arial"/>
        </w:rPr>
        <w:t>×</w:t>
      </w:r>
      <w:r>
        <w:rPr>
          <w:rFonts w:hint="eastAsia"/>
        </w:rPr>
        <w:t>40m</w:t>
      </w:r>
      <w:r>
        <w:rPr>
          <w:rFonts w:ascii="Arial" w:hAnsi="Arial" w:cs="Arial"/>
        </w:rPr>
        <w:t>×</w:t>
      </w:r>
      <w:r>
        <w:rPr>
          <w:rFonts w:hint="eastAsia"/>
        </w:rPr>
        <w:t>5m钢筋混凝土结构，调蓄容积12000m³，占地面积约为2400平米。调蓄池配套需新建闸门井。调蓄池覆土2米，满足绿化复建需求，东二环辅路与槐中路调蓄池：在槐中路东南角绿地内新建调蓄池用于缓解暴雨时路面积水情况。新建调蓄池采用60m</w:t>
      </w:r>
      <w:r>
        <w:rPr>
          <w:rFonts w:ascii="Arial" w:hAnsi="Arial" w:cs="Arial"/>
        </w:rPr>
        <w:t>×</w:t>
      </w:r>
      <w:r>
        <w:rPr>
          <w:rFonts w:hint="eastAsia"/>
        </w:rPr>
        <w:t>35m</w:t>
      </w:r>
      <w:r>
        <w:rPr>
          <w:rFonts w:ascii="Arial" w:hAnsi="Arial" w:cs="Arial"/>
        </w:rPr>
        <w:t>×</w:t>
      </w:r>
      <w:r>
        <w:rPr>
          <w:rFonts w:hint="eastAsia"/>
        </w:rPr>
        <w:t>5m钢筋混凝土结构，调蓄容积10500m³，占地面积约为2100平米：调蓄池配套需新建闸门井。调蓄池覆土2米，满足绿化复建需求。东环公园调蓄池：于东环公园建设1座调蓄池，用于缓解强降雨路面的积水。尺寸为L</w:t>
      </w:r>
      <w:r>
        <w:rPr>
          <w:rFonts w:ascii="Arial" w:hAnsi="Arial" w:cs="Arial"/>
        </w:rPr>
        <w:t>×</w:t>
      </w:r>
      <w:r>
        <w:rPr>
          <w:rFonts w:hint="eastAsia"/>
        </w:rPr>
        <w:t>B</w:t>
      </w:r>
      <w:r>
        <w:rPr>
          <w:rFonts w:ascii="Arial" w:hAnsi="Arial" w:cs="Arial"/>
        </w:rPr>
        <w:t>×</w:t>
      </w:r>
      <w:r>
        <w:rPr>
          <w:rFonts w:hint="eastAsia"/>
        </w:rPr>
        <w:t>H=80</w:t>
      </w:r>
      <w:r>
        <w:rPr>
          <w:rFonts w:ascii="Arial" w:hAnsi="Arial" w:cs="Arial"/>
        </w:rPr>
        <w:t>×</w:t>
      </w:r>
      <w:r>
        <w:rPr>
          <w:rFonts w:hint="eastAsia"/>
        </w:rPr>
        <w:t>50</w:t>
      </w:r>
      <w:r>
        <w:rPr>
          <w:rFonts w:ascii="Arial" w:hAnsi="Arial" w:cs="Arial"/>
        </w:rPr>
        <w:t>×</w:t>
      </w:r>
      <w:r>
        <w:rPr>
          <w:rFonts w:hint="eastAsia"/>
        </w:rPr>
        <w:t>7.5m，总调蓄容积约3万立方米。配套冲洗、抽排、监控等附属设备</w:t>
      </w:r>
    </w:p>
    <w:p w14:paraId="3B624325">
      <w:pPr>
        <w:ind w:firstLine="640"/>
      </w:pPr>
      <w:r>
        <w:rPr>
          <w:rFonts w:hint="eastAsia"/>
        </w:rPr>
        <w:t>西环公园调蓄池：于西环公园建设1座调蓄池，用于缓解强降雨路面的积水。尺寸为L</w:t>
      </w:r>
      <w:r>
        <w:rPr>
          <w:rFonts w:ascii="Arial" w:hAnsi="Arial" w:cs="Arial"/>
        </w:rPr>
        <w:t>×</w:t>
      </w:r>
      <w:r>
        <w:rPr>
          <w:rFonts w:hint="eastAsia"/>
        </w:rPr>
        <w:t>B</w:t>
      </w:r>
      <w:r>
        <w:rPr>
          <w:rFonts w:ascii="Arial" w:hAnsi="Arial" w:cs="Arial"/>
        </w:rPr>
        <w:t>×</w:t>
      </w:r>
      <w:r>
        <w:rPr>
          <w:rFonts w:hint="eastAsia"/>
        </w:rPr>
        <w:t>H=80</w:t>
      </w:r>
      <w:r>
        <w:rPr>
          <w:rFonts w:ascii="Arial" w:hAnsi="Arial" w:cs="Arial"/>
        </w:rPr>
        <w:t>×</w:t>
      </w:r>
      <w:r>
        <w:rPr>
          <w:rFonts w:hint="eastAsia"/>
        </w:rPr>
        <w:t>40</w:t>
      </w:r>
      <w:r>
        <w:rPr>
          <w:rFonts w:ascii="Arial" w:hAnsi="Arial" w:cs="Arial"/>
        </w:rPr>
        <w:t>×</w:t>
      </w:r>
      <w:r>
        <w:rPr>
          <w:rFonts w:hint="eastAsia"/>
        </w:rPr>
        <w:t>5m。总调蓄容积约1.6万立方米，配套冲洗、抽排、监控等附属设备。</w:t>
      </w:r>
    </w:p>
    <w:p w14:paraId="29212BA5">
      <w:pPr>
        <w:ind w:firstLine="640"/>
      </w:pPr>
      <w:r>
        <w:rPr>
          <w:rFonts w:hint="eastAsia"/>
        </w:rPr>
        <w:t>植物园街和平路交口调蓄池：于植物园街与和平路交口东北角绿带内，建设2座调蓄池，尺寸为L</w:t>
      </w:r>
      <w:r>
        <w:rPr>
          <w:rFonts w:ascii="Arial" w:hAnsi="Arial" w:cs="Arial"/>
        </w:rPr>
        <w:t>×</w:t>
      </w:r>
      <w:r>
        <w:rPr>
          <w:rFonts w:hint="eastAsia"/>
        </w:rPr>
        <w:t>B</w:t>
      </w:r>
      <w:r>
        <w:rPr>
          <w:rFonts w:ascii="Arial" w:hAnsi="Arial" w:cs="Arial"/>
        </w:rPr>
        <w:t>×</w:t>
      </w:r>
      <w:r>
        <w:rPr>
          <w:rFonts w:hint="eastAsia"/>
        </w:rPr>
        <w:t>H=60</w:t>
      </w:r>
      <w:r>
        <w:rPr>
          <w:rFonts w:ascii="Arial" w:hAnsi="Arial" w:cs="Arial"/>
        </w:rPr>
        <w:t>×</w:t>
      </w:r>
      <w:r>
        <w:rPr>
          <w:rFonts w:hint="eastAsia"/>
        </w:rPr>
        <w:t>10</w:t>
      </w:r>
      <w:r>
        <w:rPr>
          <w:rFonts w:ascii="Arial" w:hAnsi="Arial" w:cs="Arial"/>
        </w:rPr>
        <w:t>×</w:t>
      </w:r>
      <w:r>
        <w:rPr>
          <w:rFonts w:hint="eastAsia"/>
        </w:rPr>
        <w:t>5m，用于缓解强降雨路面的积水。总调蓄容积约6000立方米，配套冲洗、抽排、监控等附属设备。</w:t>
      </w:r>
    </w:p>
    <w:p w14:paraId="009FF5C0">
      <w:pPr>
        <w:ind w:firstLine="640"/>
      </w:pPr>
      <w:r>
        <w:rPr>
          <w:rFonts w:hint="eastAsia"/>
        </w:rPr>
        <w:t>建华大街南二环交口调蓄池：于建华大街与南二环交口西北角绿带内，建设1座调蓄池，尺寸为L</w:t>
      </w:r>
      <w:r>
        <w:rPr>
          <w:rFonts w:ascii="Arial" w:hAnsi="Arial" w:cs="Arial"/>
        </w:rPr>
        <w:t>×</w:t>
      </w:r>
      <w:r>
        <w:rPr>
          <w:rFonts w:hint="eastAsia"/>
        </w:rPr>
        <w:t>B</w:t>
      </w:r>
      <w:r>
        <w:rPr>
          <w:rFonts w:ascii="Arial" w:hAnsi="Arial" w:cs="Arial"/>
        </w:rPr>
        <w:t>×</w:t>
      </w:r>
      <w:r>
        <w:rPr>
          <w:rFonts w:hint="eastAsia"/>
        </w:rPr>
        <w:t>H=200</w:t>
      </w:r>
      <w:r>
        <w:rPr>
          <w:rFonts w:ascii="Arial" w:hAnsi="Arial" w:cs="Arial"/>
        </w:rPr>
        <w:t>×</w:t>
      </w:r>
      <w:r>
        <w:rPr>
          <w:rFonts w:hint="eastAsia"/>
        </w:rPr>
        <w:t>20</w:t>
      </w:r>
      <w:r>
        <w:rPr>
          <w:rFonts w:ascii="Arial" w:hAnsi="Arial" w:cs="Arial"/>
        </w:rPr>
        <w:t>×</w:t>
      </w:r>
      <w:r>
        <w:rPr>
          <w:rFonts w:hint="eastAsia"/>
        </w:rPr>
        <w:t>5m，用于缓解强降雨路面的积水。总调蓄容积约2万立方米，配套冲洗、抽排、监控等附属设备。</w:t>
      </w:r>
    </w:p>
    <w:p w14:paraId="4B11E791">
      <w:pPr>
        <w:ind w:firstLine="640"/>
      </w:pPr>
      <w:r>
        <w:rPr>
          <w:rFonts w:hint="eastAsia"/>
        </w:rPr>
        <w:t>中华大街南延调蓄池：现状中华大街东侧、汇明路南侧调蓄池改造为永久地下式结构，原位改造调蓄池为全地下形式，调蓄池主体净尺寸B</w:t>
      </w:r>
      <w:r>
        <w:rPr>
          <w:rFonts w:ascii="Arial" w:hAnsi="Arial" w:cs="Arial"/>
        </w:rPr>
        <w:t>×</w:t>
      </w:r>
      <w:r>
        <w:rPr>
          <w:rFonts w:hint="eastAsia"/>
        </w:rPr>
        <w:t>L</w:t>
      </w:r>
      <w:r>
        <w:rPr>
          <w:rFonts w:ascii="Arial" w:hAnsi="Arial" w:cs="Arial"/>
        </w:rPr>
        <w:t>×</w:t>
      </w:r>
      <w:r>
        <w:rPr>
          <w:rFonts w:hint="eastAsia"/>
        </w:rPr>
        <w:t>H=32.3m</w:t>
      </w:r>
      <w:r>
        <w:rPr>
          <w:rFonts w:ascii="Arial" w:hAnsi="Arial" w:cs="Arial"/>
        </w:rPr>
        <w:t>×</w:t>
      </w:r>
      <w:r>
        <w:rPr>
          <w:rFonts w:hint="eastAsia"/>
        </w:rPr>
        <w:t>(63-100)m</w:t>
      </w:r>
      <w:r>
        <w:rPr>
          <w:rFonts w:ascii="Arial" w:hAnsi="Arial" w:cs="Arial"/>
        </w:rPr>
        <w:t>×</w:t>
      </w:r>
      <w:r>
        <w:rPr>
          <w:rFonts w:hint="eastAsia"/>
        </w:rPr>
        <w:t>9.8m，有效水深9m。设计有效容积约为27000m³。</w:t>
      </w:r>
    </w:p>
    <w:p w14:paraId="7E0FC8BE">
      <w:pPr>
        <w:pStyle w:val="8"/>
        <w:ind w:firstLine="643"/>
      </w:pPr>
      <w:r>
        <w:rPr>
          <w:rFonts w:hint="eastAsia"/>
        </w:rPr>
        <w:t>项目建设地点：</w:t>
      </w:r>
    </w:p>
    <w:p w14:paraId="0D4A51E9">
      <w:pPr>
        <w:ind w:firstLine="640"/>
      </w:pPr>
      <w:r>
        <w:rPr>
          <w:rFonts w:hint="eastAsia"/>
        </w:rPr>
        <w:t>项目建设地点位于石家庄主城区。</w:t>
      </w:r>
    </w:p>
    <w:p w14:paraId="236C0A27">
      <w:pPr>
        <w:pStyle w:val="7"/>
        <w:ind w:firstLine="643"/>
        <w:rPr>
          <w:rFonts w:hint="default"/>
        </w:rPr>
      </w:pPr>
      <w:r>
        <w:rPr>
          <w:rFonts w:hint="default"/>
        </w:rPr>
        <w:t>项目资金投入情况</w:t>
      </w:r>
    </w:p>
    <w:p w14:paraId="3388A43F">
      <w:pPr>
        <w:pStyle w:val="8"/>
        <w:ind w:firstLine="643"/>
      </w:pPr>
      <w:r>
        <w:t>总投入资金及结构</w:t>
      </w:r>
      <w:r>
        <w:rPr>
          <w:rFonts w:hint="eastAsia"/>
        </w:rPr>
        <w:t>：</w:t>
      </w:r>
    </w:p>
    <w:p w14:paraId="0EC175F7">
      <w:pPr>
        <w:ind w:firstLine="640"/>
      </w:pPr>
      <w:r>
        <w:rPr>
          <w:rFonts w:hint="eastAsia"/>
        </w:rPr>
        <w:t>雨水调蓄设施建设工程总投资为38316.00万元，财政预算资金为38316.00万元，其中，国债中央补助资金30652.00万元，国债省级补助资金1532.60万元，市级配套资金6131.40万元。</w:t>
      </w:r>
    </w:p>
    <w:p w14:paraId="0B605BE4">
      <w:pPr>
        <w:ind w:firstLine="640"/>
      </w:pPr>
      <w:r>
        <w:rPr>
          <w:rFonts w:hint="eastAsia"/>
        </w:rPr>
        <w:t>2024年预算资金支出24562.02万元，其中，国债中央补助资金支出24557.49万元，市级配套资金支出4.53万元。</w:t>
      </w:r>
    </w:p>
    <w:p w14:paraId="65DEE699">
      <w:pPr>
        <w:pStyle w:val="27"/>
        <w:rPr>
          <w:rFonts w:hint="default"/>
          <w:lang w:val="en-US"/>
        </w:rPr>
      </w:pPr>
      <w:r>
        <w:rPr>
          <w:lang w:val="en-US"/>
        </w:rPr>
        <w:t>项目资金投入情况表</w:t>
      </w:r>
    </w:p>
    <w:tbl>
      <w:tblPr>
        <w:tblStyle w:val="20"/>
        <w:tblW w:w="4998" w:type="pct"/>
        <w:tblInd w:w="0" w:type="dxa"/>
        <w:tblLayout w:type="autofit"/>
        <w:tblCellMar>
          <w:top w:w="0" w:type="dxa"/>
          <w:left w:w="108" w:type="dxa"/>
          <w:bottom w:w="0" w:type="dxa"/>
          <w:right w:w="108" w:type="dxa"/>
        </w:tblCellMar>
      </w:tblPr>
      <w:tblGrid>
        <w:gridCol w:w="854"/>
        <w:gridCol w:w="2090"/>
        <w:gridCol w:w="1395"/>
        <w:gridCol w:w="2090"/>
        <w:gridCol w:w="2090"/>
      </w:tblGrid>
      <w:tr w14:paraId="5CFE160D">
        <w:tblPrEx>
          <w:tblCellMar>
            <w:top w:w="0" w:type="dxa"/>
            <w:left w:w="108" w:type="dxa"/>
            <w:bottom w:w="0" w:type="dxa"/>
            <w:right w:w="108" w:type="dxa"/>
          </w:tblCellMar>
        </w:tblPrEx>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08A11">
            <w:pPr>
              <w:pStyle w:val="26"/>
            </w:pPr>
            <w:r>
              <w:rPr>
                <w:rFonts w:hint="eastAsia"/>
              </w:rPr>
              <w:t>序号</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F27F0">
            <w:pPr>
              <w:pStyle w:val="26"/>
            </w:pPr>
            <w:r>
              <w:rPr>
                <w:rFonts w:hint="eastAsia"/>
              </w:rPr>
              <w:t>项</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78020">
            <w:pPr>
              <w:pStyle w:val="26"/>
            </w:pPr>
            <w:r>
              <w:rPr>
                <w:rFonts w:hint="eastAsia"/>
              </w:rPr>
              <w:t>总预算</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4E2E9">
            <w:pPr>
              <w:pStyle w:val="26"/>
            </w:pPr>
            <w:r>
              <w:rPr>
                <w:rFonts w:hint="eastAsia"/>
              </w:rPr>
              <w:t>预算支出情况</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43EA4">
            <w:pPr>
              <w:pStyle w:val="26"/>
            </w:pPr>
            <w:r>
              <w:rPr>
                <w:rFonts w:hint="eastAsia"/>
              </w:rPr>
              <w:t>支出比例</w:t>
            </w:r>
          </w:p>
        </w:tc>
      </w:tr>
      <w:tr w14:paraId="5BF73CAA">
        <w:tblPrEx>
          <w:tblCellMar>
            <w:top w:w="0" w:type="dxa"/>
            <w:left w:w="108" w:type="dxa"/>
            <w:bottom w:w="0" w:type="dxa"/>
            <w:right w:w="108" w:type="dxa"/>
          </w:tblCellMar>
        </w:tblPrEx>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F413F">
            <w:pPr>
              <w:pStyle w:val="26"/>
            </w:pPr>
            <w:r>
              <w:rPr>
                <w:rFonts w:hint="eastAsia"/>
              </w:rPr>
              <w:t>1</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110C5">
            <w:pPr>
              <w:pStyle w:val="26"/>
            </w:pPr>
            <w:r>
              <w:rPr>
                <w:rFonts w:hint="eastAsia"/>
              </w:rPr>
              <w:t>资金情况</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200D0">
            <w:pPr>
              <w:pStyle w:val="26"/>
            </w:pPr>
            <w:r>
              <w:rPr>
                <w:rFonts w:hint="eastAsia"/>
              </w:rPr>
              <w:t>38316.00</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ED5BB">
            <w:pPr>
              <w:pStyle w:val="26"/>
            </w:pPr>
            <w:r>
              <w:rPr>
                <w:rFonts w:hint="eastAsia"/>
              </w:rPr>
              <w:t>24562.02</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B9298">
            <w:pPr>
              <w:pStyle w:val="26"/>
            </w:pPr>
            <w:r>
              <w:rPr>
                <w:rFonts w:hint="eastAsia"/>
              </w:rPr>
              <w:t>64.10%</w:t>
            </w:r>
          </w:p>
        </w:tc>
      </w:tr>
      <w:tr w14:paraId="0CC125FC">
        <w:tblPrEx>
          <w:tblCellMar>
            <w:top w:w="0" w:type="dxa"/>
            <w:left w:w="108" w:type="dxa"/>
            <w:bottom w:w="0" w:type="dxa"/>
            <w:right w:w="108" w:type="dxa"/>
          </w:tblCellMar>
        </w:tblPrEx>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37AA0">
            <w:pPr>
              <w:pStyle w:val="26"/>
            </w:pPr>
            <w:r>
              <w:rPr>
                <w:rFonts w:hint="eastAsia"/>
              </w:rPr>
              <w:t>1.1</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3AC2B">
            <w:pPr>
              <w:pStyle w:val="26"/>
            </w:pPr>
            <w:r>
              <w:rPr>
                <w:rFonts w:hint="eastAsia"/>
              </w:rPr>
              <w:t>国债中央补助资金</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E5F88">
            <w:pPr>
              <w:pStyle w:val="26"/>
            </w:pPr>
            <w:r>
              <w:rPr>
                <w:rFonts w:hint="eastAsia"/>
              </w:rPr>
              <w:t>30652.00</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E1883">
            <w:pPr>
              <w:pStyle w:val="26"/>
            </w:pPr>
            <w:r>
              <w:rPr>
                <w:rFonts w:hint="eastAsia"/>
              </w:rPr>
              <w:t>24557.49</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AA61F">
            <w:pPr>
              <w:pStyle w:val="26"/>
            </w:pPr>
            <w:r>
              <w:rPr>
                <w:rFonts w:hint="eastAsia"/>
              </w:rPr>
              <w:t>80.12%</w:t>
            </w:r>
          </w:p>
        </w:tc>
      </w:tr>
      <w:tr w14:paraId="364EDF67">
        <w:tblPrEx>
          <w:tblCellMar>
            <w:top w:w="0" w:type="dxa"/>
            <w:left w:w="108" w:type="dxa"/>
            <w:bottom w:w="0" w:type="dxa"/>
            <w:right w:w="108" w:type="dxa"/>
          </w:tblCellMar>
        </w:tblPrEx>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F95B0">
            <w:pPr>
              <w:pStyle w:val="26"/>
            </w:pPr>
            <w:r>
              <w:rPr>
                <w:rFonts w:hint="eastAsia"/>
              </w:rPr>
              <w:t>1.2</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243BD">
            <w:pPr>
              <w:pStyle w:val="26"/>
            </w:pPr>
            <w:r>
              <w:t>省级</w:t>
            </w:r>
            <w:r>
              <w:rPr>
                <w:rFonts w:hint="eastAsia"/>
              </w:rPr>
              <w:t>补助</w:t>
            </w:r>
            <w:r>
              <w:t>资金</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433C5">
            <w:pPr>
              <w:pStyle w:val="26"/>
            </w:pPr>
            <w:r>
              <w:rPr>
                <w:rFonts w:hint="eastAsia"/>
              </w:rPr>
              <w:t>1532.60</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DDF1C">
            <w:pPr>
              <w:pStyle w:val="26"/>
            </w:pPr>
            <w:r>
              <w:rPr>
                <w:rFonts w:hint="eastAsia"/>
              </w:rPr>
              <w:t>0</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BAE27">
            <w:pPr>
              <w:pStyle w:val="26"/>
            </w:pPr>
            <w:r>
              <w:rPr>
                <w:rFonts w:hint="eastAsia"/>
              </w:rPr>
              <w:t>0.00%</w:t>
            </w:r>
          </w:p>
        </w:tc>
      </w:tr>
      <w:tr w14:paraId="2FD2E69F">
        <w:tblPrEx>
          <w:tblCellMar>
            <w:top w:w="0" w:type="dxa"/>
            <w:left w:w="108" w:type="dxa"/>
            <w:bottom w:w="0" w:type="dxa"/>
            <w:right w:w="108" w:type="dxa"/>
          </w:tblCellMar>
        </w:tblPrEx>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86FF5">
            <w:pPr>
              <w:pStyle w:val="26"/>
            </w:pPr>
            <w:r>
              <w:rPr>
                <w:rFonts w:hint="eastAsia"/>
              </w:rPr>
              <w:t>1.3</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A26DB">
            <w:pPr>
              <w:pStyle w:val="26"/>
            </w:pPr>
            <w:r>
              <w:t>市级</w:t>
            </w:r>
            <w:r>
              <w:rPr>
                <w:rFonts w:hint="eastAsia"/>
              </w:rPr>
              <w:t>配套</w:t>
            </w:r>
            <w:r>
              <w:t>资金</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E78BD">
            <w:pPr>
              <w:pStyle w:val="26"/>
            </w:pPr>
            <w:r>
              <w:rPr>
                <w:rFonts w:hint="eastAsia"/>
              </w:rPr>
              <w:t>6131.40</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4805B">
            <w:pPr>
              <w:pStyle w:val="26"/>
            </w:pPr>
            <w:r>
              <w:rPr>
                <w:rFonts w:hint="eastAsia"/>
              </w:rPr>
              <w:t>4.53</w:t>
            </w:r>
          </w:p>
        </w:tc>
        <w:tc>
          <w:tcPr>
            <w:tcW w:w="1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77100">
            <w:pPr>
              <w:pStyle w:val="26"/>
            </w:pPr>
            <w:r>
              <w:rPr>
                <w:rFonts w:hint="eastAsia"/>
              </w:rPr>
              <w:t>0.07%</w:t>
            </w:r>
          </w:p>
        </w:tc>
      </w:tr>
    </w:tbl>
    <w:p w14:paraId="747AB9A0">
      <w:pPr>
        <w:pStyle w:val="8"/>
        <w:ind w:firstLine="643"/>
      </w:pPr>
      <w:r>
        <w:rPr>
          <w:rFonts w:hint="eastAsia"/>
        </w:rPr>
        <w:t>项目资金实际支出</w:t>
      </w:r>
    </w:p>
    <w:p w14:paraId="5FC5ADCE">
      <w:pPr>
        <w:ind w:firstLine="640"/>
      </w:pPr>
      <w:r>
        <w:t>本项目实际支</w:t>
      </w:r>
      <w:r>
        <w:rPr>
          <w:rFonts w:hint="eastAsia"/>
        </w:rPr>
        <w:t>出</w:t>
      </w:r>
      <w:r>
        <w:t>资金</w:t>
      </w:r>
      <w:r>
        <w:rPr>
          <w:rFonts w:hint="eastAsia"/>
        </w:rPr>
        <w:t>24562.02</w:t>
      </w:r>
      <w:r>
        <w:t>万元，预算执行率</w:t>
      </w:r>
      <w:r>
        <w:rPr>
          <w:rFonts w:hint="eastAsia"/>
        </w:rPr>
        <w:t>64.10%</w:t>
      </w:r>
      <w:r>
        <w:t>（预算执行率=（实际支出资金/预算批复金额）*100%）。项目资金主要用于支付建设</w:t>
      </w:r>
      <w:r>
        <w:rPr>
          <w:rFonts w:hint="eastAsia"/>
        </w:rPr>
        <w:t>雨水调蓄设施建设工程</w:t>
      </w:r>
      <w:r>
        <w:t>费用</w:t>
      </w:r>
      <w:r>
        <w:rPr>
          <w:rFonts w:hint="eastAsia"/>
        </w:rPr>
        <w:t>24562.02</w:t>
      </w:r>
      <w:r>
        <w:t>万元。</w:t>
      </w:r>
    </w:p>
    <w:p w14:paraId="289195C0">
      <w:pPr>
        <w:pStyle w:val="6"/>
        <w:ind w:firstLine="643"/>
      </w:pPr>
      <w:r>
        <w:t>项目预期绩效目标</w:t>
      </w:r>
    </w:p>
    <w:p w14:paraId="5624C304">
      <w:pPr>
        <w:pStyle w:val="7"/>
        <w:ind w:firstLine="643"/>
        <w:rPr>
          <w:rFonts w:hint="default"/>
        </w:rPr>
      </w:pPr>
      <w:r>
        <w:rPr>
          <w:rFonts w:hint="default"/>
        </w:rPr>
        <w:t>总目标</w:t>
      </w:r>
    </w:p>
    <w:p w14:paraId="0B7F9D82">
      <w:pPr>
        <w:ind w:firstLine="640"/>
        <w:rPr>
          <w:rFonts w:eastAsiaTheme="minorEastAsia"/>
        </w:rPr>
      </w:pPr>
      <w:r>
        <w:t>项目整体预期</w:t>
      </w:r>
      <w:r>
        <w:rPr>
          <w:rFonts w:hint="eastAsia"/>
        </w:rPr>
        <w:t>总目标：通过新建6座、改造2座雨水调蓄设施，缓解强降雨路面积水。</w:t>
      </w:r>
    </w:p>
    <w:p w14:paraId="6A86487D">
      <w:pPr>
        <w:pStyle w:val="7"/>
        <w:ind w:firstLine="643"/>
        <w:rPr>
          <w:rFonts w:hint="default"/>
        </w:rPr>
      </w:pPr>
      <w:r>
        <w:rPr>
          <w:rFonts w:hint="default"/>
        </w:rPr>
        <w:t>阶段性（当年）绩效目标</w:t>
      </w:r>
    </w:p>
    <w:p w14:paraId="2E9DC647">
      <w:pPr>
        <w:ind w:firstLine="640"/>
      </w:pPr>
      <w:r>
        <w:rPr>
          <w:rFonts w:hint="eastAsia"/>
        </w:rPr>
        <w:t>项目年度绩效目标：通过新建改造雨水调蓄设施，缓解强降雨路面积水。</w:t>
      </w:r>
    </w:p>
    <w:p w14:paraId="3DE2ED70">
      <w:pPr>
        <w:ind w:firstLine="640"/>
      </w:pPr>
      <w:r>
        <w:t>1）项目产出目标</w:t>
      </w:r>
    </w:p>
    <w:p w14:paraId="0D8F39F3">
      <w:pPr>
        <w:ind w:firstLine="640"/>
      </w:pPr>
      <w:r>
        <w:t>①数量指标</w:t>
      </w:r>
    </w:p>
    <w:p w14:paraId="0BC58D46">
      <w:pPr>
        <w:ind w:firstLine="640"/>
      </w:pPr>
      <w:r>
        <w:rPr>
          <w:rFonts w:hint="eastAsia"/>
        </w:rPr>
        <w:t>新建及改造雨水调蓄池</w:t>
      </w:r>
      <w:r>
        <w:t>指标，</w:t>
      </w:r>
      <w:r>
        <w:rPr>
          <w:rFonts w:hint="eastAsia"/>
        </w:rPr>
        <w:t>新建及改造雨水调蓄池容积</w:t>
      </w:r>
      <w:r>
        <w:t>预期指标值为</w:t>
      </w:r>
      <w:r>
        <w:rPr>
          <w:rFonts w:hint="eastAsia"/>
        </w:rPr>
        <w:t>15.35万立方米</w:t>
      </w:r>
      <w:r>
        <w:t>；</w:t>
      </w:r>
    </w:p>
    <w:p w14:paraId="3032772D">
      <w:pPr>
        <w:ind w:firstLine="640"/>
      </w:pPr>
      <w:r>
        <w:t>②质量指标</w:t>
      </w:r>
    </w:p>
    <w:p w14:paraId="5D97AFDA">
      <w:pPr>
        <w:ind w:firstLine="640"/>
      </w:pPr>
      <w:r>
        <w:rPr>
          <w:rFonts w:hint="eastAsia"/>
        </w:rPr>
        <w:t>交（竣）工验收合格率</w:t>
      </w:r>
      <w:r>
        <w:t>指标，</w:t>
      </w:r>
      <w:r>
        <w:rPr>
          <w:rFonts w:hint="eastAsia"/>
        </w:rPr>
        <w:t>交（竣）工验收合格率</w:t>
      </w:r>
      <w:r>
        <w:t>预期指标值为</w:t>
      </w:r>
      <w:r>
        <w:rPr>
          <w:rFonts w:hint="eastAsia"/>
        </w:rPr>
        <w:t>=100.00%</w:t>
      </w:r>
      <w:r>
        <w:t>；</w:t>
      </w:r>
    </w:p>
    <w:p w14:paraId="2A99B2A6">
      <w:pPr>
        <w:ind w:firstLine="640"/>
      </w:pPr>
      <w:r>
        <w:rPr>
          <w:rFonts w:hint="eastAsia"/>
        </w:rPr>
        <w:t>项目设计变更率</w:t>
      </w:r>
      <w:r>
        <w:t>指标，</w:t>
      </w:r>
      <w:r>
        <w:rPr>
          <w:rFonts w:hint="eastAsia"/>
        </w:rPr>
        <w:t>项目设计变更率</w:t>
      </w:r>
      <w:r>
        <w:t>指标预期指标值为</w:t>
      </w:r>
      <w:r>
        <w:rPr>
          <w:rFonts w:hint="eastAsia"/>
        </w:rPr>
        <w:t>≤10.00%</w:t>
      </w:r>
      <w:r>
        <w:t>；</w:t>
      </w:r>
    </w:p>
    <w:p w14:paraId="7D9640D3">
      <w:pPr>
        <w:ind w:firstLine="640"/>
      </w:pPr>
      <w:r>
        <w:t>③时效指标</w:t>
      </w:r>
    </w:p>
    <w:p w14:paraId="5B390E02">
      <w:pPr>
        <w:ind w:firstLine="640"/>
      </w:pPr>
      <w:r>
        <w:rPr>
          <w:rFonts w:hint="eastAsia"/>
        </w:rPr>
        <w:t>工程按时开工率</w:t>
      </w:r>
      <w:r>
        <w:t>指标，</w:t>
      </w:r>
      <w:r>
        <w:rPr>
          <w:rFonts w:hint="eastAsia"/>
        </w:rPr>
        <w:t>工程按时开工开工个数占项目总个数百分比</w:t>
      </w:r>
      <w:r>
        <w:t>预期指标值为</w:t>
      </w:r>
      <w:r>
        <w:rPr>
          <w:rFonts w:hint="eastAsia"/>
        </w:rPr>
        <w:t>=100%</w:t>
      </w:r>
      <w:r>
        <w:t>；</w:t>
      </w:r>
    </w:p>
    <w:p w14:paraId="52AF7CB6">
      <w:pPr>
        <w:ind w:firstLine="640"/>
      </w:pPr>
      <w:r>
        <w:rPr>
          <w:rFonts w:hint="eastAsia"/>
        </w:rPr>
        <w:t>工程完成时间</w:t>
      </w:r>
      <w:r>
        <w:t>指标，</w:t>
      </w:r>
      <w:r>
        <w:rPr>
          <w:rFonts w:hint="eastAsia"/>
        </w:rPr>
        <w:t>新建、改造雨水调蓄池项目完成时间</w:t>
      </w:r>
      <w:r>
        <w:t>预期指标值为</w:t>
      </w:r>
      <w:r>
        <w:rPr>
          <w:rFonts w:hint="eastAsia"/>
        </w:rPr>
        <w:t>“</w:t>
      </w:r>
      <w:r>
        <w:t>2024年12月底前</w:t>
      </w:r>
      <w:r>
        <w:rPr>
          <w:rFonts w:hint="eastAsia"/>
        </w:rPr>
        <w:t>”</w:t>
      </w:r>
      <w:r>
        <w:t>；</w:t>
      </w:r>
    </w:p>
    <w:p w14:paraId="52C087B2">
      <w:pPr>
        <w:ind w:firstLine="640"/>
      </w:pPr>
      <w:r>
        <w:t>④成本指标</w:t>
      </w:r>
    </w:p>
    <w:p w14:paraId="5653DA99">
      <w:pPr>
        <w:ind w:firstLine="640"/>
      </w:pPr>
      <w:r>
        <w:rPr>
          <w:rFonts w:hint="eastAsia"/>
        </w:rPr>
        <w:t>工程建设成本控制情况</w:t>
      </w:r>
      <w:r>
        <w:t>指标，</w:t>
      </w:r>
      <w:r>
        <w:rPr>
          <w:rFonts w:hint="eastAsia"/>
        </w:rPr>
        <w:t>项目工程单位成本控制情况</w:t>
      </w:r>
      <w:r>
        <w:t>预期指标值为≤</w:t>
      </w:r>
      <w:r>
        <w:rPr>
          <w:rFonts w:hint="eastAsia"/>
        </w:rPr>
        <w:t>2496.16万元/万立方米</w:t>
      </w:r>
      <w:r>
        <w:t>；</w:t>
      </w:r>
    </w:p>
    <w:p w14:paraId="46042615">
      <w:pPr>
        <w:ind w:firstLine="640"/>
      </w:pPr>
      <w:r>
        <w:t>2）项目效益目标</w:t>
      </w:r>
    </w:p>
    <w:p w14:paraId="473D7098">
      <w:pPr>
        <w:ind w:firstLine="640"/>
      </w:pPr>
      <w:r>
        <w:rPr>
          <w:rFonts w:hint="eastAsia"/>
        </w:rPr>
        <w:t>①</w:t>
      </w:r>
      <w:r>
        <w:t>社会效益指标</w:t>
      </w:r>
    </w:p>
    <w:p w14:paraId="5CE44B4B">
      <w:pPr>
        <w:ind w:firstLine="640"/>
      </w:pPr>
      <w:r>
        <w:rPr>
          <w:rFonts w:hint="eastAsia"/>
        </w:rPr>
        <w:t>排涝能力提升率</w:t>
      </w:r>
      <w:r>
        <w:t>指标，新建</w:t>
      </w:r>
      <w:r>
        <w:rPr>
          <w:rFonts w:hint="eastAsia"/>
        </w:rPr>
        <w:t>排涝能力较之前提升</w:t>
      </w:r>
      <w:r>
        <w:t>预期指标值为</w:t>
      </w:r>
      <w:r>
        <w:rPr>
          <w:rFonts w:hint="eastAsia"/>
        </w:rPr>
        <w:t>新建后排涝能力较之前提升≥90%</w:t>
      </w:r>
      <w:r>
        <w:t>；</w:t>
      </w:r>
    </w:p>
    <w:p w14:paraId="1D59C21E">
      <w:pPr>
        <w:ind w:firstLine="640"/>
      </w:pPr>
      <w:r>
        <w:rPr>
          <w:rFonts w:hint="eastAsia"/>
        </w:rPr>
        <w:t>②可持续影响指标</w:t>
      </w:r>
    </w:p>
    <w:p w14:paraId="4CC44B87">
      <w:pPr>
        <w:ind w:left="640" w:firstLine="0" w:firstLineChars="0"/>
      </w:pPr>
      <w:r>
        <w:t>可持续使用时间</w:t>
      </w:r>
      <w:r>
        <w:rPr>
          <w:rFonts w:hint="eastAsia"/>
        </w:rPr>
        <w:t>指标，工程建成后正常使用年限≥50年。</w:t>
      </w:r>
    </w:p>
    <w:p w14:paraId="5A4AF7C5">
      <w:pPr>
        <w:ind w:firstLine="640"/>
      </w:pPr>
      <w:r>
        <w:t>3）相关满意度目标</w:t>
      </w:r>
    </w:p>
    <w:p w14:paraId="39636F83">
      <w:pPr>
        <w:ind w:firstLine="640"/>
      </w:pPr>
      <w:r>
        <w:t>①满意度指标</w:t>
      </w:r>
    </w:p>
    <w:p w14:paraId="251E7E19">
      <w:pPr>
        <w:ind w:firstLine="640"/>
      </w:pPr>
      <w:r>
        <w:t>“</w:t>
      </w:r>
      <w:r>
        <w:rPr>
          <w:rFonts w:hint="eastAsia"/>
        </w:rPr>
        <w:t>服务对象满意度指标</w:t>
      </w:r>
      <w:r>
        <w:t>”指标，</w:t>
      </w:r>
      <w:r>
        <w:rPr>
          <w:rFonts w:hint="eastAsia"/>
        </w:rPr>
        <w:t>随机调查问卷，对项目满意人数与调查总人数的比值</w:t>
      </w:r>
      <w:r>
        <w:t>预期指标值为</w:t>
      </w:r>
      <w:r>
        <w:rPr>
          <w:rFonts w:hint="eastAsia"/>
        </w:rPr>
        <w:t>“≥90.00%”。</w:t>
      </w:r>
    </w:p>
    <w:p w14:paraId="48544E4B">
      <w:pPr>
        <w:pStyle w:val="5"/>
        <w:ind w:firstLine="643"/>
      </w:pPr>
      <w:r>
        <w:t>自评工作情况</w:t>
      </w:r>
    </w:p>
    <w:p w14:paraId="436759BC">
      <w:pPr>
        <w:pStyle w:val="6"/>
        <w:ind w:firstLine="643"/>
      </w:pPr>
      <w:r>
        <w:rPr>
          <w:rFonts w:hint="eastAsia"/>
        </w:rPr>
        <w:t>自评的组织工作</w:t>
      </w:r>
    </w:p>
    <w:p w14:paraId="3C14084F">
      <w:pPr>
        <w:ind w:firstLine="640"/>
      </w:pPr>
      <w:r>
        <w:rPr>
          <w:rFonts w:hint="eastAsia"/>
        </w:rPr>
        <w:t>依据绩效考核实施办法，由本单位自行组织实施。遵循公平、公正、公开的原则，成立了项目绩效评价专项考核小组，事先制定绩效评价方案，根据预算绩效指标，通过收集整理政策文件、项目前期手续、预算执行情况等相关资料，制定具体评价方案，对评价人员进行分组，工作落实到个人，对雨水调蓄设施建设工程项目的情况进行审核，重点关注项目组织实施情况、资金管理使用情况、项目产生效益情况、受益对象满意度等环节。</w:t>
      </w:r>
    </w:p>
    <w:p w14:paraId="18D49218">
      <w:pPr>
        <w:pStyle w:val="7"/>
        <w:ind w:firstLine="643"/>
        <w:rPr>
          <w:rFonts w:hint="default"/>
        </w:rPr>
      </w:pPr>
      <w:r>
        <w:t>项目评价资料收集</w:t>
      </w:r>
    </w:p>
    <w:p w14:paraId="764A68C4">
      <w:pPr>
        <w:ind w:firstLine="640"/>
      </w:pPr>
      <w:r>
        <w:t>项目绩效自评的资料收集涵盖了项目的各个阶段</w:t>
      </w:r>
      <w:r>
        <w:rPr>
          <w:rFonts w:hint="eastAsia"/>
        </w:rPr>
        <w:t>，具体资料包括：项目立项审批文件、可行性研究报告、招投标文件、施工合同、竣工验收报告、资金预算文件、支付凭证、绩效目标申报表、监理日志、质量检测报告、变更签证记录、安全台账等。</w:t>
      </w:r>
    </w:p>
    <w:p w14:paraId="78BC5D7D">
      <w:pPr>
        <w:pStyle w:val="7"/>
        <w:ind w:firstLine="643"/>
        <w:rPr>
          <w:rFonts w:hint="default"/>
        </w:rPr>
      </w:pPr>
      <w:r>
        <w:t>评价过程</w:t>
      </w:r>
    </w:p>
    <w:p w14:paraId="15862103">
      <w:pPr>
        <w:ind w:firstLine="640"/>
      </w:pPr>
      <w:r>
        <w:rPr>
          <w:rFonts w:hint="eastAsia"/>
        </w:rPr>
        <w:t>通过对照绩效目标表，梳理项目实际完成投资额、工程量、工期等核心数据，采用成本效益分析法，计算资金到位率、预算执行偏差率等指标。</w:t>
      </w:r>
    </w:p>
    <w:p w14:paraId="7E40353F">
      <w:pPr>
        <w:ind w:firstLine="640"/>
      </w:pPr>
      <w:r>
        <w:rPr>
          <w:rFonts w:hint="eastAsia"/>
        </w:rPr>
        <w:t>撰写自评报告初稿，针对自评发现问题提出改进措施，并提交工作组审议。</w:t>
      </w:r>
    </w:p>
    <w:p w14:paraId="186847E6">
      <w:pPr>
        <w:pStyle w:val="7"/>
        <w:ind w:firstLine="643"/>
        <w:rPr>
          <w:rFonts w:hint="default"/>
        </w:rPr>
      </w:pPr>
      <w:r>
        <w:t>评价工作管理组织</w:t>
      </w:r>
    </w:p>
    <w:p w14:paraId="57C78C8D">
      <w:pPr>
        <w:ind w:firstLine="640"/>
      </w:pPr>
      <w:r>
        <w:rPr>
          <w:rFonts w:hint="eastAsia"/>
        </w:rPr>
        <w:t>成立专项评价工作组成员构成：由业务科室牵头，联合财务部门、其他相关科室等组成评价工作组。</w:t>
      </w:r>
    </w:p>
    <w:p w14:paraId="696762E9">
      <w:pPr>
        <w:ind w:firstLine="640"/>
      </w:pPr>
      <w:r>
        <w:t>组长：负责统筹协调自评工作。</w:t>
      </w:r>
    </w:p>
    <w:p w14:paraId="7FB13B93">
      <w:pPr>
        <w:ind w:firstLine="640"/>
      </w:pPr>
      <w:r>
        <w:t>副组长：协助组长，分管数据核查与质量控制。</w:t>
      </w:r>
    </w:p>
    <w:p w14:paraId="713424AB">
      <w:pPr>
        <w:ind w:firstLine="640"/>
        <w:rPr>
          <w:b/>
          <w:bCs/>
        </w:rPr>
      </w:pPr>
      <w:r>
        <w:t>组员：按职责分工负责资料收集、数据分析、实地调研等</w:t>
      </w:r>
      <w:r>
        <w:rPr>
          <w:b/>
          <w:bCs/>
        </w:rPr>
        <w:t>。</w:t>
      </w:r>
    </w:p>
    <w:tbl>
      <w:tblPr>
        <w:tblStyle w:val="2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2"/>
        <w:gridCol w:w="3968"/>
      </w:tblGrid>
      <w:tr w14:paraId="5904C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71" w:type="pct"/>
            <w:vAlign w:val="center"/>
          </w:tcPr>
          <w:p w14:paraId="5DCAEF9C">
            <w:pPr>
              <w:spacing w:line="240" w:lineRule="auto"/>
              <w:ind w:firstLine="0" w:firstLineChars="0"/>
              <w:jc w:val="center"/>
              <w:rPr>
                <w:sz w:val="28"/>
              </w:rPr>
            </w:pPr>
            <w:r>
              <w:rPr>
                <w:rFonts w:hint="eastAsia"/>
                <w:sz w:val="28"/>
              </w:rPr>
              <w:t>工作组成员姓名</w:t>
            </w:r>
          </w:p>
        </w:tc>
        <w:tc>
          <w:tcPr>
            <w:tcW w:w="2328" w:type="pct"/>
            <w:vAlign w:val="center"/>
          </w:tcPr>
          <w:p w14:paraId="2912C4B1">
            <w:pPr>
              <w:spacing w:line="240" w:lineRule="auto"/>
              <w:ind w:firstLine="0" w:firstLineChars="0"/>
              <w:jc w:val="center"/>
              <w:rPr>
                <w:sz w:val="28"/>
              </w:rPr>
            </w:pPr>
            <w:r>
              <w:rPr>
                <w:rFonts w:hint="eastAsia"/>
                <w:sz w:val="28"/>
              </w:rPr>
              <w:t>职责</w:t>
            </w:r>
          </w:p>
        </w:tc>
      </w:tr>
      <w:tr w14:paraId="661D5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1" w:type="pct"/>
            <w:vAlign w:val="center"/>
          </w:tcPr>
          <w:p w14:paraId="1DDA4FC5">
            <w:pPr>
              <w:spacing w:line="240" w:lineRule="auto"/>
              <w:ind w:firstLine="0" w:firstLineChars="0"/>
              <w:jc w:val="center"/>
              <w:rPr>
                <w:sz w:val="28"/>
              </w:rPr>
            </w:pPr>
            <w:r>
              <w:rPr>
                <w:rFonts w:hint="eastAsia"/>
                <w:sz w:val="28"/>
              </w:rPr>
              <w:t>李永青</w:t>
            </w:r>
          </w:p>
        </w:tc>
        <w:tc>
          <w:tcPr>
            <w:tcW w:w="2328" w:type="pct"/>
            <w:vAlign w:val="center"/>
          </w:tcPr>
          <w:p w14:paraId="4E79FA65">
            <w:pPr>
              <w:spacing w:line="240" w:lineRule="auto"/>
              <w:ind w:firstLine="0" w:firstLineChars="0"/>
              <w:jc w:val="center"/>
              <w:rPr>
                <w:sz w:val="28"/>
              </w:rPr>
            </w:pPr>
            <w:r>
              <w:rPr>
                <w:rFonts w:hint="eastAsia"/>
                <w:sz w:val="28"/>
              </w:rPr>
              <w:t>评价组组长</w:t>
            </w:r>
          </w:p>
        </w:tc>
      </w:tr>
      <w:tr w14:paraId="02212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1" w:type="pct"/>
            <w:vAlign w:val="center"/>
          </w:tcPr>
          <w:p w14:paraId="723131E1">
            <w:pPr>
              <w:spacing w:line="240" w:lineRule="auto"/>
              <w:ind w:firstLine="0" w:firstLineChars="0"/>
              <w:jc w:val="center"/>
              <w:rPr>
                <w:sz w:val="28"/>
              </w:rPr>
            </w:pPr>
            <w:r>
              <w:rPr>
                <w:rFonts w:hint="eastAsia"/>
                <w:sz w:val="28"/>
              </w:rPr>
              <w:t>亓鹏</w:t>
            </w:r>
          </w:p>
        </w:tc>
        <w:tc>
          <w:tcPr>
            <w:tcW w:w="2328" w:type="pct"/>
            <w:vAlign w:val="center"/>
          </w:tcPr>
          <w:p w14:paraId="551E1F8E">
            <w:pPr>
              <w:spacing w:line="240" w:lineRule="auto"/>
              <w:ind w:firstLine="0" w:firstLineChars="0"/>
              <w:jc w:val="center"/>
              <w:rPr>
                <w:sz w:val="28"/>
              </w:rPr>
            </w:pPr>
            <w:r>
              <w:rPr>
                <w:rFonts w:hint="eastAsia"/>
                <w:sz w:val="28"/>
              </w:rPr>
              <w:t>评价组副组长</w:t>
            </w:r>
          </w:p>
        </w:tc>
      </w:tr>
      <w:tr w14:paraId="45385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1" w:type="pct"/>
            <w:vAlign w:val="center"/>
          </w:tcPr>
          <w:p w14:paraId="59F4219F">
            <w:pPr>
              <w:spacing w:line="240" w:lineRule="auto"/>
              <w:ind w:firstLine="0" w:firstLineChars="0"/>
              <w:jc w:val="center"/>
              <w:rPr>
                <w:sz w:val="28"/>
              </w:rPr>
            </w:pPr>
            <w:r>
              <w:rPr>
                <w:rFonts w:hint="eastAsia"/>
                <w:sz w:val="28"/>
              </w:rPr>
              <w:t>王辉</w:t>
            </w:r>
          </w:p>
        </w:tc>
        <w:tc>
          <w:tcPr>
            <w:tcW w:w="2328" w:type="pct"/>
            <w:vAlign w:val="center"/>
          </w:tcPr>
          <w:p w14:paraId="7E5FBA77">
            <w:pPr>
              <w:spacing w:line="240" w:lineRule="auto"/>
              <w:ind w:firstLine="0" w:firstLineChars="0"/>
              <w:jc w:val="center"/>
              <w:rPr>
                <w:sz w:val="28"/>
              </w:rPr>
            </w:pPr>
            <w:r>
              <w:rPr>
                <w:rFonts w:hint="eastAsia"/>
                <w:sz w:val="28"/>
              </w:rPr>
              <w:t>评价组成员</w:t>
            </w:r>
          </w:p>
        </w:tc>
      </w:tr>
      <w:tr w14:paraId="2656C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1" w:type="pct"/>
            <w:vAlign w:val="center"/>
          </w:tcPr>
          <w:p w14:paraId="5D18F9A7">
            <w:pPr>
              <w:spacing w:line="240" w:lineRule="auto"/>
              <w:ind w:firstLine="0" w:firstLineChars="0"/>
              <w:jc w:val="center"/>
              <w:rPr>
                <w:sz w:val="28"/>
              </w:rPr>
            </w:pPr>
            <w:r>
              <w:rPr>
                <w:rFonts w:hint="eastAsia"/>
                <w:sz w:val="28"/>
              </w:rPr>
              <w:t>白雪锋</w:t>
            </w:r>
          </w:p>
        </w:tc>
        <w:tc>
          <w:tcPr>
            <w:tcW w:w="2328" w:type="pct"/>
            <w:vAlign w:val="center"/>
          </w:tcPr>
          <w:p w14:paraId="612F4644">
            <w:pPr>
              <w:spacing w:line="240" w:lineRule="auto"/>
              <w:ind w:firstLine="0" w:firstLineChars="0"/>
              <w:jc w:val="center"/>
              <w:rPr>
                <w:sz w:val="28"/>
              </w:rPr>
            </w:pPr>
            <w:r>
              <w:rPr>
                <w:rFonts w:hint="eastAsia"/>
                <w:sz w:val="28"/>
              </w:rPr>
              <w:t>评价组成员</w:t>
            </w:r>
          </w:p>
        </w:tc>
      </w:tr>
    </w:tbl>
    <w:p w14:paraId="4619A23A">
      <w:pPr>
        <w:pStyle w:val="6"/>
        <w:ind w:firstLine="643"/>
      </w:pPr>
      <w:r>
        <w:t>自评方法与过程</w:t>
      </w:r>
    </w:p>
    <w:p w14:paraId="031560E7">
      <w:pPr>
        <w:pStyle w:val="7"/>
        <w:ind w:firstLine="643"/>
        <w:rPr>
          <w:rFonts w:hint="default"/>
        </w:rPr>
      </w:pPr>
      <w:r>
        <w:t>自评的方法</w:t>
      </w:r>
    </w:p>
    <w:p w14:paraId="5ABAFD43">
      <w:pPr>
        <w:ind w:firstLine="640"/>
      </w:pPr>
      <w:r>
        <w:rPr>
          <w:rFonts w:hint="eastAsia"/>
        </w:rPr>
        <w:t>依据《中华人民共和国预算法》、《项目支出绩效评价管理办法》（财预〔2020〕10号）、《增发2023年国债资金管理办法》；《河北省省级财政支出绩效评价管理办法》（冀财监〔2016〕15号）、《石家庄市财政支出绩效评价办法》（石财绩〔2013〕2号）、《石家庄市财政局关于做好增发国债项目资金绩效自评工作的通知》等要求，本次绩效自评秉承科学规范、公正公开、分级分类、绩效相关等原则，按照从投入、过程到产出效果和影响的绩效逻辑路径，结合雨水调蓄设施建设工程实际开展情况，运用定量和定性分析相结合的方法，总结经验做法，反思项目实施和管理中的问题，以切实提升财政资金管理的科学化、规范化和精细化水平。</w:t>
      </w:r>
    </w:p>
    <w:p w14:paraId="25276D7C">
      <w:pPr>
        <w:pStyle w:val="7"/>
        <w:ind w:firstLine="643"/>
        <w:rPr>
          <w:rFonts w:hint="default"/>
        </w:rPr>
      </w:pPr>
      <w:r>
        <w:t>自评的过程</w:t>
      </w:r>
    </w:p>
    <w:p w14:paraId="7464DF13">
      <w:pPr>
        <w:ind w:firstLine="640"/>
      </w:pPr>
      <w:r>
        <w:rPr>
          <w:rFonts w:hint="eastAsia"/>
        </w:rPr>
        <w:t>（1）评价小组对指标体系的确定，分值及权值的确定。</w:t>
      </w:r>
    </w:p>
    <w:p w14:paraId="53F0CD0C">
      <w:pPr>
        <w:ind w:firstLine="640"/>
      </w:pPr>
      <w:r>
        <w:rPr>
          <w:rFonts w:hint="eastAsia"/>
        </w:rPr>
        <w:t>（2）由评价小组收集并审核基础数据资料。</w:t>
      </w:r>
    </w:p>
    <w:p w14:paraId="30E9C445">
      <w:pPr>
        <w:ind w:firstLine="640"/>
      </w:pPr>
      <w:r>
        <w:rPr>
          <w:rFonts w:hint="eastAsia"/>
        </w:rPr>
        <w:t>（3）业务科室上报自评报告，并提供相关资料。</w:t>
      </w:r>
    </w:p>
    <w:p w14:paraId="4E5AA4C8">
      <w:pPr>
        <w:ind w:firstLine="640"/>
      </w:pPr>
      <w:r>
        <w:rPr>
          <w:rFonts w:hint="eastAsia"/>
        </w:rPr>
        <w:t>（4）按方案分工由评价小组撰写评价报告；总结绩效评价经验，完善绩效评价指标和评价方案；提出下年度专项资金的部门预算安排意见。</w:t>
      </w:r>
    </w:p>
    <w:p w14:paraId="114FF6E1">
      <w:pPr>
        <w:pStyle w:val="6"/>
        <w:ind w:firstLine="643"/>
      </w:pPr>
      <w:r>
        <w:rPr>
          <w:rFonts w:hint="eastAsia"/>
        </w:rPr>
        <w:t>建立</w:t>
      </w:r>
      <w:r>
        <w:t>绩效评价指标体系</w:t>
      </w:r>
    </w:p>
    <w:p w14:paraId="57073FE5"/>
    <w:p w14:paraId="63D59591">
      <w:pPr>
        <w:ind w:firstLine="640"/>
        <w:rPr>
          <w:color w:val="auto"/>
          <w:szCs w:val="32"/>
        </w:rPr>
      </w:pPr>
      <w:r>
        <w:rPr>
          <w:rFonts w:hint="eastAsia"/>
          <w:color w:val="auto"/>
          <w:szCs w:val="32"/>
        </w:rPr>
        <w:t>本绩效指标评价总分设定为100分。根据相关规范文件，参考历史数据，设置项目指标，具体指标如下：</w:t>
      </w:r>
    </w:p>
    <w:p w14:paraId="11AE202B">
      <w:pPr>
        <w:ind w:firstLine="640"/>
        <w:rPr>
          <w:color w:val="auto"/>
          <w:szCs w:val="32"/>
        </w:rPr>
      </w:pPr>
      <w:r>
        <w:rPr>
          <w:rFonts w:hint="eastAsia"/>
          <w:color w:val="auto"/>
          <w:szCs w:val="32"/>
        </w:rPr>
        <w:t>一级指标共设4个，包括产出指标、效益指标、预算执行率指标、满意度指标。</w:t>
      </w:r>
    </w:p>
    <w:p w14:paraId="100E9F09">
      <w:pPr>
        <w:ind w:firstLine="640"/>
        <w:rPr>
          <w:color w:val="auto"/>
          <w:szCs w:val="32"/>
        </w:rPr>
      </w:pPr>
      <w:r>
        <w:rPr>
          <w:rFonts w:hint="eastAsia"/>
          <w:color w:val="auto"/>
          <w:szCs w:val="32"/>
        </w:rPr>
        <w:t>二级指标共设8个，包括数量指标、质量指标、时效指标、成本指标、</w:t>
      </w:r>
      <w:r>
        <w:rPr>
          <w:rFonts w:hint="eastAsia"/>
          <w:color w:val="auto"/>
          <w:szCs w:val="32"/>
          <w:lang w:val="en-US" w:eastAsia="zh-CN"/>
        </w:rPr>
        <w:t>社会</w:t>
      </w:r>
      <w:r>
        <w:rPr>
          <w:rFonts w:hint="eastAsia"/>
          <w:color w:val="auto"/>
          <w:szCs w:val="32"/>
        </w:rPr>
        <w:t>效益指标、</w:t>
      </w:r>
      <w:r>
        <w:rPr>
          <w:rFonts w:hint="eastAsia"/>
          <w:color w:val="auto"/>
          <w:szCs w:val="32"/>
          <w:lang w:val="en-US" w:eastAsia="zh-CN"/>
        </w:rPr>
        <w:t>可持续影响、</w:t>
      </w:r>
      <w:r>
        <w:rPr>
          <w:rFonts w:hint="eastAsia"/>
          <w:color w:val="auto"/>
          <w:szCs w:val="32"/>
        </w:rPr>
        <w:t>服务对象满意度指标、预算执行率。</w:t>
      </w:r>
    </w:p>
    <w:p w14:paraId="1E8DEBC6">
      <w:pPr>
        <w:ind w:firstLine="640"/>
        <w:rPr>
          <w:color w:val="auto"/>
          <w:szCs w:val="32"/>
        </w:rPr>
      </w:pPr>
      <w:r>
        <w:rPr>
          <w:rFonts w:hint="eastAsia"/>
          <w:color w:val="auto"/>
          <w:szCs w:val="32"/>
        </w:rPr>
        <w:t>三级指标共设</w:t>
      </w:r>
      <w:r>
        <w:rPr>
          <w:rFonts w:hint="eastAsia"/>
          <w:color w:val="auto"/>
          <w:szCs w:val="32"/>
          <w:lang w:val="en-US" w:eastAsia="zh-CN"/>
        </w:rPr>
        <w:t>10</w:t>
      </w:r>
      <w:r>
        <w:rPr>
          <w:rFonts w:hint="eastAsia"/>
          <w:color w:val="auto"/>
          <w:szCs w:val="32"/>
        </w:rPr>
        <w:t>个，分别按照指标的重要程度、项目实施阶段等因素综合确定，包含</w:t>
      </w:r>
      <w:r>
        <w:rPr>
          <w:rFonts w:hint="eastAsia"/>
          <w:color w:val="auto"/>
          <w:szCs w:val="32"/>
          <w:lang w:val="en-US" w:eastAsia="zh-CN"/>
        </w:rPr>
        <w:t>新建及改造雨水调蓄池的容积</w:t>
      </w:r>
      <w:r>
        <w:rPr>
          <w:rFonts w:hint="eastAsia"/>
          <w:color w:val="auto"/>
          <w:szCs w:val="32"/>
        </w:rPr>
        <w:t>、</w:t>
      </w:r>
      <w:r>
        <w:rPr>
          <w:rFonts w:hint="eastAsia"/>
          <w:color w:val="auto"/>
          <w:szCs w:val="32"/>
          <w:lang w:val="en-US" w:eastAsia="zh-CN"/>
        </w:rPr>
        <w:t>交（竣）工验收合格率、项目设计变更率、工程按时开工率、工程完成时间、工程建设成本控制情况、排涝能力提升率、可持续使用时间、服务对象满意度、预算执行率</w:t>
      </w:r>
      <w:r>
        <w:rPr>
          <w:rFonts w:hint="eastAsia"/>
          <w:color w:val="auto"/>
          <w:szCs w:val="32"/>
        </w:rPr>
        <w:t>，能准确反映预算项目的产出和效果。</w:t>
      </w:r>
    </w:p>
    <w:p w14:paraId="707BEE15">
      <w:pPr>
        <w:pStyle w:val="2"/>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fmt="numberInDash"/>
          <w:cols w:space="425" w:num="1"/>
          <w:docGrid w:type="lines" w:linePitch="312" w:charSpace="0"/>
        </w:sectPr>
      </w:pP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1367"/>
        <w:gridCol w:w="1296"/>
        <w:gridCol w:w="3744"/>
        <w:gridCol w:w="6806"/>
      </w:tblGrid>
      <w:tr w14:paraId="7BC8E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39" w:type="pct"/>
            <w:shd w:val="clear" w:color="auto" w:fill="auto"/>
            <w:vAlign w:val="center"/>
          </w:tcPr>
          <w:p w14:paraId="3B6A998F">
            <w:pPr>
              <w:pStyle w:val="26"/>
              <w:rPr>
                <w:b/>
                <w:bCs/>
              </w:rPr>
            </w:pPr>
            <w:r>
              <w:rPr>
                <w:b/>
                <w:bCs/>
              </w:rPr>
              <w:t>一级指标</w:t>
            </w:r>
          </w:p>
        </w:tc>
        <w:tc>
          <w:tcPr>
            <w:tcW w:w="482" w:type="pct"/>
            <w:shd w:val="clear" w:color="auto" w:fill="auto"/>
            <w:vAlign w:val="center"/>
          </w:tcPr>
          <w:p w14:paraId="2D4A64FA">
            <w:pPr>
              <w:pStyle w:val="26"/>
              <w:rPr>
                <w:b/>
                <w:bCs/>
              </w:rPr>
            </w:pPr>
            <w:r>
              <w:rPr>
                <w:b/>
                <w:bCs/>
              </w:rPr>
              <w:t>二级指标</w:t>
            </w:r>
          </w:p>
        </w:tc>
        <w:tc>
          <w:tcPr>
            <w:tcW w:w="457" w:type="pct"/>
            <w:shd w:val="clear" w:color="auto" w:fill="auto"/>
            <w:vAlign w:val="center"/>
          </w:tcPr>
          <w:p w14:paraId="7FF63520">
            <w:pPr>
              <w:pStyle w:val="26"/>
              <w:rPr>
                <w:b/>
                <w:bCs/>
              </w:rPr>
            </w:pPr>
            <w:r>
              <w:rPr>
                <w:b/>
                <w:bCs/>
              </w:rPr>
              <w:t>三级指标</w:t>
            </w:r>
          </w:p>
        </w:tc>
        <w:tc>
          <w:tcPr>
            <w:tcW w:w="1320" w:type="pct"/>
            <w:shd w:val="clear" w:color="auto" w:fill="auto"/>
            <w:vAlign w:val="center"/>
          </w:tcPr>
          <w:p w14:paraId="78099A32">
            <w:pPr>
              <w:pStyle w:val="26"/>
              <w:rPr>
                <w:b/>
                <w:bCs/>
              </w:rPr>
            </w:pPr>
            <w:r>
              <w:rPr>
                <w:b/>
                <w:bCs/>
              </w:rPr>
              <w:t>指标解释</w:t>
            </w:r>
          </w:p>
        </w:tc>
        <w:tc>
          <w:tcPr>
            <w:tcW w:w="2400" w:type="pct"/>
            <w:shd w:val="clear" w:color="auto" w:fill="auto"/>
            <w:vAlign w:val="center"/>
          </w:tcPr>
          <w:p w14:paraId="73B706ED">
            <w:pPr>
              <w:pStyle w:val="26"/>
              <w:rPr>
                <w:b/>
                <w:bCs/>
              </w:rPr>
            </w:pPr>
            <w:r>
              <w:rPr>
                <w:b/>
                <w:bCs/>
              </w:rPr>
              <w:t>指标说明</w:t>
            </w:r>
          </w:p>
        </w:tc>
      </w:tr>
      <w:tr w14:paraId="5969D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vMerge w:val="restart"/>
            <w:shd w:val="clear" w:color="auto" w:fill="auto"/>
            <w:vAlign w:val="center"/>
          </w:tcPr>
          <w:p w14:paraId="10D6263C">
            <w:pPr>
              <w:pStyle w:val="26"/>
            </w:pPr>
            <w:r>
              <w:t>产出指标（</w:t>
            </w:r>
            <w:r>
              <w:rPr>
                <w:rFonts w:hint="eastAsia"/>
              </w:rPr>
              <w:t>5</w:t>
            </w:r>
            <w:r>
              <w:t>0分）</w:t>
            </w:r>
          </w:p>
        </w:tc>
        <w:tc>
          <w:tcPr>
            <w:tcW w:w="482" w:type="pct"/>
            <w:shd w:val="clear" w:color="auto" w:fill="auto"/>
            <w:vAlign w:val="center"/>
          </w:tcPr>
          <w:p w14:paraId="092CA19C">
            <w:pPr>
              <w:pStyle w:val="26"/>
            </w:pPr>
            <w:r>
              <w:t>数量指标</w:t>
            </w:r>
          </w:p>
        </w:tc>
        <w:tc>
          <w:tcPr>
            <w:tcW w:w="457" w:type="pct"/>
            <w:shd w:val="clear" w:color="auto" w:fill="auto"/>
            <w:vAlign w:val="center"/>
          </w:tcPr>
          <w:p w14:paraId="555BD16E">
            <w:pPr>
              <w:pStyle w:val="26"/>
            </w:pPr>
            <w:r>
              <w:rPr>
                <w:rFonts w:hint="eastAsia"/>
              </w:rPr>
              <w:t>新建及改造雨水调蓄池</w:t>
            </w:r>
          </w:p>
        </w:tc>
        <w:tc>
          <w:tcPr>
            <w:tcW w:w="1320" w:type="pct"/>
            <w:shd w:val="clear" w:color="auto" w:fill="auto"/>
            <w:vAlign w:val="center"/>
          </w:tcPr>
          <w:p w14:paraId="6C9FD5A0">
            <w:pPr>
              <w:pStyle w:val="26"/>
              <w:jc w:val="left"/>
            </w:pPr>
            <w:r>
              <w:rPr>
                <w:rFonts w:hint="eastAsia"/>
                <w:lang w:val="en-US" w:eastAsia="zh-CN"/>
              </w:rPr>
              <w:t>反映新建、改造雨水调蓄池容积情况</w:t>
            </w:r>
            <w:r>
              <w:t>。</w:t>
            </w:r>
          </w:p>
        </w:tc>
        <w:tc>
          <w:tcPr>
            <w:tcW w:w="2400" w:type="pct"/>
            <w:shd w:val="clear" w:color="auto" w:fill="auto"/>
            <w:vAlign w:val="center"/>
          </w:tcPr>
          <w:p w14:paraId="00D6E6B5">
            <w:pPr>
              <w:pStyle w:val="26"/>
              <w:jc w:val="left"/>
            </w:pPr>
            <w:r>
              <w:t>对项目数量指标进行考核，达到年初设置的指标为满分；</w:t>
            </w:r>
          </w:p>
          <w:p w14:paraId="7FCA71BC">
            <w:pPr>
              <w:pStyle w:val="26"/>
              <w:jc w:val="left"/>
            </w:pPr>
            <w:r>
              <w:t>未达到年初设置的指标按照实际完成情况进行得分：</w:t>
            </w:r>
          </w:p>
          <w:p w14:paraId="17CB266A">
            <w:pPr>
              <w:pStyle w:val="26"/>
              <w:jc w:val="left"/>
            </w:pPr>
            <w:r>
              <w:t>数量指标分数=实际</w:t>
            </w:r>
            <w:r>
              <w:rPr>
                <w:rFonts w:hint="eastAsia"/>
                <w:lang w:val="en-US" w:eastAsia="zh-CN"/>
              </w:rPr>
              <w:t>建成雨水调蓄池容量</w:t>
            </w:r>
            <w:r>
              <w:t>/计划</w:t>
            </w:r>
            <w:r>
              <w:rPr>
                <w:rFonts w:hint="eastAsia"/>
                <w:lang w:val="en-US" w:eastAsia="zh-CN"/>
              </w:rPr>
              <w:t>完成的雨水调蓄池容量</w:t>
            </w:r>
            <w:r>
              <w:t>×100%×</w:t>
            </w:r>
            <w:r>
              <w:rPr>
                <w:rFonts w:hint="eastAsia"/>
              </w:rPr>
              <w:t>权重</w:t>
            </w:r>
            <w:r>
              <w:t>。</w:t>
            </w:r>
            <w:r>
              <w:br w:type="textWrapping"/>
            </w:r>
            <w:r>
              <w:t>实际完成数量：一定时期（本年度或项目期）内项目实际产出的产品或提供的服务数量。</w:t>
            </w:r>
            <w:r>
              <w:br w:type="textWrapping"/>
            </w:r>
            <w:r>
              <w:t>计划完成数量：项目绩效目标确定的在一定时期（本年度或项目期）内计划完成的数量。</w:t>
            </w:r>
          </w:p>
        </w:tc>
      </w:tr>
      <w:tr w14:paraId="40916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vMerge w:val="continue"/>
            <w:shd w:val="clear" w:color="auto" w:fill="auto"/>
            <w:vAlign w:val="center"/>
          </w:tcPr>
          <w:p w14:paraId="1230D49A">
            <w:pPr>
              <w:pStyle w:val="26"/>
            </w:pPr>
          </w:p>
        </w:tc>
        <w:tc>
          <w:tcPr>
            <w:tcW w:w="482" w:type="pct"/>
            <w:shd w:val="clear" w:color="auto" w:fill="auto"/>
            <w:vAlign w:val="center"/>
          </w:tcPr>
          <w:p w14:paraId="2F64F712">
            <w:pPr>
              <w:pStyle w:val="26"/>
            </w:pPr>
            <w:r>
              <w:t>质量指标</w:t>
            </w:r>
          </w:p>
        </w:tc>
        <w:tc>
          <w:tcPr>
            <w:tcW w:w="457" w:type="pct"/>
            <w:shd w:val="clear" w:color="auto" w:fill="auto"/>
            <w:vAlign w:val="center"/>
          </w:tcPr>
          <w:p w14:paraId="7FC6182A">
            <w:pPr>
              <w:pStyle w:val="26"/>
            </w:pPr>
            <w:r>
              <w:rPr>
                <w:rFonts w:hint="eastAsia"/>
                <w:color w:val="auto"/>
                <w:lang w:val="en-US" w:eastAsia="zh-CN"/>
              </w:rPr>
              <w:t>交（竣）工验收合格率；项目设计变更率</w:t>
            </w:r>
          </w:p>
        </w:tc>
        <w:tc>
          <w:tcPr>
            <w:tcW w:w="1320" w:type="pct"/>
            <w:shd w:val="clear" w:color="auto" w:fill="auto"/>
            <w:vAlign w:val="center"/>
          </w:tcPr>
          <w:p w14:paraId="3FCAB318">
            <w:pPr>
              <w:pStyle w:val="26"/>
              <w:jc w:val="left"/>
            </w:pPr>
            <w:r>
              <w:t>项目完成的质量达标产出数与实际产出数的比率，用以反映和考核项目产出质量目标的实现程度。</w:t>
            </w:r>
          </w:p>
          <w:p w14:paraId="44A96398">
            <w:pPr>
              <w:pStyle w:val="26"/>
              <w:jc w:val="left"/>
            </w:pPr>
            <w:r>
              <w:rPr>
                <w:rFonts w:hint="eastAsia" w:cs="仿宋_GB2312"/>
                <w:szCs w:val="28"/>
                <w:highlight w:val="none"/>
              </w:rPr>
              <w:t>项目在执行过程中，需求或计划发生变更的频率</w:t>
            </w:r>
            <w:r>
              <w:rPr>
                <w:rFonts w:hint="eastAsia" w:cs="仿宋_GB2312"/>
                <w:szCs w:val="28"/>
                <w:highlight w:val="none"/>
                <w:lang w:eastAsia="zh-CN"/>
              </w:rPr>
              <w:t>，反映项目设计变更情况</w:t>
            </w:r>
            <w:r>
              <w:rPr>
                <w:rFonts w:cs="仿宋_GB2312"/>
                <w:szCs w:val="28"/>
                <w:highlight w:val="none"/>
              </w:rPr>
              <w:t>。</w:t>
            </w:r>
          </w:p>
        </w:tc>
        <w:tc>
          <w:tcPr>
            <w:tcW w:w="2400" w:type="pct"/>
            <w:shd w:val="clear" w:color="auto" w:fill="auto"/>
            <w:vAlign w:val="center"/>
          </w:tcPr>
          <w:p w14:paraId="3313C552">
            <w:pPr>
              <w:pStyle w:val="26"/>
              <w:jc w:val="left"/>
              <w:rPr>
                <w:rFonts w:hint="default" w:eastAsia="仿宋_GB2312" w:cs="仿宋_GB2312"/>
                <w:szCs w:val="28"/>
                <w:highlight w:val="none"/>
                <w:lang w:val="en-US" w:eastAsia="zh-CN"/>
              </w:rPr>
            </w:pPr>
            <w:r>
              <w:rPr>
                <w:rFonts w:hint="eastAsia"/>
                <w:color w:val="auto"/>
                <w:lang w:val="en-US" w:eastAsia="zh-CN"/>
              </w:rPr>
              <w:t>交（竣）工验收合格率</w:t>
            </w:r>
            <w:r>
              <w:rPr>
                <w:rFonts w:hint="default"/>
                <w:color w:val="auto"/>
              </w:rPr>
              <w:t>=</w:t>
            </w:r>
            <w:r>
              <w:rPr>
                <w:rFonts w:hint="eastAsia" w:cs="仿宋_GB2312"/>
                <w:szCs w:val="28"/>
                <w:highlight w:val="none"/>
                <w:lang w:val="en-US" w:eastAsia="zh-CN"/>
              </w:rPr>
              <w:t>验收合格工程量</w:t>
            </w:r>
            <w:r>
              <w:rPr>
                <w:rFonts w:cs="仿宋_GB2312"/>
                <w:szCs w:val="28"/>
                <w:highlight w:val="none"/>
              </w:rPr>
              <w:t>/</w:t>
            </w:r>
            <w:r>
              <w:rPr>
                <w:rFonts w:hint="eastAsia" w:cs="仿宋_GB2312"/>
                <w:szCs w:val="28"/>
                <w:highlight w:val="none"/>
                <w:lang w:val="en-US" w:eastAsia="zh-CN"/>
              </w:rPr>
              <w:t>工程总量。</w:t>
            </w:r>
          </w:p>
          <w:p w14:paraId="4FDBC414">
            <w:pPr>
              <w:pStyle w:val="26"/>
              <w:jc w:val="left"/>
              <w:rPr>
                <w:rFonts w:hint="default" w:cs="仿宋_GB2312"/>
                <w:szCs w:val="28"/>
                <w:highlight w:val="none"/>
              </w:rPr>
            </w:pPr>
            <w:r>
              <w:rPr>
                <w:rFonts w:hint="eastAsia" w:cs="仿宋_GB2312"/>
                <w:szCs w:val="28"/>
                <w:highlight w:val="none"/>
              </w:rPr>
              <w:t>设计变更率=设计变更总费用÷</w:t>
            </w:r>
            <w:r>
              <w:rPr>
                <w:rFonts w:hint="eastAsia" w:cs="仿宋_GB2312"/>
                <w:szCs w:val="28"/>
                <w:highlight w:val="none"/>
                <w:lang w:val="en-US" w:eastAsia="zh-CN"/>
              </w:rPr>
              <w:t>工程费用</w:t>
            </w:r>
            <w:r>
              <w:rPr>
                <w:rFonts w:cs="仿宋_GB2312"/>
                <w:szCs w:val="28"/>
                <w:highlight w:val="none"/>
              </w:rPr>
              <w:t>。</w:t>
            </w:r>
          </w:p>
          <w:p w14:paraId="771255FA">
            <w:pPr>
              <w:pStyle w:val="26"/>
              <w:jc w:val="left"/>
            </w:pPr>
          </w:p>
        </w:tc>
      </w:tr>
      <w:tr w14:paraId="144BF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vMerge w:val="continue"/>
            <w:shd w:val="clear" w:color="auto" w:fill="auto"/>
            <w:vAlign w:val="center"/>
          </w:tcPr>
          <w:p w14:paraId="6C94E663">
            <w:pPr>
              <w:pStyle w:val="26"/>
            </w:pPr>
          </w:p>
        </w:tc>
        <w:tc>
          <w:tcPr>
            <w:tcW w:w="482" w:type="pct"/>
            <w:shd w:val="clear" w:color="auto" w:fill="auto"/>
            <w:vAlign w:val="center"/>
          </w:tcPr>
          <w:p w14:paraId="2FC06620">
            <w:pPr>
              <w:pStyle w:val="26"/>
            </w:pPr>
            <w:r>
              <w:t>时效指标</w:t>
            </w:r>
          </w:p>
        </w:tc>
        <w:tc>
          <w:tcPr>
            <w:tcW w:w="457" w:type="pct"/>
            <w:shd w:val="clear" w:color="auto" w:fill="auto"/>
            <w:vAlign w:val="center"/>
          </w:tcPr>
          <w:p w14:paraId="31FB0513">
            <w:pPr>
              <w:pStyle w:val="26"/>
            </w:pPr>
            <w:r>
              <w:rPr>
                <w:rFonts w:hint="eastAsia"/>
                <w:color w:val="auto"/>
                <w:lang w:val="en-US" w:eastAsia="zh-CN"/>
              </w:rPr>
              <w:t>工程按时开工率；工程完成时间</w:t>
            </w:r>
          </w:p>
        </w:tc>
        <w:tc>
          <w:tcPr>
            <w:tcW w:w="1320" w:type="pct"/>
            <w:shd w:val="clear" w:color="auto" w:fill="auto"/>
            <w:vAlign w:val="center"/>
          </w:tcPr>
          <w:p w14:paraId="02142C91">
            <w:pPr>
              <w:pStyle w:val="26"/>
              <w:jc w:val="left"/>
            </w:pPr>
            <w:r>
              <w:rPr>
                <w:rFonts w:hint="default"/>
                <w:color w:val="auto"/>
              </w:rPr>
              <w:t>项目实际</w:t>
            </w:r>
            <w:r>
              <w:rPr>
                <w:rFonts w:hint="eastAsia"/>
                <w:color w:val="auto"/>
                <w:lang w:val="en-US" w:eastAsia="zh-CN"/>
              </w:rPr>
              <w:t>开工时间与计划开工时间的比较；项目</w:t>
            </w:r>
            <w:r>
              <w:rPr>
                <w:rFonts w:hint="default"/>
                <w:color w:val="auto"/>
              </w:rPr>
              <w:t>完成时间与计划完成时间的比较，用以反映和考核项目产出时效目标的实现程度</w:t>
            </w:r>
            <w:r>
              <w:t>。</w:t>
            </w:r>
          </w:p>
        </w:tc>
        <w:tc>
          <w:tcPr>
            <w:tcW w:w="2400" w:type="pct"/>
            <w:shd w:val="clear" w:color="auto" w:fill="auto"/>
            <w:vAlign w:val="center"/>
          </w:tcPr>
          <w:p w14:paraId="46734C0B">
            <w:pPr>
              <w:pStyle w:val="26"/>
              <w:jc w:val="left"/>
            </w:pPr>
            <w:r>
              <w:rPr>
                <w:rFonts w:hint="eastAsia"/>
                <w:color w:val="auto"/>
                <w:lang w:val="en-US" w:eastAsia="zh-CN"/>
              </w:rPr>
              <w:t>项目在计划时间内开工、完成，得满分。如果未在计划期限内开始建设项目、完成项目，则酌情扣分。</w:t>
            </w:r>
          </w:p>
        </w:tc>
      </w:tr>
      <w:tr w14:paraId="50DBD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vMerge w:val="continue"/>
            <w:shd w:val="clear" w:color="auto" w:fill="auto"/>
            <w:vAlign w:val="center"/>
          </w:tcPr>
          <w:p w14:paraId="66E4361E">
            <w:pPr>
              <w:pStyle w:val="26"/>
            </w:pPr>
          </w:p>
        </w:tc>
        <w:tc>
          <w:tcPr>
            <w:tcW w:w="482" w:type="pct"/>
            <w:shd w:val="clear" w:color="auto" w:fill="auto"/>
            <w:vAlign w:val="center"/>
          </w:tcPr>
          <w:p w14:paraId="1F6ADA61">
            <w:pPr>
              <w:pStyle w:val="26"/>
            </w:pPr>
            <w:r>
              <w:t>成本指标</w:t>
            </w:r>
          </w:p>
        </w:tc>
        <w:tc>
          <w:tcPr>
            <w:tcW w:w="457" w:type="pct"/>
            <w:shd w:val="clear" w:color="auto" w:fill="auto"/>
            <w:vAlign w:val="center"/>
          </w:tcPr>
          <w:p w14:paraId="091BA1E3">
            <w:pPr>
              <w:pStyle w:val="26"/>
            </w:pPr>
            <w:r>
              <w:rPr>
                <w:rFonts w:hint="eastAsia"/>
              </w:rPr>
              <w:t>工程建设成本控制情况</w:t>
            </w:r>
          </w:p>
        </w:tc>
        <w:tc>
          <w:tcPr>
            <w:tcW w:w="1320" w:type="pct"/>
            <w:shd w:val="clear" w:color="auto" w:fill="auto"/>
            <w:vAlign w:val="center"/>
          </w:tcPr>
          <w:p w14:paraId="5FC129EF">
            <w:pPr>
              <w:pStyle w:val="26"/>
              <w:jc w:val="left"/>
            </w:pPr>
            <w:r>
              <w:t>控制在项目预算范围内，实现成本效益最大化。</w:t>
            </w:r>
          </w:p>
        </w:tc>
        <w:tc>
          <w:tcPr>
            <w:tcW w:w="2400" w:type="pct"/>
            <w:shd w:val="clear" w:color="auto" w:fill="auto"/>
            <w:vAlign w:val="center"/>
          </w:tcPr>
          <w:p w14:paraId="0FF1E600">
            <w:pPr>
              <w:pStyle w:val="26"/>
              <w:jc w:val="left"/>
            </w:pPr>
            <w:r>
              <w:t>项目实际成本在计划成本范围内，则本项指标满分。如超过计划成本，则本项不得分。</w:t>
            </w:r>
            <w:r>
              <w:br w:type="textWrapping"/>
            </w:r>
            <w:r>
              <w:t>实际成本：项目实施单位如期、保质、保量完成既定工作目标实际所耗费的支出。</w:t>
            </w:r>
            <w:r>
              <w:br w:type="textWrapping"/>
            </w:r>
            <w:r>
              <w:t>计划成本：项目实施单位为完成工作目标计划安排的支出，一般以项目预算为参考。</w:t>
            </w:r>
          </w:p>
        </w:tc>
      </w:tr>
      <w:tr w14:paraId="19B08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shd w:val="clear" w:color="auto" w:fill="auto"/>
            <w:vAlign w:val="center"/>
          </w:tcPr>
          <w:p w14:paraId="5FB42AA0">
            <w:pPr>
              <w:pStyle w:val="26"/>
            </w:pPr>
            <w:r>
              <w:t>预算执行率指标（10分）</w:t>
            </w:r>
          </w:p>
        </w:tc>
        <w:tc>
          <w:tcPr>
            <w:tcW w:w="482" w:type="pct"/>
            <w:shd w:val="clear" w:color="auto" w:fill="auto"/>
            <w:vAlign w:val="center"/>
          </w:tcPr>
          <w:p w14:paraId="7A9995D2">
            <w:pPr>
              <w:pStyle w:val="26"/>
            </w:pPr>
            <w:r>
              <w:t>预算执行率指标</w:t>
            </w:r>
          </w:p>
        </w:tc>
        <w:tc>
          <w:tcPr>
            <w:tcW w:w="457" w:type="pct"/>
            <w:shd w:val="clear" w:color="auto" w:fill="auto"/>
            <w:vAlign w:val="center"/>
          </w:tcPr>
          <w:p w14:paraId="554E736B">
            <w:pPr>
              <w:pStyle w:val="26"/>
            </w:pPr>
            <w:r>
              <w:t>预算执行率</w:t>
            </w:r>
          </w:p>
        </w:tc>
        <w:tc>
          <w:tcPr>
            <w:tcW w:w="1320" w:type="pct"/>
            <w:shd w:val="clear" w:color="auto" w:fill="auto"/>
            <w:vAlign w:val="center"/>
          </w:tcPr>
          <w:p w14:paraId="452D58CD">
            <w:pPr>
              <w:pStyle w:val="26"/>
              <w:jc w:val="left"/>
            </w:pPr>
            <w:r>
              <w:t>实际支出与预算的匹配程度，预算执行率越高得分越高。</w:t>
            </w:r>
          </w:p>
        </w:tc>
        <w:tc>
          <w:tcPr>
            <w:tcW w:w="2400" w:type="pct"/>
            <w:shd w:val="clear" w:color="auto" w:fill="auto"/>
            <w:vAlign w:val="center"/>
          </w:tcPr>
          <w:p w14:paraId="0B672E73">
            <w:pPr>
              <w:pStyle w:val="26"/>
              <w:jc w:val="left"/>
            </w:pPr>
            <w:r>
              <w:t>“预算执行率”指标得分为系统自动生成，当“预算执行进度≥95%”时，“预算执行率”指标自评得分自动显示为10分；当“预算执行进度＜95%”时，“预算执行率”指标自评得分=预算执行进度*10。</w:t>
            </w:r>
          </w:p>
          <w:p w14:paraId="0E24CCBA">
            <w:pPr>
              <w:pStyle w:val="26"/>
              <w:jc w:val="left"/>
            </w:pPr>
            <w:r>
              <w:t>“预算执行进度”由系统自动生成，计算公式为：预算执行进度=执行数/预算数*100%；</w:t>
            </w:r>
          </w:p>
        </w:tc>
      </w:tr>
      <w:tr w14:paraId="415D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vMerge w:val="restart"/>
            <w:shd w:val="clear" w:color="auto" w:fill="auto"/>
            <w:vAlign w:val="center"/>
          </w:tcPr>
          <w:p w14:paraId="353AE925">
            <w:pPr>
              <w:pStyle w:val="26"/>
            </w:pPr>
            <w:r>
              <w:t>效益指标（30分）</w:t>
            </w:r>
          </w:p>
        </w:tc>
        <w:tc>
          <w:tcPr>
            <w:tcW w:w="482" w:type="pct"/>
            <w:shd w:val="clear" w:color="auto" w:fill="auto"/>
            <w:vAlign w:val="center"/>
          </w:tcPr>
          <w:p w14:paraId="3E14A84F">
            <w:pPr>
              <w:pStyle w:val="26"/>
            </w:pPr>
            <w:r>
              <w:rPr>
                <w:rFonts w:hint="eastAsia"/>
              </w:rPr>
              <w:t>社会效益指标</w:t>
            </w:r>
          </w:p>
        </w:tc>
        <w:tc>
          <w:tcPr>
            <w:tcW w:w="457" w:type="pct"/>
            <w:shd w:val="clear" w:color="auto" w:fill="auto"/>
            <w:vAlign w:val="center"/>
          </w:tcPr>
          <w:p w14:paraId="3F322E34">
            <w:pPr>
              <w:pStyle w:val="26"/>
            </w:pPr>
            <w:r>
              <w:rPr>
                <w:rFonts w:hint="eastAsia"/>
              </w:rPr>
              <w:t>排涝能力提升率</w:t>
            </w:r>
          </w:p>
        </w:tc>
        <w:tc>
          <w:tcPr>
            <w:tcW w:w="1320" w:type="pct"/>
            <w:shd w:val="clear" w:color="auto" w:fill="auto"/>
            <w:vAlign w:val="center"/>
          </w:tcPr>
          <w:p w14:paraId="2CC9A918">
            <w:pPr>
              <w:pStyle w:val="26"/>
              <w:ind w:firstLine="0" w:firstLineChars="0"/>
              <w:jc w:val="left"/>
            </w:pPr>
            <w:r>
              <w:rPr>
                <w:rFonts w:hint="eastAsia" w:cstheme="minorBidi"/>
                <w:color w:val="auto"/>
                <w:kern w:val="2"/>
                <w:sz w:val="28"/>
                <w:szCs w:val="24"/>
                <w:highlight w:val="none"/>
                <w:lang w:val="en-US" w:eastAsia="zh-CN" w:bidi="ar-SA"/>
              </w:rPr>
              <w:t>考核项目建设后，较项目实施前排涝能力提升的情况。</w:t>
            </w:r>
          </w:p>
        </w:tc>
        <w:tc>
          <w:tcPr>
            <w:tcW w:w="2400" w:type="pct"/>
            <w:shd w:val="clear" w:color="auto" w:fill="auto"/>
            <w:vAlign w:val="center"/>
          </w:tcPr>
          <w:p w14:paraId="3DEC6049">
            <w:pPr>
              <w:pStyle w:val="26"/>
              <w:ind w:firstLine="0" w:firstLineChars="0"/>
              <w:jc w:val="left"/>
            </w:pPr>
            <w:r>
              <w:rPr>
                <w:rFonts w:hint="eastAsia"/>
                <w:color w:val="auto"/>
                <w:highlight w:val="none"/>
                <w:lang w:val="en-US" w:eastAsia="zh-CN"/>
              </w:rPr>
              <w:t>项目实施后，排涝能力提升情况在预期指标范围内，则本项指标得满分</w:t>
            </w:r>
            <w:r>
              <w:rPr>
                <w:rFonts w:hint="default"/>
                <w:color w:val="auto"/>
                <w:highlight w:val="none"/>
              </w:rPr>
              <w:t>。</w:t>
            </w:r>
          </w:p>
        </w:tc>
      </w:tr>
      <w:tr w14:paraId="54E20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vMerge w:val="continue"/>
            <w:shd w:val="clear" w:color="auto" w:fill="auto"/>
            <w:vAlign w:val="center"/>
          </w:tcPr>
          <w:p w14:paraId="314C8A22">
            <w:pPr>
              <w:pStyle w:val="26"/>
            </w:pPr>
          </w:p>
        </w:tc>
        <w:tc>
          <w:tcPr>
            <w:tcW w:w="482" w:type="pct"/>
            <w:shd w:val="clear" w:color="auto" w:fill="auto"/>
            <w:vAlign w:val="center"/>
          </w:tcPr>
          <w:p w14:paraId="3D5CB79E">
            <w:pPr>
              <w:pStyle w:val="26"/>
            </w:pPr>
            <w:r>
              <w:rPr>
                <w:rFonts w:hint="eastAsia"/>
              </w:rPr>
              <w:t>可持续影响</w:t>
            </w:r>
          </w:p>
        </w:tc>
        <w:tc>
          <w:tcPr>
            <w:tcW w:w="457" w:type="pct"/>
            <w:shd w:val="clear" w:color="auto" w:fill="auto"/>
            <w:vAlign w:val="center"/>
          </w:tcPr>
          <w:p w14:paraId="793A4ED5">
            <w:pPr>
              <w:pStyle w:val="26"/>
            </w:pPr>
            <w:r>
              <w:rPr>
                <w:rFonts w:hint="eastAsia"/>
              </w:rPr>
              <w:t>可持续使用时间</w:t>
            </w:r>
          </w:p>
        </w:tc>
        <w:tc>
          <w:tcPr>
            <w:tcW w:w="1320" w:type="pct"/>
            <w:shd w:val="clear" w:color="auto" w:fill="auto"/>
            <w:vAlign w:val="center"/>
          </w:tcPr>
          <w:p w14:paraId="2B8C47EB">
            <w:pPr>
              <w:pStyle w:val="26"/>
              <w:ind w:firstLine="0" w:firstLineChars="0"/>
              <w:jc w:val="left"/>
            </w:pPr>
            <w:r>
              <w:rPr>
                <w:rFonts w:hint="eastAsia"/>
                <w:color w:val="auto"/>
                <w:highlight w:val="none"/>
                <w:lang w:val="en-US" w:eastAsia="zh-CN"/>
              </w:rPr>
              <w:t>反映工程建成后正常使用年限。</w:t>
            </w:r>
          </w:p>
        </w:tc>
        <w:tc>
          <w:tcPr>
            <w:tcW w:w="2400" w:type="pct"/>
            <w:shd w:val="clear" w:color="auto" w:fill="auto"/>
            <w:vAlign w:val="center"/>
          </w:tcPr>
          <w:p w14:paraId="1A38DE52">
            <w:pPr>
              <w:pStyle w:val="26"/>
              <w:ind w:firstLine="0" w:firstLineChars="0"/>
              <w:jc w:val="left"/>
            </w:pPr>
            <w:r>
              <w:rPr>
                <w:rFonts w:hint="eastAsia"/>
                <w:color w:val="auto"/>
                <w:highlight w:val="none"/>
                <w:lang w:val="en-US" w:eastAsia="zh-CN"/>
              </w:rPr>
              <w:t>项目实施后，可持续影响得分=正常使用年限/预期可使用年限*权重</w:t>
            </w:r>
          </w:p>
        </w:tc>
      </w:tr>
      <w:tr w14:paraId="1852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shd w:val="clear" w:color="auto" w:fill="auto"/>
            <w:vAlign w:val="center"/>
          </w:tcPr>
          <w:p w14:paraId="51638308">
            <w:pPr>
              <w:pStyle w:val="26"/>
            </w:pPr>
            <w:r>
              <w:rPr>
                <w:rFonts w:hint="eastAsia"/>
              </w:rPr>
              <w:t>满意度指标</w:t>
            </w:r>
          </w:p>
        </w:tc>
        <w:tc>
          <w:tcPr>
            <w:tcW w:w="482" w:type="pct"/>
            <w:shd w:val="clear" w:color="auto" w:fill="auto"/>
            <w:vAlign w:val="center"/>
          </w:tcPr>
          <w:p w14:paraId="02CCA46F">
            <w:pPr>
              <w:pStyle w:val="26"/>
            </w:pPr>
            <w:r>
              <w:rPr>
                <w:rFonts w:hint="eastAsia"/>
              </w:rPr>
              <w:t>满意度指标</w:t>
            </w:r>
          </w:p>
        </w:tc>
        <w:tc>
          <w:tcPr>
            <w:tcW w:w="457" w:type="pct"/>
            <w:shd w:val="clear" w:color="auto" w:fill="auto"/>
            <w:vAlign w:val="center"/>
          </w:tcPr>
          <w:p w14:paraId="501FBACF">
            <w:pPr>
              <w:pStyle w:val="26"/>
            </w:pPr>
            <w:r>
              <w:rPr>
                <w:rFonts w:hint="eastAsia"/>
              </w:rPr>
              <w:t>服务对象满意度指标</w:t>
            </w:r>
          </w:p>
        </w:tc>
        <w:tc>
          <w:tcPr>
            <w:tcW w:w="1320" w:type="pct"/>
            <w:shd w:val="clear" w:color="auto" w:fill="auto"/>
            <w:vAlign w:val="center"/>
          </w:tcPr>
          <w:p w14:paraId="6B73E0F4">
            <w:pPr>
              <w:pStyle w:val="26"/>
              <w:ind w:firstLine="0" w:firstLineChars="0"/>
              <w:jc w:val="left"/>
              <w:rPr>
                <w:rFonts w:hint="default" w:ascii="Times New Roman" w:hAnsi="Times New Roman" w:eastAsia="仿宋_GB2312" w:cstheme="minorBidi"/>
                <w:color w:val="auto"/>
                <w:kern w:val="2"/>
                <w:sz w:val="28"/>
                <w:szCs w:val="24"/>
                <w:highlight w:val="none"/>
                <w:lang w:val="en-US" w:eastAsia="zh-CN" w:bidi="ar-SA"/>
              </w:rPr>
            </w:pPr>
            <w:r>
              <w:rPr>
                <w:rFonts w:hint="eastAsia"/>
                <w:color w:val="auto"/>
                <w:highlight w:val="none"/>
                <w:lang w:val="en-US" w:eastAsia="zh-CN"/>
              </w:rPr>
              <w:t>项目受益群众对项目建设设施的满意度调查。</w:t>
            </w:r>
          </w:p>
        </w:tc>
        <w:tc>
          <w:tcPr>
            <w:tcW w:w="2400" w:type="pct"/>
            <w:shd w:val="clear" w:color="auto" w:fill="auto"/>
            <w:vAlign w:val="center"/>
          </w:tcPr>
          <w:p w14:paraId="6E50FB75">
            <w:pPr>
              <w:pStyle w:val="26"/>
              <w:ind w:firstLine="0" w:firstLineChars="0"/>
              <w:jc w:val="left"/>
              <w:rPr>
                <w:rFonts w:hint="default" w:ascii="Times New Roman" w:hAnsi="Times New Roman" w:eastAsia="仿宋_GB2312" w:cstheme="minorBidi"/>
                <w:color w:val="auto"/>
                <w:kern w:val="2"/>
                <w:sz w:val="28"/>
                <w:szCs w:val="24"/>
                <w:highlight w:val="none"/>
                <w:lang w:val="en-US" w:eastAsia="zh-CN" w:bidi="ar-SA"/>
              </w:rPr>
            </w:pPr>
            <w:r>
              <w:rPr>
                <w:rFonts w:hint="eastAsia"/>
                <w:color w:val="auto"/>
                <w:highlight w:val="none"/>
                <w:lang w:val="en-US" w:eastAsia="zh-CN"/>
              </w:rPr>
              <w:t>设计调查问卷，下发给受益对象，受益对象对项目建设实施的满意程度。</w:t>
            </w:r>
          </w:p>
        </w:tc>
      </w:tr>
    </w:tbl>
    <w:p w14:paraId="5292AC6D">
      <w:pPr>
        <w:pStyle w:val="5"/>
        <w:numPr>
          <w:ilvl w:val="0"/>
          <w:numId w:val="0"/>
        </w:numPr>
        <w:ind w:left="640" w:leftChars="200"/>
        <w:sectPr>
          <w:pgSz w:w="16838" w:h="11906" w:orient="landscape"/>
          <w:pgMar w:top="1800" w:right="1440" w:bottom="1800" w:left="1440" w:header="851" w:footer="992" w:gutter="0"/>
          <w:pgNumType w:fmt="numberInDash"/>
          <w:cols w:space="425" w:num="1"/>
          <w:docGrid w:type="lines" w:linePitch="312" w:charSpace="0"/>
        </w:sectPr>
      </w:pPr>
    </w:p>
    <w:p w14:paraId="79E504B1">
      <w:pPr>
        <w:pStyle w:val="5"/>
        <w:ind w:firstLine="643"/>
      </w:pPr>
      <w:r>
        <w:t>项目执行及绩效实现情况</w:t>
      </w:r>
    </w:p>
    <w:p w14:paraId="0B07C47B">
      <w:pPr>
        <w:pStyle w:val="6"/>
        <w:ind w:firstLine="643"/>
      </w:pPr>
      <w:r>
        <w:t>预算执行情况</w:t>
      </w:r>
      <w:r>
        <w:rPr>
          <w:rFonts w:hint="eastAsia"/>
        </w:rPr>
        <w:t>（10分）</w:t>
      </w:r>
    </w:p>
    <w:p w14:paraId="201580DA">
      <w:pPr>
        <w:ind w:firstLine="640"/>
      </w:pPr>
      <w:r>
        <w:rPr>
          <w:rFonts w:hint="eastAsia"/>
        </w:rPr>
        <w:t>本项目总投资为38316.00万元，预算安排资金38316.00万元，其中，国债中央补助资金30652.00万元，省级补助资金1532.60万元，市级配套资金6131.40万元。</w:t>
      </w:r>
    </w:p>
    <w:p w14:paraId="73593B2B">
      <w:pPr>
        <w:ind w:firstLine="640"/>
      </w:pPr>
      <w:r>
        <w:rPr>
          <w:rFonts w:hint="eastAsia"/>
        </w:rPr>
        <w:t>本项目预算安排资金38316.00万元</w:t>
      </w:r>
      <w:r>
        <w:rPr>
          <w:rFonts w:hint="eastAsia"/>
          <w:lang w:eastAsia="zh-CN"/>
        </w:rPr>
        <w:t>，</w:t>
      </w:r>
      <w:r>
        <w:rPr>
          <w:rFonts w:hint="eastAsia"/>
        </w:rPr>
        <w:t>预算支出24562.02万元，其中，国债中央补助资金支出24557.49万元，市级配套资金支出4.53万元，实际支出比例为64.10%。</w:t>
      </w:r>
    </w:p>
    <w:p w14:paraId="149762E7">
      <w:pPr>
        <w:ind w:firstLine="640"/>
      </w:pPr>
      <w:r>
        <w:rPr>
          <w:rFonts w:hint="eastAsia"/>
        </w:rPr>
        <w:t>本项目预算安排资金38316.00万元，预算支出24562.02万元，资金支出比例为64.10%。</w:t>
      </w:r>
    </w:p>
    <w:p w14:paraId="6D7EA677">
      <w:pPr>
        <w:ind w:firstLine="640"/>
      </w:pPr>
      <w:r>
        <w:rPr>
          <w:rFonts w:hint="eastAsia"/>
        </w:rPr>
        <w:t>预算执行率指标此项满分10分，评价得分6.41分。</w:t>
      </w:r>
    </w:p>
    <w:p w14:paraId="1339E648">
      <w:pPr>
        <w:pStyle w:val="6"/>
        <w:ind w:firstLine="643"/>
      </w:pPr>
      <w:r>
        <w:t>项目产出（</w:t>
      </w:r>
      <w:r>
        <w:rPr>
          <w:rFonts w:hint="eastAsia"/>
        </w:rPr>
        <w:t>50分</w:t>
      </w:r>
      <w:r>
        <w:t>）</w:t>
      </w:r>
    </w:p>
    <w:p w14:paraId="3130A00D">
      <w:pPr>
        <w:pStyle w:val="7"/>
        <w:ind w:firstLine="643"/>
        <w:rPr>
          <w:rFonts w:hint="default"/>
        </w:rPr>
      </w:pPr>
      <w:r>
        <w:rPr>
          <w:rFonts w:hint="default"/>
        </w:rPr>
        <w:t>数量完成情况</w:t>
      </w:r>
      <w:r>
        <w:t>（10分）</w:t>
      </w:r>
    </w:p>
    <w:p w14:paraId="082B65C2">
      <w:pPr>
        <w:ind w:firstLine="640"/>
      </w:pPr>
      <w:r>
        <w:rPr>
          <w:rFonts w:hint="eastAsia"/>
        </w:rPr>
        <w:t>项目数量指标为“新建及改造雨水调蓄池=</w:t>
      </w:r>
      <w:r>
        <w:rPr>
          <w:rFonts w:hint="eastAsia"/>
        </w:rPr>
        <w:tab/>
      </w:r>
      <w:r>
        <w:rPr>
          <w:rFonts w:hint="eastAsia"/>
        </w:rPr>
        <w:t>15.35</w:t>
      </w:r>
      <w:r>
        <w:rPr>
          <w:rFonts w:hint="eastAsia"/>
        </w:rPr>
        <w:tab/>
      </w:r>
      <w:r>
        <w:rPr>
          <w:rFonts w:hint="eastAsia"/>
        </w:rPr>
        <w:t>万立方米”，项目实际新建改造雨水调蓄池15.35万立方米，符合计划数量指标，此项满分10分，评价得分10分。</w:t>
      </w:r>
    </w:p>
    <w:p w14:paraId="066CB4E6">
      <w:pPr>
        <w:pStyle w:val="7"/>
        <w:ind w:firstLine="643"/>
        <w:rPr>
          <w:rFonts w:hint="default"/>
        </w:rPr>
      </w:pPr>
      <w:r>
        <w:rPr>
          <w:rFonts w:hint="default"/>
        </w:rPr>
        <w:t>质量达标情况</w:t>
      </w:r>
      <w:r>
        <w:t>（16分）</w:t>
      </w:r>
    </w:p>
    <w:p w14:paraId="6D852F03">
      <w:pPr>
        <w:ind w:firstLine="640"/>
      </w:pPr>
      <w:r>
        <w:rPr>
          <w:rFonts w:hint="eastAsia"/>
        </w:rPr>
        <w:t>项目质量指标为“交（竣）工验收合格率=100%；项目设计变更率≤10.00%”，该项目前期按照规定程序申请立项，有可行性研究报告、初步设计、实施方案、开工许可等，资料符合相关要求。该项目在石家庄市公共资源交易平台进行公开招标，招投标手续完备且符合《中华人民共和国招标投标法》和《中华人民共和国政府采购法》。</w:t>
      </w:r>
    </w:p>
    <w:p w14:paraId="4AAAEDCF">
      <w:pPr>
        <w:ind w:firstLine="640"/>
      </w:pPr>
      <w:r>
        <w:rPr>
          <w:rFonts w:hint="eastAsia"/>
        </w:rPr>
        <w:t>分部、分项工程质量检验资料符合设计要求及国家相关技术标准规范，工程资料齐全完整，工程质量合格，设计变更率为0%。此项满分16分，根据质量指标完成情况分析，评价得分16分。</w:t>
      </w:r>
    </w:p>
    <w:p w14:paraId="631DDFBF">
      <w:pPr>
        <w:pStyle w:val="7"/>
        <w:ind w:firstLine="643"/>
        <w:rPr>
          <w:rFonts w:hint="default"/>
        </w:rPr>
      </w:pPr>
      <w:r>
        <w:rPr>
          <w:rFonts w:hint="default"/>
        </w:rPr>
        <w:t>时效</w:t>
      </w:r>
      <w:r>
        <w:t>控制情况（16分）</w:t>
      </w:r>
    </w:p>
    <w:p w14:paraId="3E91285C">
      <w:pPr>
        <w:ind w:firstLine="640"/>
      </w:pPr>
      <w:r>
        <w:rPr>
          <w:rFonts w:hint="eastAsia"/>
        </w:rPr>
        <w:t>项目时效指标为“工程按时开工率=100%；工程完成时限为2024年12月底前”，2024年5月16日前完成施工、监理招标，2024年5月21日完成施工许可手续，5月31日开工建设，2024年12月31日完工。此项满分16分，评价得分16分。</w:t>
      </w:r>
    </w:p>
    <w:p w14:paraId="6391100B">
      <w:pPr>
        <w:pStyle w:val="7"/>
        <w:ind w:firstLine="643"/>
        <w:rPr>
          <w:rFonts w:hint="default"/>
        </w:rPr>
      </w:pPr>
      <w:r>
        <w:t>成本控制情况（8分）</w:t>
      </w:r>
    </w:p>
    <w:p w14:paraId="2AFBC801">
      <w:pPr>
        <w:ind w:firstLine="640"/>
      </w:pPr>
      <w:r>
        <w:rPr>
          <w:rFonts w:hint="eastAsia"/>
        </w:rPr>
        <w:t>项目成本指标为“工程建设成本控制情况≤2496.16万元/万立方米”，截至2024年12月31日，本项目工程建设成本为2496.16万元/万立方米，在计划指标范围内，此项满分8分，评价得分8分。</w:t>
      </w:r>
    </w:p>
    <w:p w14:paraId="266B8E22">
      <w:pPr>
        <w:pStyle w:val="6"/>
        <w:ind w:firstLine="643"/>
        <w:rPr>
          <w:b w:val="0"/>
        </w:rPr>
      </w:pPr>
      <w:r>
        <w:t>项目效益</w:t>
      </w:r>
      <w:r>
        <w:rPr>
          <w:rFonts w:hint="eastAsia"/>
        </w:rPr>
        <w:t>（30分）</w:t>
      </w:r>
    </w:p>
    <w:p w14:paraId="134F735B">
      <w:pPr>
        <w:ind w:firstLine="640"/>
        <w:rPr>
          <w:rFonts w:hint="eastAsia"/>
        </w:rPr>
      </w:pPr>
      <w:r>
        <w:rPr>
          <w:rFonts w:hint="eastAsia"/>
          <w:lang w:val="en-US" w:eastAsia="zh-CN"/>
        </w:rPr>
        <w:t>项目效益指标为“排涝能力提升率≥90%，工程建成后正常使用年限≥50年”，雨水调蓄设施新建工程项目实施后，对于缓解内涝、改善水环境，提升居民生活质量、促进社会和谐，并推动城市可持续发展，具有广泛的社会效益，项目预计较上一年度排涝能力提升率提升95%，项目正常建设，质量有保障，预计工程使用年限为50年。此项满分30.0分，评价得分30.0分。</w:t>
      </w:r>
    </w:p>
    <w:p w14:paraId="61A3CB38">
      <w:pPr>
        <w:pStyle w:val="6"/>
        <w:numPr>
          <w:ilvl w:val="0"/>
          <w:numId w:val="0"/>
        </w:numPr>
        <w:tabs>
          <w:tab w:val="left" w:pos="426"/>
        </w:tabs>
        <w:ind w:left="426"/>
      </w:pPr>
      <w:r>
        <w:rPr>
          <w:rFonts w:hint="eastAsia"/>
          <w:highlight w:val="none"/>
        </w:rPr>
        <w:t>（四）</w:t>
      </w:r>
      <w:r>
        <w:t>项目</w:t>
      </w:r>
      <w:r>
        <w:rPr>
          <w:rFonts w:hint="eastAsia"/>
        </w:rPr>
        <w:t>满意度（10分）</w:t>
      </w:r>
    </w:p>
    <w:p w14:paraId="603BD13D">
      <w:pPr>
        <w:ind w:firstLine="640"/>
        <w:rPr>
          <w:rFonts w:hint="eastAsia"/>
        </w:rPr>
      </w:pPr>
      <w:r>
        <w:rPr>
          <w:rFonts w:hint="eastAsia"/>
        </w:rPr>
        <w:t>满意度指标为服务对象满意度指标≥90%，雨水调蓄设施新建工程项目实施后，受益群众满意度</w:t>
      </w:r>
      <w:r>
        <w:rPr>
          <w:rFonts w:hint="eastAsia"/>
          <w:lang w:val="en-US" w:eastAsia="zh-CN"/>
        </w:rPr>
        <w:t>为</w:t>
      </w:r>
      <w:r>
        <w:rPr>
          <w:rFonts w:hint="eastAsia"/>
        </w:rPr>
        <w:t>95%.此项满分10.0分，评价得分10.0分。</w:t>
      </w:r>
    </w:p>
    <w:p w14:paraId="474448BE">
      <w:pPr>
        <w:pStyle w:val="5"/>
        <w:ind w:firstLine="643"/>
      </w:pPr>
      <w:r>
        <w:t>项目综合评价结论</w:t>
      </w:r>
      <w:r>
        <w:rPr>
          <w:rFonts w:hint="eastAsia"/>
        </w:rPr>
        <w:t>和评价</w:t>
      </w:r>
      <w:r>
        <w:t>等级</w:t>
      </w:r>
    </w:p>
    <w:p w14:paraId="560CAD40">
      <w:pPr>
        <w:ind w:firstLine="640"/>
        <w:rPr>
          <w:lang w:val="zh-TW"/>
        </w:rPr>
      </w:pPr>
      <w:r>
        <w:rPr>
          <w:rFonts w:hint="eastAsia"/>
        </w:rPr>
        <w:t>此次绩效评价</w:t>
      </w:r>
      <w:r>
        <w:rPr>
          <w:rFonts w:hint="eastAsia"/>
          <w:lang w:val="zh-TW"/>
        </w:rPr>
        <w:t>通过组织论证的评价指标体系及评分标准，</w:t>
      </w:r>
      <w:r>
        <w:rPr>
          <w:rFonts w:hint="eastAsia"/>
        </w:rPr>
        <w:t>采用的方法比较法、公众评判法，</w:t>
      </w:r>
      <w:r>
        <w:rPr>
          <w:rFonts w:hint="eastAsia"/>
          <w:lang w:val="zh-TW"/>
        </w:rPr>
        <w:t>对</w:t>
      </w:r>
      <w:r>
        <w:rPr>
          <w:rFonts w:hint="eastAsia"/>
        </w:rPr>
        <w:t>雨水调蓄设施建设工程项目</w:t>
      </w:r>
      <w:r>
        <w:rPr>
          <w:rFonts w:hint="eastAsia"/>
          <w:lang w:val="zh-TW"/>
        </w:rPr>
        <w:t>绩效进行客观评价，最终评分结果：总分为</w:t>
      </w:r>
      <w:r>
        <w:rPr>
          <w:rFonts w:hint="eastAsia"/>
        </w:rPr>
        <w:t>96.41</w:t>
      </w:r>
      <w:r>
        <w:rPr>
          <w:rFonts w:hint="eastAsia"/>
          <w:lang w:val="zh-TW"/>
        </w:rPr>
        <w:t>分，</w:t>
      </w:r>
      <w:r>
        <w:rPr>
          <w:rFonts w:hint="eastAsia"/>
        </w:rPr>
        <w:t>项目综合绩效评价等级为“优秀”</w:t>
      </w:r>
      <w:r>
        <w:rPr>
          <w:rFonts w:hint="eastAsia"/>
          <w:lang w:val="zh-TW"/>
        </w:rPr>
        <w:t>。各部分权重和绩效</w:t>
      </w:r>
      <w:r>
        <w:rPr>
          <w:rFonts w:hint="eastAsia"/>
        </w:rPr>
        <w:t>汇总</w:t>
      </w:r>
      <w:r>
        <w:rPr>
          <w:rFonts w:hint="eastAsia"/>
          <w:lang w:val="zh-TW"/>
        </w:rPr>
        <w:t>分值如下表所示：</w:t>
      </w:r>
    </w:p>
    <w:p w14:paraId="42AAB3C2">
      <w:pPr>
        <w:pStyle w:val="27"/>
        <w:rPr>
          <w:rFonts w:hint="default"/>
        </w:rPr>
      </w:pPr>
      <w:r>
        <w:t>雨水调蓄设施建设工程项目得分表</w:t>
      </w:r>
    </w:p>
    <w:tbl>
      <w:tblPr>
        <w:tblStyle w:val="20"/>
        <w:tblW w:w="5000" w:type="pct"/>
        <w:jc w:val="center"/>
        <w:tblLayout w:type="autofit"/>
        <w:tblCellMar>
          <w:top w:w="0" w:type="dxa"/>
          <w:left w:w="0" w:type="dxa"/>
          <w:bottom w:w="0" w:type="dxa"/>
          <w:right w:w="0" w:type="dxa"/>
        </w:tblCellMar>
      </w:tblPr>
      <w:tblGrid>
        <w:gridCol w:w="1807"/>
        <w:gridCol w:w="1809"/>
        <w:gridCol w:w="1447"/>
        <w:gridCol w:w="1447"/>
        <w:gridCol w:w="914"/>
        <w:gridCol w:w="912"/>
      </w:tblGrid>
      <w:tr w14:paraId="311EEED2">
        <w:trPr>
          <w:trHeight w:val="431" w:hRule="atLeast"/>
          <w:jc w:val="center"/>
        </w:trPr>
        <w:tc>
          <w:tcPr>
            <w:tcW w:w="108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01713">
            <w:pPr>
              <w:pStyle w:val="26"/>
              <w:rPr>
                <w:b/>
                <w:bCs/>
              </w:rPr>
            </w:pPr>
            <w:r>
              <w:rPr>
                <w:b/>
                <w:bCs/>
              </w:rPr>
              <w:t>指标类别</w:t>
            </w:r>
          </w:p>
        </w:tc>
        <w:tc>
          <w:tcPr>
            <w:tcW w:w="10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DD8EB">
            <w:pPr>
              <w:pStyle w:val="26"/>
              <w:rPr>
                <w:b/>
                <w:bCs/>
              </w:rPr>
            </w:pPr>
            <w:r>
              <w:rPr>
                <w:b/>
                <w:bCs/>
              </w:rPr>
              <w:t>预算执行率</w:t>
            </w:r>
          </w:p>
        </w:tc>
        <w:tc>
          <w:tcPr>
            <w:tcW w:w="8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413ED">
            <w:pPr>
              <w:pStyle w:val="26"/>
              <w:rPr>
                <w:b/>
                <w:bCs/>
              </w:rPr>
            </w:pPr>
            <w:r>
              <w:rPr>
                <w:b/>
                <w:bCs/>
              </w:rPr>
              <w:t>项目产出</w:t>
            </w:r>
          </w:p>
        </w:tc>
        <w:tc>
          <w:tcPr>
            <w:tcW w:w="8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BEFFC">
            <w:pPr>
              <w:pStyle w:val="26"/>
              <w:rPr>
                <w:b/>
                <w:bCs/>
              </w:rPr>
            </w:pPr>
            <w:r>
              <w:rPr>
                <w:b/>
                <w:bCs/>
              </w:rPr>
              <w:t>项目效益</w:t>
            </w:r>
          </w:p>
        </w:tc>
        <w:tc>
          <w:tcPr>
            <w:tcW w:w="548" w:type="pct"/>
            <w:tcBorders>
              <w:top w:val="single" w:color="000000" w:sz="4" w:space="0"/>
              <w:left w:val="single" w:color="000000" w:sz="4" w:space="0"/>
              <w:bottom w:val="single" w:color="000000" w:sz="4" w:space="0"/>
              <w:right w:val="single" w:color="000000" w:sz="4" w:space="0"/>
            </w:tcBorders>
          </w:tcPr>
          <w:p w14:paraId="1102AF57">
            <w:pPr>
              <w:pStyle w:val="26"/>
              <w:rPr>
                <w:b/>
                <w:bCs/>
              </w:rPr>
            </w:pPr>
            <w:r>
              <w:rPr>
                <w:b/>
                <w:bCs/>
              </w:rPr>
              <w:t>项目</w:t>
            </w:r>
            <w:r>
              <w:rPr>
                <w:rFonts w:hint="eastAsia"/>
                <w:b/>
                <w:bCs/>
              </w:rPr>
              <w:t>满意度</w:t>
            </w:r>
          </w:p>
        </w:tc>
        <w:tc>
          <w:tcPr>
            <w:tcW w:w="54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E5E20">
            <w:pPr>
              <w:pStyle w:val="26"/>
              <w:rPr>
                <w:b/>
                <w:bCs/>
              </w:rPr>
            </w:pPr>
            <w:r>
              <w:rPr>
                <w:b/>
                <w:bCs/>
              </w:rPr>
              <w:t>合计</w:t>
            </w:r>
          </w:p>
        </w:tc>
      </w:tr>
      <w:tr w14:paraId="389444D4">
        <w:tblPrEx>
          <w:tblCellMar>
            <w:top w:w="0" w:type="dxa"/>
            <w:left w:w="0" w:type="dxa"/>
            <w:bottom w:w="0" w:type="dxa"/>
            <w:right w:w="0" w:type="dxa"/>
          </w:tblCellMar>
        </w:tblPrEx>
        <w:trPr>
          <w:trHeight w:val="431" w:hRule="atLeast"/>
          <w:jc w:val="center"/>
        </w:trPr>
        <w:tc>
          <w:tcPr>
            <w:tcW w:w="108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210AF">
            <w:pPr>
              <w:pStyle w:val="26"/>
            </w:pPr>
            <w:r>
              <w:rPr>
                <w:rFonts w:hint="eastAsia"/>
              </w:rPr>
              <w:t>满分分值</w:t>
            </w:r>
            <w:r>
              <w:t>（分）</w:t>
            </w:r>
          </w:p>
        </w:tc>
        <w:tc>
          <w:tcPr>
            <w:tcW w:w="10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B106F">
            <w:pPr>
              <w:pStyle w:val="26"/>
            </w:pPr>
            <w:r>
              <w:t>10</w:t>
            </w:r>
          </w:p>
        </w:tc>
        <w:tc>
          <w:tcPr>
            <w:tcW w:w="8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E1743">
            <w:pPr>
              <w:pStyle w:val="26"/>
            </w:pPr>
            <w:r>
              <w:rPr>
                <w:rFonts w:hint="eastAsia"/>
              </w:rPr>
              <w:t>50</w:t>
            </w:r>
          </w:p>
        </w:tc>
        <w:tc>
          <w:tcPr>
            <w:tcW w:w="8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E0FC3">
            <w:pPr>
              <w:pStyle w:val="26"/>
            </w:pPr>
            <w:r>
              <w:t>30</w:t>
            </w:r>
          </w:p>
        </w:tc>
        <w:tc>
          <w:tcPr>
            <w:tcW w:w="548" w:type="pct"/>
            <w:tcBorders>
              <w:top w:val="single" w:color="000000" w:sz="4" w:space="0"/>
              <w:left w:val="single" w:color="000000" w:sz="4" w:space="0"/>
              <w:bottom w:val="single" w:color="000000" w:sz="4" w:space="0"/>
              <w:right w:val="single" w:color="000000" w:sz="4" w:space="0"/>
            </w:tcBorders>
          </w:tcPr>
          <w:p w14:paraId="105DA9BC">
            <w:pPr>
              <w:pStyle w:val="26"/>
            </w:pPr>
            <w:r>
              <w:rPr>
                <w:rFonts w:hint="eastAsia"/>
              </w:rPr>
              <w:t>10</w:t>
            </w:r>
          </w:p>
        </w:tc>
        <w:tc>
          <w:tcPr>
            <w:tcW w:w="54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2FC7BE">
            <w:pPr>
              <w:pStyle w:val="26"/>
            </w:pPr>
            <w:r>
              <w:t>100</w:t>
            </w:r>
          </w:p>
        </w:tc>
      </w:tr>
      <w:tr w14:paraId="476EBA13">
        <w:tblPrEx>
          <w:tblCellMar>
            <w:top w:w="0" w:type="dxa"/>
            <w:left w:w="0" w:type="dxa"/>
            <w:bottom w:w="0" w:type="dxa"/>
            <w:right w:w="0" w:type="dxa"/>
          </w:tblCellMar>
        </w:tblPrEx>
        <w:trPr>
          <w:trHeight w:val="441" w:hRule="atLeast"/>
          <w:jc w:val="center"/>
        </w:trPr>
        <w:tc>
          <w:tcPr>
            <w:tcW w:w="108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BE88C">
            <w:pPr>
              <w:pStyle w:val="26"/>
            </w:pPr>
            <w:r>
              <w:rPr>
                <w:rFonts w:hint="eastAsia"/>
              </w:rPr>
              <w:t>自评得分</w:t>
            </w:r>
            <w:r>
              <w:t>（分）</w:t>
            </w:r>
          </w:p>
        </w:tc>
        <w:tc>
          <w:tcPr>
            <w:tcW w:w="10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5BAB6">
            <w:pPr>
              <w:pStyle w:val="26"/>
            </w:pPr>
            <w:r>
              <w:rPr>
                <w:rFonts w:hint="eastAsia"/>
              </w:rPr>
              <w:t>6.41</w:t>
            </w:r>
          </w:p>
        </w:tc>
        <w:tc>
          <w:tcPr>
            <w:tcW w:w="8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79140">
            <w:pPr>
              <w:pStyle w:val="26"/>
            </w:pPr>
            <w:r>
              <w:rPr>
                <w:rFonts w:hint="eastAsia"/>
              </w:rPr>
              <w:t>50</w:t>
            </w:r>
          </w:p>
        </w:tc>
        <w:tc>
          <w:tcPr>
            <w:tcW w:w="8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A46E3">
            <w:pPr>
              <w:pStyle w:val="26"/>
            </w:pPr>
            <w:r>
              <w:rPr>
                <w:rFonts w:hint="eastAsia"/>
              </w:rPr>
              <w:t>30</w:t>
            </w:r>
          </w:p>
        </w:tc>
        <w:tc>
          <w:tcPr>
            <w:tcW w:w="548" w:type="pct"/>
            <w:tcBorders>
              <w:top w:val="single" w:color="000000" w:sz="4" w:space="0"/>
              <w:left w:val="single" w:color="000000" w:sz="4" w:space="0"/>
              <w:bottom w:val="single" w:color="000000" w:sz="4" w:space="0"/>
              <w:right w:val="single" w:color="000000" w:sz="4" w:space="0"/>
            </w:tcBorders>
          </w:tcPr>
          <w:p w14:paraId="29BEA791">
            <w:pPr>
              <w:pStyle w:val="26"/>
            </w:pPr>
            <w:r>
              <w:rPr>
                <w:rFonts w:hint="eastAsia"/>
              </w:rPr>
              <w:t>10</w:t>
            </w:r>
          </w:p>
        </w:tc>
        <w:tc>
          <w:tcPr>
            <w:tcW w:w="54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CA1DE">
            <w:pPr>
              <w:pStyle w:val="26"/>
            </w:pPr>
            <w:r>
              <w:rPr>
                <w:rFonts w:hint="eastAsia"/>
              </w:rPr>
              <w:t>96.41</w:t>
            </w:r>
          </w:p>
        </w:tc>
      </w:tr>
    </w:tbl>
    <w:p w14:paraId="5F3F318F">
      <w:pPr>
        <w:pStyle w:val="5"/>
        <w:ind w:firstLine="643"/>
      </w:pPr>
      <w:r>
        <w:t>存在的问题及改进措施</w:t>
      </w:r>
    </w:p>
    <w:p w14:paraId="6BFD617A">
      <w:pPr>
        <w:pStyle w:val="6"/>
        <w:ind w:firstLine="643"/>
      </w:pPr>
      <w:r>
        <w:t>主要问题分析</w:t>
      </w:r>
    </w:p>
    <w:p w14:paraId="5D047FA9">
      <w:pPr>
        <w:pStyle w:val="7"/>
        <w:ind w:firstLine="643"/>
        <w:rPr>
          <w:rFonts w:hint="default"/>
        </w:rPr>
      </w:pPr>
      <w:r>
        <w:t>预算执行率较低</w:t>
      </w:r>
    </w:p>
    <w:p w14:paraId="08F43830">
      <w:pPr>
        <w:ind w:firstLine="640"/>
      </w:pPr>
      <w:r>
        <w:rPr>
          <w:rFonts w:hint="eastAsia"/>
        </w:rPr>
        <w:t>该项目2024年预算资金38316.00万元，截至2024年底，实际支出24562.02万元，年度预算执行率为64.10%。目前，项目已经按照合同约定支付款项，剩余资金待市评审中心审定后拨付。</w:t>
      </w:r>
      <w:bookmarkStart w:id="0" w:name="_GoBack"/>
      <w:bookmarkEnd w:id="0"/>
    </w:p>
    <w:p w14:paraId="6762EAEB">
      <w:pPr>
        <w:pStyle w:val="7"/>
        <w:ind w:firstLine="643"/>
        <w:rPr>
          <w:rFonts w:hint="default"/>
        </w:rPr>
      </w:pPr>
      <w:r>
        <w:t>项目未办理竣工验收</w:t>
      </w:r>
    </w:p>
    <w:p w14:paraId="5B09A08B">
      <w:pPr>
        <w:ind w:firstLine="640"/>
      </w:pPr>
      <w:r>
        <w:rPr>
          <w:rFonts w:hint="eastAsia"/>
        </w:rPr>
        <w:t>项目已经于2024年12月31日完工，尚未办理竣工验收手续。</w:t>
      </w:r>
    </w:p>
    <w:p w14:paraId="64AB4276">
      <w:pPr>
        <w:pStyle w:val="6"/>
        <w:ind w:firstLine="643"/>
      </w:pPr>
      <w:r>
        <w:t>改进措施与建议</w:t>
      </w:r>
    </w:p>
    <w:p w14:paraId="2633B6EB">
      <w:pPr>
        <w:pStyle w:val="7"/>
        <w:ind w:firstLine="643"/>
        <w:rPr>
          <w:rFonts w:hint="default"/>
        </w:rPr>
      </w:pPr>
      <w:r>
        <w:t>提高预算资金编制的合理性和科学性</w:t>
      </w:r>
    </w:p>
    <w:p w14:paraId="1ABDEF64">
      <w:pPr>
        <w:ind w:firstLine="640"/>
      </w:pPr>
      <w:r>
        <w:rPr>
          <w:rFonts w:hint="eastAsia"/>
        </w:rPr>
        <w:t>依据项目进展或单位工作实际情况安排预算支出。部门应灵活调整资金使用计划时间安排或年度预算金额，寻找可替代方案，争取使预算资金使用时间与财政资金可使用时间段一致。</w:t>
      </w:r>
    </w:p>
    <w:p w14:paraId="257FCFD8">
      <w:pPr>
        <w:pStyle w:val="7"/>
        <w:ind w:firstLine="643"/>
        <w:rPr>
          <w:rFonts w:hint="default"/>
        </w:rPr>
      </w:pPr>
      <w:r>
        <w:t>加快竣工验收手续办理</w:t>
      </w:r>
    </w:p>
    <w:p w14:paraId="4FF81BA5">
      <w:pPr>
        <w:ind w:firstLine="640"/>
      </w:pPr>
      <w:r>
        <w:rPr>
          <w:rFonts w:hint="eastAsia"/>
        </w:rPr>
        <w:t>安排专人负责跟进竣工验收工作，加强与各方的沟通协调，加快进度完成竣工验收的各项准备工作，争取早日完成竣工验收报告。</w:t>
      </w:r>
    </w:p>
    <w:p w14:paraId="131E9802">
      <w:pPr>
        <w:pStyle w:val="5"/>
        <w:ind w:firstLine="643"/>
      </w:pPr>
      <w:r>
        <w:t>评价工作组人员名单</w:t>
      </w:r>
      <w:r>
        <w:rPr>
          <w:rFonts w:hint="eastAsia"/>
        </w:rPr>
        <w:t>及签字</w:t>
      </w:r>
    </w:p>
    <w:tbl>
      <w:tblPr>
        <w:tblStyle w:val="2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3271"/>
        <w:gridCol w:w="2190"/>
        <w:gridCol w:w="1623"/>
      </w:tblGrid>
      <w:tr w14:paraId="2F436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 w:type="pct"/>
            <w:vAlign w:val="center"/>
          </w:tcPr>
          <w:p w14:paraId="09F6BE99">
            <w:pPr>
              <w:pStyle w:val="26"/>
            </w:pPr>
            <w:r>
              <w:rPr>
                <w:rFonts w:hint="eastAsia"/>
              </w:rPr>
              <w:t>姓名</w:t>
            </w:r>
          </w:p>
        </w:tc>
        <w:tc>
          <w:tcPr>
            <w:tcW w:w="1919" w:type="pct"/>
            <w:vAlign w:val="center"/>
          </w:tcPr>
          <w:p w14:paraId="0F0E1543">
            <w:pPr>
              <w:pStyle w:val="26"/>
            </w:pPr>
            <w:r>
              <w:rPr>
                <w:rFonts w:hint="eastAsia"/>
              </w:rPr>
              <w:t>工作单位</w:t>
            </w:r>
          </w:p>
        </w:tc>
        <w:tc>
          <w:tcPr>
            <w:tcW w:w="1285" w:type="pct"/>
            <w:vAlign w:val="center"/>
          </w:tcPr>
          <w:p w14:paraId="49BF4465">
            <w:pPr>
              <w:pStyle w:val="26"/>
            </w:pPr>
            <w:r>
              <w:rPr>
                <w:rFonts w:hint="eastAsia"/>
              </w:rPr>
              <w:t>职务</w:t>
            </w:r>
          </w:p>
        </w:tc>
        <w:tc>
          <w:tcPr>
            <w:tcW w:w="952" w:type="pct"/>
            <w:vAlign w:val="center"/>
          </w:tcPr>
          <w:p w14:paraId="076B033C">
            <w:pPr>
              <w:pStyle w:val="26"/>
            </w:pPr>
            <w:r>
              <w:rPr>
                <w:rFonts w:hint="eastAsia"/>
              </w:rPr>
              <w:t>签字</w:t>
            </w:r>
          </w:p>
        </w:tc>
      </w:tr>
      <w:tr w14:paraId="338A8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 w:type="pct"/>
            <w:vAlign w:val="center"/>
          </w:tcPr>
          <w:p w14:paraId="394C51C4">
            <w:pPr>
              <w:pStyle w:val="26"/>
            </w:pPr>
            <w:r>
              <w:rPr>
                <w:rFonts w:hint="eastAsia"/>
              </w:rPr>
              <w:t>李永青</w:t>
            </w:r>
          </w:p>
        </w:tc>
        <w:tc>
          <w:tcPr>
            <w:tcW w:w="1919" w:type="pct"/>
            <w:vAlign w:val="center"/>
          </w:tcPr>
          <w:p w14:paraId="3ED33F08">
            <w:pPr>
              <w:pStyle w:val="26"/>
            </w:pPr>
            <w:r>
              <w:rPr>
                <w:rFonts w:hint="eastAsia"/>
              </w:rPr>
              <w:t>石家庄市城市管理综合行政执法局</w:t>
            </w:r>
          </w:p>
        </w:tc>
        <w:tc>
          <w:tcPr>
            <w:tcW w:w="1285" w:type="pct"/>
            <w:vAlign w:val="center"/>
          </w:tcPr>
          <w:p w14:paraId="2D1B4FDB">
            <w:pPr>
              <w:pStyle w:val="26"/>
            </w:pPr>
            <w:r>
              <w:rPr>
                <w:rFonts w:hint="eastAsia"/>
              </w:rPr>
              <w:t>副局长</w:t>
            </w:r>
          </w:p>
        </w:tc>
        <w:tc>
          <w:tcPr>
            <w:tcW w:w="952" w:type="pct"/>
            <w:vAlign w:val="center"/>
          </w:tcPr>
          <w:p w14:paraId="1B89101A">
            <w:pPr>
              <w:pStyle w:val="26"/>
            </w:pPr>
          </w:p>
        </w:tc>
      </w:tr>
      <w:tr w14:paraId="4157A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 w:type="pct"/>
            <w:vAlign w:val="center"/>
          </w:tcPr>
          <w:p w14:paraId="4A083FE4">
            <w:pPr>
              <w:pStyle w:val="26"/>
            </w:pPr>
            <w:r>
              <w:rPr>
                <w:rFonts w:hint="eastAsia"/>
              </w:rPr>
              <w:t>亓鹏</w:t>
            </w:r>
          </w:p>
        </w:tc>
        <w:tc>
          <w:tcPr>
            <w:tcW w:w="1919" w:type="pct"/>
            <w:vAlign w:val="center"/>
          </w:tcPr>
          <w:p w14:paraId="59270ABB">
            <w:pPr>
              <w:pStyle w:val="26"/>
            </w:pPr>
            <w:r>
              <w:rPr>
                <w:rFonts w:hint="eastAsia"/>
              </w:rPr>
              <w:t>石家庄市城市管理综合行政执法局</w:t>
            </w:r>
          </w:p>
        </w:tc>
        <w:tc>
          <w:tcPr>
            <w:tcW w:w="1285" w:type="pct"/>
            <w:vAlign w:val="center"/>
          </w:tcPr>
          <w:p w14:paraId="0AC0D847">
            <w:pPr>
              <w:pStyle w:val="26"/>
            </w:pPr>
            <w:r>
              <w:rPr>
                <w:rFonts w:hint="eastAsia"/>
              </w:rPr>
              <w:t>市政科科长</w:t>
            </w:r>
          </w:p>
        </w:tc>
        <w:tc>
          <w:tcPr>
            <w:tcW w:w="952" w:type="pct"/>
            <w:vAlign w:val="center"/>
          </w:tcPr>
          <w:p w14:paraId="41264875">
            <w:pPr>
              <w:pStyle w:val="26"/>
            </w:pPr>
          </w:p>
        </w:tc>
      </w:tr>
      <w:tr w14:paraId="5A7A3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 w:type="pct"/>
            <w:vAlign w:val="center"/>
          </w:tcPr>
          <w:p w14:paraId="6B2BFCC5">
            <w:pPr>
              <w:pStyle w:val="26"/>
            </w:pPr>
            <w:r>
              <w:rPr>
                <w:rFonts w:hint="eastAsia"/>
              </w:rPr>
              <w:t>王辉</w:t>
            </w:r>
          </w:p>
        </w:tc>
        <w:tc>
          <w:tcPr>
            <w:tcW w:w="1919" w:type="pct"/>
            <w:vAlign w:val="center"/>
          </w:tcPr>
          <w:p w14:paraId="7FE7591C">
            <w:pPr>
              <w:pStyle w:val="26"/>
            </w:pPr>
            <w:r>
              <w:rPr>
                <w:rFonts w:hint="eastAsia"/>
              </w:rPr>
              <w:t>石家庄市城市管理综合行政执法局</w:t>
            </w:r>
          </w:p>
        </w:tc>
        <w:tc>
          <w:tcPr>
            <w:tcW w:w="1285" w:type="pct"/>
            <w:vAlign w:val="center"/>
          </w:tcPr>
          <w:p w14:paraId="6F05232B">
            <w:pPr>
              <w:pStyle w:val="26"/>
            </w:pPr>
            <w:r>
              <w:rPr>
                <w:rFonts w:hint="eastAsia"/>
              </w:rPr>
              <w:t>财务科科长</w:t>
            </w:r>
          </w:p>
        </w:tc>
        <w:tc>
          <w:tcPr>
            <w:tcW w:w="952" w:type="pct"/>
            <w:vAlign w:val="center"/>
          </w:tcPr>
          <w:p w14:paraId="5F0F8C45">
            <w:pPr>
              <w:pStyle w:val="26"/>
            </w:pPr>
          </w:p>
        </w:tc>
      </w:tr>
      <w:tr w14:paraId="6528F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 w:type="pct"/>
            <w:vAlign w:val="center"/>
          </w:tcPr>
          <w:p w14:paraId="4638D148">
            <w:pPr>
              <w:pStyle w:val="26"/>
            </w:pPr>
            <w:r>
              <w:rPr>
                <w:rFonts w:hint="eastAsia"/>
              </w:rPr>
              <w:t>白雪锋</w:t>
            </w:r>
          </w:p>
        </w:tc>
        <w:tc>
          <w:tcPr>
            <w:tcW w:w="1919" w:type="pct"/>
            <w:vAlign w:val="center"/>
          </w:tcPr>
          <w:p w14:paraId="152210AA">
            <w:pPr>
              <w:pStyle w:val="26"/>
            </w:pPr>
            <w:r>
              <w:rPr>
                <w:rFonts w:hint="eastAsia"/>
              </w:rPr>
              <w:t>石家庄市城市管理综合行政执法局</w:t>
            </w:r>
          </w:p>
        </w:tc>
        <w:tc>
          <w:tcPr>
            <w:tcW w:w="1285" w:type="pct"/>
            <w:vAlign w:val="center"/>
          </w:tcPr>
          <w:p w14:paraId="2560AD26">
            <w:pPr>
              <w:pStyle w:val="26"/>
            </w:pPr>
            <w:r>
              <w:rPr>
                <w:rFonts w:hint="eastAsia"/>
              </w:rPr>
              <w:t>市政科科员</w:t>
            </w:r>
          </w:p>
        </w:tc>
        <w:tc>
          <w:tcPr>
            <w:tcW w:w="952" w:type="pct"/>
            <w:vAlign w:val="center"/>
          </w:tcPr>
          <w:p w14:paraId="20EBDED1">
            <w:pPr>
              <w:pStyle w:val="26"/>
            </w:pPr>
          </w:p>
        </w:tc>
      </w:tr>
    </w:tbl>
    <w:p w14:paraId="1916B8DF">
      <w:pPr>
        <w:ind w:firstLine="640"/>
      </w:pPr>
    </w:p>
    <w:p w14:paraId="4649304E">
      <w:pPr>
        <w:ind w:firstLine="640"/>
      </w:pPr>
    </w:p>
    <w:p w14:paraId="478DA904">
      <w:pPr>
        <w:ind w:firstLine="640"/>
        <w:rPr>
          <w:rFonts w:eastAsiaTheme="minorEastAsia"/>
        </w:rPr>
      </w:pPr>
    </w:p>
    <w:sectPr>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2000000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81BE7">
    <w:pPr>
      <w:pStyle w:val="16"/>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133E8B7">
                          <w:pPr>
                            <w:pStyle w:val="16"/>
                            <w:ind w:firstLine="360"/>
                          </w:pPr>
                          <w:r>
                            <w:fldChar w:fldCharType="begin"/>
                          </w:r>
                          <w:r>
                            <w:instrText xml:space="preserve"> PAGE  \* MERGEFORMAT </w:instrText>
                          </w:r>
                          <w:r>
                            <w:fldChar w:fldCharType="separate"/>
                          </w:r>
                          <w:r>
                            <w:t>- 18 -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0133E8B7">
                    <w:pPr>
                      <w:pStyle w:val="16"/>
                      <w:ind w:firstLine="360"/>
                    </w:pPr>
                    <w:r>
                      <w:fldChar w:fldCharType="begin"/>
                    </w:r>
                    <w:r>
                      <w:instrText xml:space="preserve"> PAGE  \* MERGEFORMAT </w:instrText>
                    </w:r>
                    <w:r>
                      <w:fldChar w:fldCharType="separate"/>
                    </w:r>
                    <w:r>
                      <w:t>- 18 -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C6DC1">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42287">
    <w:pPr>
      <w:pStyle w:val="1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7657A">
    <w:pPr>
      <w:pStyle w:val="1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6DA7C">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93BFD">
    <w:pPr>
      <w:pStyle w:val="1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BC61DA"/>
    <w:multiLevelType w:val="multilevel"/>
    <w:tmpl w:val="82BC61DA"/>
    <w:lvl w:ilvl="0" w:tentative="0">
      <w:start w:val="1"/>
      <w:numFmt w:val="chineseCounting"/>
      <w:pStyle w:val="5"/>
      <w:suff w:val="nothing"/>
      <w:lvlText w:val="%1、"/>
      <w:lvlJc w:val="left"/>
      <w:pPr>
        <w:tabs>
          <w:tab w:val="left" w:pos="0"/>
        </w:tabs>
        <w:ind w:left="0" w:firstLine="0"/>
      </w:pPr>
      <w:rPr>
        <w:rFonts w:hint="eastAsia" w:eastAsia="黑体"/>
        <w:sz w:val="32"/>
      </w:rPr>
    </w:lvl>
    <w:lvl w:ilvl="1" w:tentative="0">
      <w:start w:val="1"/>
      <w:numFmt w:val="chineseCounting"/>
      <w:pStyle w:val="6"/>
      <w:suff w:val="nothing"/>
      <w:lvlText w:val="（%2）"/>
      <w:lvlJc w:val="left"/>
      <w:pPr>
        <w:tabs>
          <w:tab w:val="left" w:pos="426"/>
        </w:tabs>
        <w:ind w:left="426" w:firstLine="0"/>
      </w:pPr>
      <w:rPr>
        <w:rFonts w:hint="eastAsia" w:eastAsia="楷体"/>
        <w:b/>
        <w:sz w:val="32"/>
      </w:rPr>
    </w:lvl>
    <w:lvl w:ilvl="2" w:tentative="0">
      <w:start w:val="1"/>
      <w:numFmt w:val="decimal"/>
      <w:pStyle w:val="7"/>
      <w:suff w:val="nothing"/>
      <w:lvlText w:val="%3、"/>
      <w:lvlJc w:val="left"/>
      <w:pPr>
        <w:ind w:left="0" w:firstLine="400"/>
      </w:pPr>
      <w:rPr>
        <w:rFonts w:hint="eastAsia" w:eastAsia="仿宋_GB2312"/>
        <w:b/>
        <w:sz w:val="32"/>
      </w:rPr>
    </w:lvl>
    <w:lvl w:ilvl="3" w:tentative="0">
      <w:start w:val="1"/>
      <w:numFmt w:val="decimal"/>
      <w:pStyle w:val="8"/>
      <w:suff w:val="nothing"/>
      <w:lvlText w:val="（%4）"/>
      <w:lvlJc w:val="left"/>
      <w:pPr>
        <w:tabs>
          <w:tab w:val="left" w:pos="0"/>
        </w:tabs>
        <w:ind w:left="0" w:firstLine="402"/>
      </w:pPr>
      <w:rPr>
        <w:rFonts w:hint="eastAsia" w:ascii="仿宋_GB2312" w:hAnsi="仿宋_GB2312" w:eastAsia="仿宋_GB2312" w:cs="仿宋_GB2312"/>
        <w:sz w:val="32"/>
        <w:szCs w:val="32"/>
      </w:rPr>
    </w:lvl>
    <w:lvl w:ilvl="4" w:tentative="0">
      <w:start w:val="1"/>
      <w:numFmt w:val="decimalEnclosedCircleChinese"/>
      <w:pStyle w:val="9"/>
      <w:suff w:val="nothing"/>
      <w:lvlText w:val="%5"/>
      <w:lvlJc w:val="left"/>
      <w:pPr>
        <w:ind w:left="0" w:firstLine="402"/>
      </w:pPr>
      <w:rPr>
        <w:rFonts w:hint="eastAsia"/>
      </w:rPr>
    </w:lvl>
    <w:lvl w:ilvl="5" w:tentative="0">
      <w:start w:val="1"/>
      <w:numFmt w:val="decimal"/>
      <w:pStyle w:val="10"/>
      <w:suff w:val="nothing"/>
      <w:lvlText w:val="%6）"/>
      <w:lvlJc w:val="left"/>
      <w:pPr>
        <w:ind w:left="0" w:firstLine="402"/>
      </w:pPr>
      <w:rPr>
        <w:rFonts w:hint="eastAsia"/>
      </w:rPr>
    </w:lvl>
    <w:lvl w:ilvl="6" w:tentative="0">
      <w:start w:val="1"/>
      <w:numFmt w:val="lowerLetter"/>
      <w:pStyle w:val="11"/>
      <w:suff w:val="nothing"/>
      <w:lvlText w:val="%7．"/>
      <w:lvlJc w:val="left"/>
      <w:pPr>
        <w:ind w:left="0" w:firstLine="402"/>
      </w:pPr>
      <w:rPr>
        <w:rFonts w:hint="eastAsia"/>
      </w:rPr>
    </w:lvl>
    <w:lvl w:ilvl="7" w:tentative="0">
      <w:start w:val="1"/>
      <w:numFmt w:val="lowerLetter"/>
      <w:pStyle w:val="12"/>
      <w:suff w:val="nothing"/>
      <w:lvlText w:val="%8）"/>
      <w:lvlJc w:val="left"/>
      <w:pPr>
        <w:ind w:left="0" w:firstLine="402"/>
      </w:pPr>
      <w:rPr>
        <w:rFonts w:hint="eastAsia"/>
      </w:rPr>
    </w:lvl>
    <w:lvl w:ilvl="8" w:tentative="0">
      <w:start w:val="1"/>
      <w:numFmt w:val="lowerRoman"/>
      <w:pStyle w:val="13"/>
      <w:suff w:val="nothing"/>
      <w:lvlText w:val="%9 "/>
      <w:lvlJc w:val="left"/>
      <w:pPr>
        <w:ind w:left="0" w:firstLine="402"/>
      </w:pPr>
      <w:rPr>
        <w:rFonts w:hint="eastAsia"/>
      </w:rPr>
    </w:lvl>
  </w:abstractNum>
  <w:abstractNum w:abstractNumId="1">
    <w:nsid w:val="3A7260C0"/>
    <w:multiLevelType w:val="multilevel"/>
    <w:tmpl w:val="3A7260C0"/>
    <w:lvl w:ilvl="0" w:tentative="0">
      <w:start w:val="1"/>
      <w:numFmt w:val="chineseCountingThousand"/>
      <w:pStyle w:val="25"/>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E23ACA"/>
    <w:rsid w:val="000B164A"/>
    <w:rsid w:val="00101FC8"/>
    <w:rsid w:val="00110D89"/>
    <w:rsid w:val="00136F34"/>
    <w:rsid w:val="002E6C8E"/>
    <w:rsid w:val="004B52D2"/>
    <w:rsid w:val="005B5F7A"/>
    <w:rsid w:val="006F64DD"/>
    <w:rsid w:val="0079352B"/>
    <w:rsid w:val="008163C6"/>
    <w:rsid w:val="008F518C"/>
    <w:rsid w:val="009A7C97"/>
    <w:rsid w:val="00B57771"/>
    <w:rsid w:val="00D12990"/>
    <w:rsid w:val="00E6284A"/>
    <w:rsid w:val="00F51219"/>
    <w:rsid w:val="00F6108B"/>
    <w:rsid w:val="00F72250"/>
    <w:rsid w:val="00F8496E"/>
    <w:rsid w:val="00FC6C6B"/>
    <w:rsid w:val="00FE5968"/>
    <w:rsid w:val="01AA58F0"/>
    <w:rsid w:val="01C26E13"/>
    <w:rsid w:val="054E09BE"/>
    <w:rsid w:val="071138DC"/>
    <w:rsid w:val="0B7338A0"/>
    <w:rsid w:val="0BC834EB"/>
    <w:rsid w:val="0CC335FF"/>
    <w:rsid w:val="0EFC6F6C"/>
    <w:rsid w:val="0F171813"/>
    <w:rsid w:val="111807FE"/>
    <w:rsid w:val="11B552B6"/>
    <w:rsid w:val="11CC3396"/>
    <w:rsid w:val="123B785E"/>
    <w:rsid w:val="125515DD"/>
    <w:rsid w:val="135B7E18"/>
    <w:rsid w:val="14150680"/>
    <w:rsid w:val="182F0E30"/>
    <w:rsid w:val="18316AE0"/>
    <w:rsid w:val="1A071F82"/>
    <w:rsid w:val="1B9C5B07"/>
    <w:rsid w:val="1C4B28E0"/>
    <w:rsid w:val="1C6248EA"/>
    <w:rsid w:val="1DB91FBB"/>
    <w:rsid w:val="1ECC1D67"/>
    <w:rsid w:val="1F4B513F"/>
    <w:rsid w:val="1FEA7809"/>
    <w:rsid w:val="254747FA"/>
    <w:rsid w:val="26492DAF"/>
    <w:rsid w:val="27E23ACA"/>
    <w:rsid w:val="28655112"/>
    <w:rsid w:val="28D2724D"/>
    <w:rsid w:val="2A0468AE"/>
    <w:rsid w:val="2A260A48"/>
    <w:rsid w:val="2AAF16FA"/>
    <w:rsid w:val="2E8C546A"/>
    <w:rsid w:val="301A176A"/>
    <w:rsid w:val="31857392"/>
    <w:rsid w:val="328E671A"/>
    <w:rsid w:val="35F42D38"/>
    <w:rsid w:val="367F28DF"/>
    <w:rsid w:val="37F232A7"/>
    <w:rsid w:val="39902D77"/>
    <w:rsid w:val="3A0B0650"/>
    <w:rsid w:val="3AFF1361"/>
    <w:rsid w:val="3B477B99"/>
    <w:rsid w:val="3E6030D1"/>
    <w:rsid w:val="3E8E3CF5"/>
    <w:rsid w:val="3ED5122D"/>
    <w:rsid w:val="405F34A4"/>
    <w:rsid w:val="40B732E0"/>
    <w:rsid w:val="42044303"/>
    <w:rsid w:val="475E2EA5"/>
    <w:rsid w:val="48B25693"/>
    <w:rsid w:val="4DB1003F"/>
    <w:rsid w:val="4F25211E"/>
    <w:rsid w:val="504B0525"/>
    <w:rsid w:val="50AA2519"/>
    <w:rsid w:val="50D3316D"/>
    <w:rsid w:val="523E73BD"/>
    <w:rsid w:val="538E00E7"/>
    <w:rsid w:val="540C4166"/>
    <w:rsid w:val="561B18BD"/>
    <w:rsid w:val="57B00C82"/>
    <w:rsid w:val="5855720E"/>
    <w:rsid w:val="5D123920"/>
    <w:rsid w:val="5D5A52C7"/>
    <w:rsid w:val="5DBB66D5"/>
    <w:rsid w:val="615A7643"/>
    <w:rsid w:val="62153F79"/>
    <w:rsid w:val="63415470"/>
    <w:rsid w:val="64A80C2C"/>
    <w:rsid w:val="65893C4A"/>
    <w:rsid w:val="65E16585"/>
    <w:rsid w:val="6D9E6B0A"/>
    <w:rsid w:val="6DA74875"/>
    <w:rsid w:val="6EE113A4"/>
    <w:rsid w:val="6FD260B9"/>
    <w:rsid w:val="713D3157"/>
    <w:rsid w:val="72972E83"/>
    <w:rsid w:val="74D54F3C"/>
    <w:rsid w:val="78D216BD"/>
    <w:rsid w:val="7B005E40"/>
    <w:rsid w:val="7C1557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420" w:firstLineChars="200"/>
      <w:jc w:val="both"/>
    </w:pPr>
    <w:rPr>
      <w:rFonts w:ascii="仿宋_GB2312" w:hAnsi="仿宋_GB2312" w:eastAsia="仿宋_GB2312" w:cstheme="minorBidi"/>
      <w:kern w:val="2"/>
      <w:sz w:val="32"/>
      <w:szCs w:val="24"/>
      <w:lang w:val="en-US" w:eastAsia="zh-CN" w:bidi="ar-SA"/>
    </w:rPr>
  </w:style>
  <w:style w:type="paragraph" w:styleId="5">
    <w:name w:val="heading 1"/>
    <w:basedOn w:val="1"/>
    <w:next w:val="1"/>
    <w:qFormat/>
    <w:uiPriority w:val="0"/>
    <w:pPr>
      <w:keepNext/>
      <w:keepLines/>
      <w:numPr>
        <w:ilvl w:val="0"/>
        <w:numId w:val="1"/>
      </w:numPr>
      <w:ind w:firstLine="640"/>
      <w:outlineLvl w:val="0"/>
    </w:pPr>
    <w:rPr>
      <w:rFonts w:eastAsia="黑体"/>
      <w:b/>
      <w:kern w:val="44"/>
    </w:rPr>
  </w:style>
  <w:style w:type="paragraph" w:styleId="6">
    <w:name w:val="heading 2"/>
    <w:basedOn w:val="1"/>
    <w:next w:val="1"/>
    <w:link w:val="33"/>
    <w:unhideWhenUsed/>
    <w:qFormat/>
    <w:uiPriority w:val="0"/>
    <w:pPr>
      <w:keepNext/>
      <w:keepLines/>
      <w:numPr>
        <w:ilvl w:val="1"/>
        <w:numId w:val="1"/>
      </w:numPr>
      <w:tabs>
        <w:tab w:val="left" w:pos="0"/>
        <w:tab w:val="clear" w:pos="426"/>
      </w:tabs>
      <w:ind w:left="0" w:firstLine="640"/>
      <w:outlineLvl w:val="1"/>
    </w:pPr>
    <w:rPr>
      <w:rFonts w:ascii="Arial" w:hAnsi="Arial" w:eastAsia="楷体"/>
      <w:b/>
    </w:rPr>
  </w:style>
  <w:style w:type="paragraph" w:styleId="7">
    <w:name w:val="heading 3"/>
    <w:basedOn w:val="1"/>
    <w:next w:val="1"/>
    <w:unhideWhenUsed/>
    <w:qFormat/>
    <w:uiPriority w:val="0"/>
    <w:pPr>
      <w:numPr>
        <w:ilvl w:val="2"/>
        <w:numId w:val="1"/>
      </w:numPr>
      <w:ind w:firstLine="640"/>
      <w:jc w:val="left"/>
      <w:outlineLvl w:val="2"/>
    </w:pPr>
    <w:rPr>
      <w:rFonts w:hint="eastAsia" w:ascii="宋体" w:hAnsi="宋体" w:cs="Times New Roman"/>
      <w:b/>
      <w:bCs/>
      <w:kern w:val="0"/>
      <w:szCs w:val="27"/>
    </w:rPr>
  </w:style>
  <w:style w:type="paragraph" w:styleId="8">
    <w:name w:val="heading 4"/>
    <w:basedOn w:val="1"/>
    <w:next w:val="1"/>
    <w:unhideWhenUsed/>
    <w:qFormat/>
    <w:uiPriority w:val="0"/>
    <w:pPr>
      <w:keepNext/>
      <w:keepLines/>
      <w:numPr>
        <w:ilvl w:val="3"/>
        <w:numId w:val="1"/>
      </w:numPr>
      <w:ind w:firstLine="640"/>
      <w:outlineLvl w:val="3"/>
    </w:pPr>
    <w:rPr>
      <w:b/>
    </w:rPr>
  </w:style>
  <w:style w:type="paragraph" w:styleId="9">
    <w:name w:val="heading 5"/>
    <w:basedOn w:val="1"/>
    <w:next w:val="1"/>
    <w:semiHidden/>
    <w:unhideWhenUsed/>
    <w:qFormat/>
    <w:uiPriority w:val="0"/>
    <w:pPr>
      <w:keepNext/>
      <w:keepLines/>
      <w:numPr>
        <w:ilvl w:val="4"/>
        <w:numId w:val="1"/>
      </w:numPr>
      <w:spacing w:before="280" w:after="290" w:line="372" w:lineRule="auto"/>
      <w:ind w:firstLine="0" w:firstLineChars="0"/>
      <w:outlineLvl w:val="4"/>
    </w:pPr>
    <w:rPr>
      <w:b/>
      <w:sz w:val="28"/>
    </w:rPr>
  </w:style>
  <w:style w:type="paragraph" w:styleId="10">
    <w:name w:val="heading 6"/>
    <w:basedOn w:val="1"/>
    <w:next w:val="1"/>
    <w:semiHidden/>
    <w:unhideWhenUsed/>
    <w:qFormat/>
    <w:uiPriority w:val="0"/>
    <w:pPr>
      <w:keepNext/>
      <w:keepLines/>
      <w:numPr>
        <w:ilvl w:val="5"/>
        <w:numId w:val="1"/>
      </w:numPr>
      <w:spacing w:before="240" w:after="64" w:line="317" w:lineRule="auto"/>
      <w:ind w:firstLine="0" w:firstLineChars="0"/>
      <w:outlineLvl w:val="5"/>
    </w:pPr>
    <w:rPr>
      <w:rFonts w:ascii="Arial" w:hAnsi="Arial" w:eastAsia="黑体"/>
      <w:b/>
      <w:sz w:val="24"/>
    </w:rPr>
  </w:style>
  <w:style w:type="paragraph" w:styleId="11">
    <w:name w:val="heading 7"/>
    <w:basedOn w:val="1"/>
    <w:next w:val="1"/>
    <w:semiHidden/>
    <w:unhideWhenUsed/>
    <w:qFormat/>
    <w:uiPriority w:val="0"/>
    <w:pPr>
      <w:keepNext/>
      <w:keepLines/>
      <w:numPr>
        <w:ilvl w:val="6"/>
        <w:numId w:val="1"/>
      </w:numPr>
      <w:spacing w:before="240" w:after="64" w:line="317" w:lineRule="auto"/>
      <w:ind w:firstLine="0" w:firstLineChars="0"/>
      <w:outlineLvl w:val="6"/>
    </w:pPr>
    <w:rPr>
      <w:b/>
      <w:sz w:val="24"/>
    </w:rPr>
  </w:style>
  <w:style w:type="paragraph" w:styleId="12">
    <w:name w:val="heading 8"/>
    <w:basedOn w:val="1"/>
    <w:next w:val="1"/>
    <w:semiHidden/>
    <w:unhideWhenUsed/>
    <w:qFormat/>
    <w:uiPriority w:val="0"/>
    <w:pPr>
      <w:keepNext/>
      <w:keepLines/>
      <w:numPr>
        <w:ilvl w:val="7"/>
        <w:numId w:val="1"/>
      </w:numPr>
      <w:spacing w:before="240" w:after="64" w:line="317" w:lineRule="auto"/>
      <w:ind w:firstLine="0" w:firstLineChars="0"/>
      <w:outlineLvl w:val="7"/>
    </w:pPr>
    <w:rPr>
      <w:rFonts w:ascii="Arial" w:hAnsi="Arial" w:eastAsia="黑体"/>
      <w:sz w:val="24"/>
    </w:rPr>
  </w:style>
  <w:style w:type="paragraph" w:styleId="13">
    <w:name w:val="heading 9"/>
    <w:basedOn w:val="1"/>
    <w:next w:val="1"/>
    <w:semiHidden/>
    <w:unhideWhenUsed/>
    <w:qFormat/>
    <w:uiPriority w:val="0"/>
    <w:pPr>
      <w:keepNext/>
      <w:keepLines/>
      <w:numPr>
        <w:ilvl w:val="8"/>
        <w:numId w:val="1"/>
      </w:numPr>
      <w:spacing w:before="240" w:after="64" w:line="317" w:lineRule="auto"/>
      <w:ind w:firstLine="0" w:firstLineChars="0"/>
      <w:outlineLvl w:val="8"/>
    </w:pPr>
    <w:rPr>
      <w:rFonts w:ascii="Arial" w:hAnsi="Arial" w:eastAsia="黑体"/>
      <w:sz w:val="21"/>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style>
  <w:style w:type="paragraph" w:styleId="3">
    <w:name w:val="Body Text Indent"/>
    <w:basedOn w:val="1"/>
    <w:next w:val="4"/>
    <w:qFormat/>
    <w:uiPriority w:val="0"/>
    <w:pPr>
      <w:ind w:left="420" w:leftChars="200"/>
    </w:pPr>
    <w:rPr>
      <w:rFonts w:ascii="Times New Roman" w:hAnsi="Times New Roman" w:eastAsia="宋体" w:cs="Times New Roman"/>
    </w:rPr>
  </w:style>
  <w:style w:type="paragraph" w:styleId="4">
    <w:name w:val="Subtitle"/>
    <w:basedOn w:val="1"/>
    <w:next w:val="1"/>
    <w:qFormat/>
    <w:uiPriority w:val="0"/>
    <w:pPr>
      <w:spacing w:line="700" w:lineRule="exact"/>
      <w:jc w:val="center"/>
      <w:outlineLvl w:val="1"/>
    </w:pPr>
    <w:rPr>
      <w:rFonts w:ascii="Arial" w:hAnsi="Arial" w:eastAsia="方正小标宋简体" w:cs="Arial"/>
      <w:b/>
      <w:bCs/>
      <w:kern w:val="28"/>
      <w:sz w:val="44"/>
      <w:szCs w:val="44"/>
    </w:rPr>
  </w:style>
  <w:style w:type="paragraph" w:styleId="14">
    <w:name w:val="annotation text"/>
    <w:basedOn w:val="1"/>
    <w:link w:val="30"/>
    <w:qFormat/>
    <w:uiPriority w:val="0"/>
    <w:pPr>
      <w:jc w:val="left"/>
    </w:pPr>
  </w:style>
  <w:style w:type="paragraph" w:styleId="15">
    <w:name w:val="Balloon Text"/>
    <w:basedOn w:val="1"/>
    <w:link w:val="32"/>
    <w:qFormat/>
    <w:uiPriority w:val="0"/>
    <w:pPr>
      <w:spacing w:line="240" w:lineRule="auto"/>
    </w:pPr>
    <w:rPr>
      <w:sz w:val="18"/>
      <w:szCs w:val="18"/>
    </w:rPr>
  </w:style>
  <w:style w:type="paragraph" w:styleId="16">
    <w:name w:val="footer"/>
    <w:basedOn w:val="1"/>
    <w:qFormat/>
    <w:uiPriority w:val="0"/>
    <w:pPr>
      <w:tabs>
        <w:tab w:val="center" w:pos="4153"/>
        <w:tab w:val="right" w:pos="8306"/>
      </w:tabs>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pPr>
    <w:rPr>
      <w:sz w:val="18"/>
    </w:rPr>
  </w:style>
  <w:style w:type="paragraph" w:styleId="18">
    <w:name w:val="Normal (Web)"/>
    <w:basedOn w:val="1"/>
    <w:qFormat/>
    <w:uiPriority w:val="0"/>
    <w:pPr>
      <w:spacing w:beforeAutospacing="1" w:afterAutospacing="1"/>
      <w:jc w:val="left"/>
    </w:pPr>
    <w:rPr>
      <w:rFonts w:cs="Times New Roman"/>
      <w:kern w:val="0"/>
      <w:sz w:val="24"/>
    </w:rPr>
  </w:style>
  <w:style w:type="paragraph" w:styleId="19">
    <w:name w:val="annotation subject"/>
    <w:basedOn w:val="14"/>
    <w:next w:val="14"/>
    <w:link w:val="31"/>
    <w:qFormat/>
    <w:uiPriority w:val="0"/>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basedOn w:val="22"/>
    <w:qFormat/>
    <w:uiPriority w:val="0"/>
    <w:rPr>
      <w:b/>
    </w:rPr>
  </w:style>
  <w:style w:type="character" w:styleId="24">
    <w:name w:val="annotation reference"/>
    <w:basedOn w:val="22"/>
    <w:qFormat/>
    <w:uiPriority w:val="0"/>
    <w:rPr>
      <w:sz w:val="21"/>
      <w:szCs w:val="21"/>
    </w:rPr>
  </w:style>
  <w:style w:type="paragraph" w:customStyle="1" w:styleId="25">
    <w:name w:val="标题2"/>
    <w:basedOn w:val="6"/>
    <w:qFormat/>
    <w:uiPriority w:val="0"/>
    <w:pPr>
      <w:numPr>
        <w:ilvl w:val="0"/>
        <w:numId w:val="2"/>
      </w:numPr>
      <w:spacing w:before="120" w:after="120" w:line="500" w:lineRule="exact"/>
    </w:pPr>
    <w:rPr>
      <w:rFonts w:ascii="仿宋_GB2312" w:eastAsia="仿宋_GB2312"/>
    </w:rPr>
  </w:style>
  <w:style w:type="paragraph" w:customStyle="1" w:styleId="26">
    <w:name w:val="表格"/>
    <w:basedOn w:val="1"/>
    <w:qFormat/>
    <w:uiPriority w:val="0"/>
    <w:pPr>
      <w:spacing w:line="240" w:lineRule="auto"/>
      <w:ind w:firstLine="0" w:firstLineChars="0"/>
      <w:jc w:val="center"/>
    </w:pPr>
    <w:rPr>
      <w:rFonts w:ascii="Times New Roman" w:hAnsi="Times New Roman"/>
      <w:sz w:val="28"/>
    </w:rPr>
  </w:style>
  <w:style w:type="paragraph" w:customStyle="1" w:styleId="27">
    <w:name w:val="表头"/>
    <w:basedOn w:val="1"/>
    <w:qFormat/>
    <w:uiPriority w:val="0"/>
    <w:pPr>
      <w:ind w:firstLine="0" w:firstLineChars="0"/>
      <w:jc w:val="center"/>
    </w:pPr>
    <w:rPr>
      <w:rFonts w:hint="eastAsia"/>
      <w:b/>
      <w:lang w:val="zh-TW"/>
    </w:rPr>
  </w:style>
  <w:style w:type="character" w:customStyle="1" w:styleId="28">
    <w:name w:val="font61"/>
    <w:basedOn w:val="22"/>
    <w:qFormat/>
    <w:uiPriority w:val="0"/>
    <w:rPr>
      <w:rFonts w:ascii="方正黑体_GBK" w:hAnsi="方正黑体_GBK" w:eastAsia="方正黑体_GBK" w:cs="方正黑体_GBK"/>
      <w:color w:val="000000"/>
      <w:sz w:val="28"/>
      <w:szCs w:val="28"/>
      <w:u w:val="none"/>
    </w:rPr>
  </w:style>
  <w:style w:type="character" w:customStyle="1" w:styleId="29">
    <w:name w:val="font31"/>
    <w:basedOn w:val="22"/>
    <w:qFormat/>
    <w:uiPriority w:val="0"/>
    <w:rPr>
      <w:rFonts w:hint="default" w:ascii="Times New Roman" w:hAnsi="Times New Roman" w:cs="Times New Roman"/>
      <w:color w:val="000000"/>
      <w:sz w:val="28"/>
      <w:szCs w:val="28"/>
      <w:u w:val="none"/>
    </w:rPr>
  </w:style>
  <w:style w:type="character" w:customStyle="1" w:styleId="30">
    <w:name w:val="批注文字 Char"/>
    <w:basedOn w:val="22"/>
    <w:link w:val="14"/>
    <w:qFormat/>
    <w:uiPriority w:val="0"/>
    <w:rPr>
      <w:rFonts w:ascii="仿宋_GB2312" w:hAnsi="仿宋_GB2312" w:eastAsia="仿宋_GB2312" w:cstheme="minorBidi"/>
      <w:kern w:val="2"/>
      <w:sz w:val="32"/>
      <w:szCs w:val="24"/>
    </w:rPr>
  </w:style>
  <w:style w:type="character" w:customStyle="1" w:styleId="31">
    <w:name w:val="批注主题 Char"/>
    <w:basedOn w:val="30"/>
    <w:link w:val="19"/>
    <w:qFormat/>
    <w:uiPriority w:val="0"/>
    <w:rPr>
      <w:rFonts w:ascii="仿宋_GB2312" w:hAnsi="仿宋_GB2312" w:eastAsia="仿宋_GB2312" w:cstheme="minorBidi"/>
      <w:b/>
      <w:bCs/>
      <w:kern w:val="2"/>
      <w:sz w:val="32"/>
      <w:szCs w:val="24"/>
    </w:rPr>
  </w:style>
  <w:style w:type="character" w:customStyle="1" w:styleId="32">
    <w:name w:val="批注框文本 Char"/>
    <w:basedOn w:val="22"/>
    <w:link w:val="15"/>
    <w:qFormat/>
    <w:uiPriority w:val="0"/>
    <w:rPr>
      <w:rFonts w:ascii="仿宋_GB2312" w:hAnsi="仿宋_GB2312" w:eastAsia="仿宋_GB2312" w:cstheme="minorBidi"/>
      <w:kern w:val="2"/>
      <w:sz w:val="18"/>
      <w:szCs w:val="18"/>
    </w:rPr>
  </w:style>
  <w:style w:type="character" w:customStyle="1" w:styleId="33">
    <w:name w:val="标题 2 Char"/>
    <w:basedOn w:val="22"/>
    <w:link w:val="6"/>
    <w:qFormat/>
    <w:uiPriority w:val="0"/>
    <w:rPr>
      <w:rFonts w:ascii="Arial" w:hAnsi="Arial" w:eastAsia="楷体" w:cstheme="minorBidi"/>
      <w:b/>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4512</Words>
  <Characters>4905</Characters>
  <Lines>52</Lines>
  <Paragraphs>14</Paragraphs>
  <TotalTime>14</TotalTime>
  <ScaleCrop>false</ScaleCrop>
  <LinksUpToDate>false</LinksUpToDate>
  <CharactersWithSpaces>4905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2025-02-18T01:44:00Z</dcterms:created>
  <dc:creator>z</dc:creator>
  <cp:lastModifiedBy>。。。</cp:lastModifiedBy>
  <dcterms:modified xsi:type="dcterms:W3CDTF">2025-03-18T01:04:29Z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B00524F0982F4F3E9C23D6C6ECBF9054_13</vt:lpwstr>
  </property>
  <property fmtid="{D5CDD505-2E9C-101B-9397-08002B2CF9AE}" pid="4" name="KSOTemplateDocerSaveRecord">
    <vt:lpwstr>eyJoZGlkIjoiYjg3YjZkMDZiMTdkMmI2NjRlZDc4NzhjNTZmMTc0YzgiLCJ1c2VySWQiOiI0MDA1Mzk4NDcifQ==</vt:lpwstr>
  </property>
</Properties>
</file>