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5C46B56A">
      <w:pPr>
        <w:spacing w:line="560" w:lineRule="exact"/>
        <w:jc w:val="center"/>
        <w:rPr>
          <w:rFonts w:hint="eastAsia" w:ascii="宋体" w:hAnsi="宋体" w:cs="宋体"/>
          <w:b/>
          <w:bCs/>
          <w:sz w:val="44"/>
          <w:szCs w:val="44"/>
        </w:rPr>
      </w:pPr>
      <w:r>
        <w:rPr>
          <w:rFonts w:hint="eastAsia" w:ascii="宋体" w:hAnsi="宋体" w:cs="宋体"/>
          <w:b/>
          <w:bCs/>
          <w:sz w:val="44"/>
          <w:szCs w:val="44"/>
        </w:rPr>
        <w:t>石家庄市城市管理综合行政执法局部门</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贯彻落实市委市政府《关于全面落实预算绩效管理的实施意见》（石发﹝2019﹞8号）文件精神，遵循“科学性、规范性、客观性和公正性”的原则，对石家庄市城市管理综合行政执法</w:t>
      </w:r>
      <w:r>
        <w:rPr>
          <w:rFonts w:hint="eastAsia" w:ascii="仿宋" w:hAnsi="仿宋" w:eastAsia="仿宋"/>
          <w:sz w:val="32"/>
          <w:szCs w:val="32"/>
          <w:lang w:val="en-US" w:eastAsia="zh-CN"/>
        </w:rPr>
        <w:t>局</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CC1FD0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1.主要职能:</w:t>
      </w:r>
    </w:p>
    <w:p w14:paraId="0EC8994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（1）贯彻落实党中央、国务院和省委、省政府，市委</w:t>
      </w:r>
      <w:r>
        <w:rPr>
          <w:rFonts w:hint="eastAsia" w:ascii="仿宋" w:hAnsi="仿宋" w:eastAsia="仿宋"/>
          <w:sz w:val="32"/>
          <w:szCs w:val="32"/>
          <w:lang w:eastAsia="zh-CN"/>
        </w:rPr>
        <w:t>、</w:t>
      </w:r>
      <w:r>
        <w:rPr>
          <w:rFonts w:hint="eastAsia" w:ascii="仿宋" w:hAnsi="仿宋" w:eastAsia="仿宋"/>
          <w:sz w:val="32"/>
          <w:szCs w:val="32"/>
        </w:rPr>
        <w:t>市政府关于城市管理相关工作的方针政策和法律法规。起草有关地方性法规、政府规章草案和行业标准，拟订城市管理中长期发展规划和年度计划并组织实施。</w:t>
      </w:r>
    </w:p>
    <w:p w14:paraId="2362ED2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（2）负责编制道路、桥梁、排水、照明设施的改造</w:t>
      </w:r>
      <w:r>
        <w:rPr>
          <w:rFonts w:hint="eastAsia" w:ascii="仿宋" w:hAnsi="仿宋" w:eastAsia="仿宋"/>
          <w:sz w:val="32"/>
          <w:szCs w:val="32"/>
          <w:lang w:eastAsia="zh-CN"/>
        </w:rPr>
        <w:t>、</w:t>
      </w:r>
      <w:r>
        <w:rPr>
          <w:rFonts w:hint="eastAsia" w:ascii="仿宋" w:hAnsi="仿宋" w:eastAsia="仿宋"/>
          <w:sz w:val="32"/>
          <w:szCs w:val="32"/>
        </w:rPr>
        <w:t>整修计划并组织实施；负责城市排水管理工作及城市排水、中水的水质监测及监督管理；负责城市道路</w:t>
      </w:r>
      <w:r>
        <w:rPr>
          <w:rFonts w:hint="eastAsia" w:ascii="仿宋" w:hAnsi="仿宋" w:eastAsia="仿宋"/>
          <w:sz w:val="32"/>
          <w:szCs w:val="32"/>
          <w:lang w:eastAsia="zh-CN"/>
        </w:rPr>
        <w:t>、</w:t>
      </w:r>
      <w:r>
        <w:rPr>
          <w:rFonts w:hint="eastAsia" w:ascii="仿宋" w:hAnsi="仿宋" w:eastAsia="仿宋"/>
          <w:sz w:val="32"/>
          <w:szCs w:val="32"/>
        </w:rPr>
        <w:t>桥梁维护管理；负责城市夜景照明维护管理工作；负责组织、协调、管理城区市政设施改造工作</w:t>
      </w:r>
      <w:r>
        <w:rPr>
          <w:rFonts w:hint="eastAsia" w:ascii="仿宋" w:hAnsi="仿宋" w:eastAsia="仿宋"/>
          <w:sz w:val="32"/>
          <w:szCs w:val="32"/>
          <w:lang w:eastAsia="zh-CN"/>
        </w:rPr>
        <w:t>；</w:t>
      </w:r>
      <w:r>
        <w:rPr>
          <w:rFonts w:hint="eastAsia" w:ascii="仿宋" w:hAnsi="仿宋" w:eastAsia="仿宋"/>
          <w:sz w:val="32"/>
          <w:szCs w:val="32"/>
        </w:rPr>
        <w:t>负责工程质量监督检查</w:t>
      </w:r>
      <w:r>
        <w:rPr>
          <w:rFonts w:hint="eastAsia" w:ascii="仿宋" w:hAnsi="仿宋" w:eastAsia="仿宋"/>
          <w:sz w:val="32"/>
          <w:szCs w:val="32"/>
          <w:lang w:eastAsia="zh-CN"/>
        </w:rPr>
        <w:t>、</w:t>
      </w:r>
      <w:r>
        <w:rPr>
          <w:rFonts w:hint="eastAsia" w:ascii="仿宋" w:hAnsi="仿宋" w:eastAsia="仿宋"/>
          <w:sz w:val="32"/>
          <w:szCs w:val="32"/>
        </w:rPr>
        <w:t>安全监督检查</w:t>
      </w:r>
      <w:r>
        <w:rPr>
          <w:rFonts w:hint="eastAsia" w:ascii="仿宋" w:hAnsi="仿宋" w:eastAsia="仿宋"/>
          <w:sz w:val="32"/>
          <w:szCs w:val="32"/>
          <w:lang w:eastAsia="zh-CN"/>
        </w:rPr>
        <w:t>、</w:t>
      </w:r>
      <w:r>
        <w:rPr>
          <w:rFonts w:hint="eastAsia" w:ascii="仿宋" w:hAnsi="仿宋" w:eastAsia="仿宋"/>
          <w:sz w:val="32"/>
          <w:szCs w:val="32"/>
        </w:rPr>
        <w:t>验收和移交工作。</w:t>
      </w:r>
    </w:p>
    <w:p w14:paraId="51150CB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（3）负责制订城市市政基础设施日常管护作业标准和市容环境卫生质量标准并组织实施；负责对城市市政基础设施日常管护、市容环境卫生、行政执法等工作进行督导检查和考核评比</w:t>
      </w:r>
      <w:r>
        <w:rPr>
          <w:rFonts w:hint="eastAsia" w:ascii="仿宋" w:hAnsi="仿宋" w:eastAsia="仿宋"/>
          <w:sz w:val="32"/>
          <w:szCs w:val="32"/>
          <w:lang w:eastAsia="zh-CN"/>
        </w:rPr>
        <w:t>，</w:t>
      </w:r>
      <w:r>
        <w:rPr>
          <w:rFonts w:hint="eastAsia" w:ascii="仿宋" w:hAnsi="仿宋" w:eastAsia="仿宋"/>
          <w:sz w:val="32"/>
          <w:szCs w:val="32"/>
        </w:rPr>
        <w:t>拟订城市市政基础设施日常管护资金使用计划并监督管理和组织实施。</w:t>
      </w:r>
    </w:p>
    <w:p w14:paraId="4AE3641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（4）负责指导、协调、考核城市市政设施管理，市容环境卫生管理和城市管理综合执法工作；负责组织城市管理专项活动和重大执法活动。</w:t>
      </w:r>
    </w:p>
    <w:p w14:paraId="4068BCA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（5）负责城市供水、节水、污水处理工作。</w:t>
      </w:r>
    </w:p>
    <w:p w14:paraId="1A26CC9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（6）负责民心河河道管理工作。</w:t>
      </w:r>
    </w:p>
    <w:p w14:paraId="793D3DD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（7）负责城区防汛工作。研究部署城区防汛工作</w:t>
      </w:r>
      <w:r>
        <w:rPr>
          <w:rFonts w:hint="eastAsia" w:ascii="仿宋" w:hAnsi="仿宋" w:eastAsia="仿宋"/>
          <w:sz w:val="32"/>
          <w:szCs w:val="32"/>
          <w:lang w:eastAsia="zh-CN"/>
        </w:rPr>
        <w:t>、</w:t>
      </w:r>
      <w:r>
        <w:rPr>
          <w:rFonts w:hint="eastAsia" w:ascii="仿宋" w:hAnsi="仿宋" w:eastAsia="仿宋"/>
          <w:sz w:val="32"/>
          <w:szCs w:val="32"/>
        </w:rPr>
        <w:t>开展城区防汛宣传</w:t>
      </w:r>
      <w:r>
        <w:rPr>
          <w:rFonts w:hint="eastAsia" w:ascii="仿宋" w:hAnsi="仿宋" w:eastAsia="仿宋"/>
          <w:sz w:val="32"/>
          <w:szCs w:val="32"/>
          <w:lang w:eastAsia="zh-CN"/>
        </w:rPr>
        <w:t>、</w:t>
      </w:r>
      <w:r>
        <w:rPr>
          <w:rFonts w:hint="eastAsia" w:ascii="仿宋" w:hAnsi="仿宋" w:eastAsia="仿宋"/>
          <w:sz w:val="32"/>
          <w:szCs w:val="32"/>
        </w:rPr>
        <w:t>提高全社会的防洪减灾意识，会同有关部门做好城区自然灾害应急处置工作。承担城区防汛指挥部日常工作。</w:t>
      </w:r>
    </w:p>
    <w:p w14:paraId="27EB9B0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（8）负责城区沿街建筑物</w:t>
      </w:r>
      <w:r>
        <w:rPr>
          <w:rFonts w:hint="eastAsia" w:ascii="仿宋" w:hAnsi="仿宋" w:eastAsia="仿宋"/>
          <w:sz w:val="32"/>
          <w:szCs w:val="32"/>
          <w:lang w:eastAsia="zh-CN"/>
        </w:rPr>
        <w:t>、</w:t>
      </w:r>
      <w:r>
        <w:rPr>
          <w:rFonts w:hint="eastAsia" w:ascii="仿宋" w:hAnsi="仿宋" w:eastAsia="仿宋"/>
          <w:sz w:val="32"/>
          <w:szCs w:val="32"/>
        </w:rPr>
        <w:t>构筑物立面及门店的改造</w:t>
      </w:r>
      <w:r>
        <w:rPr>
          <w:rFonts w:hint="eastAsia" w:ascii="仿宋" w:hAnsi="仿宋" w:eastAsia="仿宋"/>
          <w:sz w:val="32"/>
          <w:szCs w:val="32"/>
          <w:lang w:eastAsia="zh-CN"/>
        </w:rPr>
        <w:t>、</w:t>
      </w:r>
      <w:r>
        <w:rPr>
          <w:rFonts w:hint="eastAsia" w:ascii="仿宋" w:hAnsi="仿宋" w:eastAsia="仿宋"/>
          <w:sz w:val="32"/>
          <w:szCs w:val="32"/>
        </w:rPr>
        <w:t>装饰装修</w:t>
      </w:r>
      <w:r>
        <w:rPr>
          <w:rFonts w:hint="eastAsia" w:ascii="仿宋" w:hAnsi="仿宋" w:eastAsia="仿宋"/>
          <w:sz w:val="32"/>
          <w:szCs w:val="32"/>
          <w:lang w:eastAsia="zh-CN"/>
        </w:rPr>
        <w:t>，</w:t>
      </w:r>
      <w:r>
        <w:rPr>
          <w:rFonts w:hint="eastAsia" w:ascii="仿宋" w:hAnsi="仿宋" w:eastAsia="仿宋"/>
          <w:sz w:val="32"/>
          <w:szCs w:val="32"/>
        </w:rPr>
        <w:t>沿街实体墙改造和沿街楼宇立面清洗保洁活动的监督管理</w:t>
      </w:r>
      <w:r>
        <w:rPr>
          <w:rFonts w:hint="eastAsia" w:ascii="仿宋" w:hAnsi="仿宋" w:eastAsia="仿宋"/>
          <w:sz w:val="32"/>
          <w:szCs w:val="32"/>
          <w:lang w:eastAsia="zh-CN"/>
        </w:rPr>
        <w:t>，</w:t>
      </w:r>
      <w:r>
        <w:rPr>
          <w:rFonts w:hint="eastAsia" w:ascii="仿宋" w:hAnsi="仿宋" w:eastAsia="仿宋"/>
          <w:sz w:val="32"/>
          <w:szCs w:val="32"/>
        </w:rPr>
        <w:t>参与楼宇、桥涵景观及夜景亮化工程的竣工验收；负责城市夜景、照明、户外广告以及门店牌匾设置的监督管理工作。</w:t>
      </w:r>
    </w:p>
    <w:p w14:paraId="359D507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（9）负责协调</w:t>
      </w:r>
      <w:r>
        <w:rPr>
          <w:rFonts w:hint="eastAsia" w:ascii="仿宋" w:hAnsi="仿宋" w:eastAsia="仿宋"/>
          <w:sz w:val="32"/>
          <w:szCs w:val="32"/>
          <w:lang w:eastAsia="zh-CN"/>
        </w:rPr>
        <w:t>、</w:t>
      </w:r>
      <w:r>
        <w:rPr>
          <w:rFonts w:hint="eastAsia" w:ascii="仿宋" w:hAnsi="仿宋" w:eastAsia="仿宋"/>
          <w:sz w:val="32"/>
          <w:szCs w:val="32"/>
        </w:rPr>
        <w:t>监督城区生活垃圾</w:t>
      </w:r>
      <w:r>
        <w:rPr>
          <w:rFonts w:hint="eastAsia" w:ascii="仿宋" w:hAnsi="仿宋" w:eastAsia="仿宋"/>
          <w:sz w:val="32"/>
          <w:szCs w:val="32"/>
          <w:lang w:eastAsia="zh-CN"/>
        </w:rPr>
        <w:t>、</w:t>
      </w:r>
      <w:r>
        <w:rPr>
          <w:rFonts w:hint="eastAsia" w:ascii="仿宋" w:hAnsi="仿宋" w:eastAsia="仿宋"/>
          <w:sz w:val="32"/>
          <w:szCs w:val="32"/>
        </w:rPr>
        <w:t>建筑垃圾</w:t>
      </w:r>
      <w:r>
        <w:rPr>
          <w:rFonts w:hint="eastAsia" w:ascii="仿宋" w:hAnsi="仿宋" w:eastAsia="仿宋"/>
          <w:sz w:val="32"/>
          <w:szCs w:val="32"/>
          <w:lang w:eastAsia="zh-CN"/>
        </w:rPr>
        <w:t>、</w:t>
      </w:r>
      <w:r>
        <w:rPr>
          <w:rFonts w:hint="eastAsia" w:ascii="仿宋" w:hAnsi="仿宋" w:eastAsia="仿宋"/>
          <w:sz w:val="32"/>
          <w:szCs w:val="32"/>
        </w:rPr>
        <w:t>餐厨垃圾、粪便垃圾、医疗废弃垃圾无害化处理工作；参与城市开发和城区改造中有关环卫设施配套项目建设竣工验收</w:t>
      </w:r>
      <w:r>
        <w:rPr>
          <w:rFonts w:hint="eastAsia" w:ascii="仿宋" w:hAnsi="仿宋" w:eastAsia="仿宋"/>
          <w:sz w:val="32"/>
          <w:szCs w:val="32"/>
          <w:lang w:eastAsia="zh-CN"/>
        </w:rPr>
        <w:t>，</w:t>
      </w:r>
      <w:r>
        <w:rPr>
          <w:rFonts w:hint="eastAsia" w:ascii="仿宋" w:hAnsi="仿宋" w:eastAsia="仿宋"/>
          <w:sz w:val="32"/>
          <w:szCs w:val="32"/>
        </w:rPr>
        <w:t>指导协调主城区环卫基础设施处理能力建设。</w:t>
      </w:r>
    </w:p>
    <w:p w14:paraId="571EC23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（10）负责全市供热</w:t>
      </w:r>
      <w:r>
        <w:rPr>
          <w:rFonts w:hint="eastAsia" w:ascii="仿宋" w:hAnsi="仿宋" w:eastAsia="仿宋"/>
          <w:sz w:val="32"/>
          <w:szCs w:val="32"/>
          <w:lang w:eastAsia="zh-CN"/>
        </w:rPr>
        <w:t>、</w:t>
      </w:r>
      <w:r>
        <w:rPr>
          <w:rFonts w:hint="eastAsia" w:ascii="仿宋" w:hAnsi="仿宋" w:eastAsia="仿宋"/>
          <w:sz w:val="32"/>
          <w:szCs w:val="32"/>
        </w:rPr>
        <w:t>燃气行业管理工作</w:t>
      </w:r>
      <w:r>
        <w:rPr>
          <w:rFonts w:hint="eastAsia" w:ascii="仿宋" w:hAnsi="仿宋" w:eastAsia="仿宋"/>
          <w:sz w:val="32"/>
          <w:szCs w:val="32"/>
          <w:lang w:eastAsia="zh-CN"/>
        </w:rPr>
        <w:t>，</w:t>
      </w:r>
      <w:r>
        <w:rPr>
          <w:rFonts w:hint="eastAsia" w:ascii="仿宋" w:hAnsi="仿宋" w:eastAsia="仿宋"/>
          <w:sz w:val="32"/>
          <w:szCs w:val="32"/>
        </w:rPr>
        <w:t>指导县（市</w:t>
      </w:r>
      <w:r>
        <w:rPr>
          <w:rFonts w:hint="eastAsia" w:ascii="仿宋" w:hAnsi="仿宋" w:eastAsia="仿宋"/>
          <w:sz w:val="32"/>
          <w:szCs w:val="32"/>
          <w:lang w:eastAsia="zh-CN"/>
        </w:rPr>
        <w:t>、</w:t>
      </w:r>
      <w:r>
        <w:rPr>
          <w:rFonts w:hint="eastAsia" w:ascii="仿宋" w:hAnsi="仿宋" w:eastAsia="仿宋"/>
          <w:sz w:val="32"/>
          <w:szCs w:val="32"/>
        </w:rPr>
        <w:t>区）供热、燃气管理工作。</w:t>
      </w:r>
    </w:p>
    <w:p w14:paraId="7A2C132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（11）负责指导各区城市便道非机动车停放工作。</w:t>
      </w:r>
    </w:p>
    <w:p w14:paraId="270C5C1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（12）负责机关和所属单位的安全生产综合监督管理工作。</w:t>
      </w:r>
    </w:p>
    <w:p w14:paraId="3BFD35E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（13）负责指导县（市</w:t>
      </w:r>
      <w:r>
        <w:rPr>
          <w:rFonts w:hint="eastAsia" w:ascii="仿宋" w:hAnsi="仿宋" w:eastAsia="仿宋"/>
          <w:sz w:val="32"/>
          <w:szCs w:val="32"/>
          <w:lang w:eastAsia="zh-CN"/>
        </w:rPr>
        <w:t>、</w:t>
      </w:r>
      <w:r>
        <w:rPr>
          <w:rFonts w:hint="eastAsia" w:ascii="仿宋" w:hAnsi="仿宋" w:eastAsia="仿宋"/>
          <w:sz w:val="32"/>
          <w:szCs w:val="32"/>
        </w:rPr>
        <w:t>区）城镇（县城城建界以内）容貌整治、环境卫生、市政基础设施日常管护、综合执法、垃圾处理、污水处理等工作。</w:t>
      </w:r>
    </w:p>
    <w:p w14:paraId="3D67C15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（14）会同有关部门，做好城市建设行业涉及本部门的相关专业规划的编制和实施工作。</w:t>
      </w:r>
    </w:p>
    <w:p w14:paraId="02676D2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（15）实施与以下范围内法律法规规章规定的行政处罚权有关的行政强制措施：市容环境卫生</w:t>
      </w:r>
      <w:r>
        <w:rPr>
          <w:rFonts w:hint="eastAsia" w:ascii="仿宋" w:hAnsi="仿宋" w:eastAsia="仿宋"/>
          <w:sz w:val="32"/>
          <w:szCs w:val="32"/>
          <w:lang w:eastAsia="zh-CN"/>
        </w:rPr>
        <w:t>、</w:t>
      </w:r>
      <w:r>
        <w:rPr>
          <w:rFonts w:hint="eastAsia" w:ascii="仿宋" w:hAnsi="仿宋" w:eastAsia="仿宋"/>
          <w:sz w:val="32"/>
          <w:szCs w:val="32"/>
        </w:rPr>
        <w:t>市政公用设施、园林绿化等方面法律、法规、规章规定的全部行政处罚权；住房和城乡建设、城乡规划方面法律、法规、规章规定的全部行政处罚权；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城市建成区专业市场外城市道路、绿地、公园、广场、街头空地等公共场所无照商贩经营</w:t>
      </w:r>
      <w:r>
        <w:rPr>
          <w:rFonts w:hint="eastAsia" w:ascii="仿宋" w:hAnsi="仿宋" w:eastAsia="仿宋"/>
          <w:sz w:val="32"/>
          <w:szCs w:val="32"/>
          <w:lang w:eastAsia="zh-CN"/>
        </w:rPr>
        <w:t>，</w:t>
      </w:r>
      <w:r>
        <w:rPr>
          <w:rFonts w:hint="eastAsia" w:ascii="仿宋" w:hAnsi="仿宋" w:eastAsia="仿宋"/>
          <w:sz w:val="32"/>
          <w:szCs w:val="32"/>
        </w:rPr>
        <w:t>违规设置户外广告等行为的行政处罚权；城市建成区内非机动车辆乱停乱放影响交通行为的行政处罚权；城市供水、节水、污水处理的行政处罚权，向城市河道倾倒废弃物、垃圾及违规取土、城市河道违法建筑物拆除等行政处罚权；城市建成区内户外公共场所食品销售和餐饮摊点无证经营，以及违法回收贩卖药品的行政处罚权。</w:t>
      </w:r>
    </w:p>
    <w:p w14:paraId="616B2B4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（16）负责城市管理综合行政执法监督工作，指导城市管理综合执法队伍规范执法、文明执法。研究拟订城市管理和综合执法资金计划；指导县（市、区）城管综合行政执法队伍正规化建设。</w:t>
      </w:r>
    </w:p>
    <w:p w14:paraId="4BF59E1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（17）完成市委、市政府交办的其他任务。</w:t>
      </w:r>
    </w:p>
    <w:p w14:paraId="726C973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机构情况:</w:t>
      </w:r>
    </w:p>
    <w:tbl>
      <w:tblPr>
        <w:tblStyle w:val="1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3668"/>
        <w:gridCol w:w="961"/>
        <w:gridCol w:w="1601"/>
        <w:gridCol w:w="2629"/>
      </w:tblGrid>
      <w:tr w14:paraId="7656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7032CC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单位名称</w:t>
            </w:r>
          </w:p>
        </w:tc>
        <w:tc>
          <w:tcPr>
            <w:tcW w:w="542" w:type="pct"/>
            <w:shd w:val="clear" w:color="auto" w:fill="auto"/>
            <w:vAlign w:val="center"/>
          </w:tcPr>
          <w:p w14:paraId="0E1F6E9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left"/>
              <w:textAlignment w:val="auto"/>
              <w:rPr>
                <w:rFonts w:hint="eastAsia" w:ascii="仿宋" w:hAnsi="仿宋" w:eastAsia="仿宋"/>
                <w:sz w:val="32"/>
                <w:szCs w:val="32"/>
              </w:rPr>
            </w:pPr>
            <w:r>
              <w:rPr>
                <w:rFonts w:hint="eastAsia" w:ascii="仿宋" w:hAnsi="仿宋" w:eastAsia="仿宋"/>
                <w:sz w:val="32"/>
                <w:szCs w:val="32"/>
              </w:rPr>
              <w:t>单位性质</w:t>
            </w:r>
          </w:p>
        </w:tc>
        <w:tc>
          <w:tcPr>
            <w:tcW w:w="903" w:type="pct"/>
            <w:shd w:val="clear" w:color="auto" w:fill="auto"/>
            <w:vAlign w:val="center"/>
          </w:tcPr>
          <w:p w14:paraId="0C2D338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单位规格</w:t>
            </w:r>
          </w:p>
        </w:tc>
        <w:tc>
          <w:tcPr>
            <w:tcW w:w="1483" w:type="pct"/>
            <w:shd w:val="clear" w:color="auto" w:fill="auto"/>
            <w:vAlign w:val="center"/>
          </w:tcPr>
          <w:p w14:paraId="6C8276E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经费保障形式</w:t>
            </w:r>
          </w:p>
        </w:tc>
      </w:tr>
      <w:tr w14:paraId="629D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8941A1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石家庄市城市管理综合行政执法局</w:t>
            </w:r>
          </w:p>
        </w:tc>
        <w:tc>
          <w:tcPr>
            <w:tcW w:w="542" w:type="pct"/>
            <w:shd w:val="clear" w:color="auto" w:fill="auto"/>
            <w:vAlign w:val="center"/>
          </w:tcPr>
          <w:p w14:paraId="6D18604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行政</w:t>
            </w:r>
          </w:p>
        </w:tc>
        <w:tc>
          <w:tcPr>
            <w:tcW w:w="903" w:type="pct"/>
            <w:shd w:val="clear" w:color="auto" w:fill="auto"/>
            <w:vAlign w:val="center"/>
          </w:tcPr>
          <w:p w14:paraId="4194EAC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56541F0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财政拨款</w:t>
            </w:r>
          </w:p>
        </w:tc>
      </w:tr>
      <w:tr w14:paraId="0290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43460D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石家庄市城市管理综合保障中心</w:t>
            </w:r>
          </w:p>
        </w:tc>
        <w:tc>
          <w:tcPr>
            <w:tcW w:w="542" w:type="pct"/>
            <w:shd w:val="clear" w:color="auto" w:fill="auto"/>
            <w:vAlign w:val="center"/>
          </w:tcPr>
          <w:p w14:paraId="2D44630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43981B4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4F5C3A1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225B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52531B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石家庄市市容管理考评中心</w:t>
            </w:r>
          </w:p>
        </w:tc>
        <w:tc>
          <w:tcPr>
            <w:tcW w:w="542" w:type="pct"/>
            <w:shd w:val="clear" w:color="auto" w:fill="auto"/>
            <w:vAlign w:val="center"/>
          </w:tcPr>
          <w:p w14:paraId="7A5E4EE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271FE97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59DD464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2404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3F617E4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石家庄市卫生垃圾太行填埋场</w:t>
            </w:r>
          </w:p>
        </w:tc>
        <w:tc>
          <w:tcPr>
            <w:tcW w:w="542" w:type="pct"/>
            <w:shd w:val="clear" w:color="auto" w:fill="auto"/>
            <w:vAlign w:val="center"/>
          </w:tcPr>
          <w:p w14:paraId="4DB3E66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15CA756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6963EDB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26BE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4731C8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石家庄市生活固体废弃物处置服务中心</w:t>
            </w:r>
          </w:p>
        </w:tc>
        <w:tc>
          <w:tcPr>
            <w:tcW w:w="542" w:type="pct"/>
            <w:shd w:val="clear" w:color="auto" w:fill="auto"/>
            <w:vAlign w:val="center"/>
          </w:tcPr>
          <w:p w14:paraId="1804E86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6CE5C92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15CAE15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43B5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21B404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石家庄市危险废弃物处置场</w:t>
            </w:r>
          </w:p>
        </w:tc>
        <w:tc>
          <w:tcPr>
            <w:tcW w:w="542" w:type="pct"/>
            <w:shd w:val="clear" w:color="auto" w:fill="auto"/>
            <w:vAlign w:val="center"/>
          </w:tcPr>
          <w:p w14:paraId="34DF157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27FEDEF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365E935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0427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101C93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石家庄市市容环卫服务中心</w:t>
            </w:r>
          </w:p>
        </w:tc>
        <w:tc>
          <w:tcPr>
            <w:tcW w:w="542" w:type="pct"/>
            <w:shd w:val="clear" w:color="auto" w:fill="auto"/>
            <w:vAlign w:val="center"/>
          </w:tcPr>
          <w:p w14:paraId="0D0DBF3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18CFE66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71465B2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786C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AD6A2A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石家庄市城市照明管护中心</w:t>
            </w:r>
          </w:p>
        </w:tc>
        <w:tc>
          <w:tcPr>
            <w:tcW w:w="542" w:type="pct"/>
            <w:shd w:val="clear" w:color="auto" w:fill="auto"/>
            <w:vAlign w:val="center"/>
          </w:tcPr>
          <w:p w14:paraId="3177437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1B27420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副处（县）级</w:t>
            </w:r>
          </w:p>
        </w:tc>
        <w:tc>
          <w:tcPr>
            <w:tcW w:w="1483" w:type="pct"/>
            <w:shd w:val="clear" w:color="auto" w:fill="auto"/>
            <w:vAlign w:val="center"/>
          </w:tcPr>
          <w:p w14:paraId="33F521F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财政性资金定额或定项补助</w:t>
            </w:r>
          </w:p>
        </w:tc>
      </w:tr>
      <w:tr w14:paraId="248D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045900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石家庄市二环路管护中心</w:t>
            </w:r>
          </w:p>
        </w:tc>
        <w:tc>
          <w:tcPr>
            <w:tcW w:w="542" w:type="pct"/>
            <w:shd w:val="clear" w:color="auto" w:fill="auto"/>
            <w:vAlign w:val="center"/>
          </w:tcPr>
          <w:p w14:paraId="046C587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0B8E2F2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30ED599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1CEE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AB0CA5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石家庄市环境卫生事务中心</w:t>
            </w:r>
          </w:p>
        </w:tc>
        <w:tc>
          <w:tcPr>
            <w:tcW w:w="542" w:type="pct"/>
            <w:shd w:val="clear" w:color="auto" w:fill="auto"/>
            <w:vAlign w:val="center"/>
          </w:tcPr>
          <w:p w14:paraId="1D362FA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654AF44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556CF08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3C71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BB2297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石家庄市道桥设施管护中心</w:t>
            </w:r>
          </w:p>
        </w:tc>
        <w:tc>
          <w:tcPr>
            <w:tcW w:w="542" w:type="pct"/>
            <w:shd w:val="clear" w:color="auto" w:fill="auto"/>
            <w:vAlign w:val="center"/>
          </w:tcPr>
          <w:p w14:paraId="17161EE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7688D3F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2CF36E4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454E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7882B9C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石家庄市市政建设服务中心</w:t>
            </w:r>
          </w:p>
        </w:tc>
        <w:tc>
          <w:tcPr>
            <w:tcW w:w="542" w:type="pct"/>
            <w:shd w:val="clear" w:color="auto" w:fill="auto"/>
            <w:vAlign w:val="center"/>
          </w:tcPr>
          <w:p w14:paraId="12421BD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39EBD68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副处（县）级</w:t>
            </w:r>
          </w:p>
        </w:tc>
        <w:tc>
          <w:tcPr>
            <w:tcW w:w="1483" w:type="pct"/>
            <w:shd w:val="clear" w:color="auto" w:fill="auto"/>
            <w:vAlign w:val="center"/>
          </w:tcPr>
          <w:p w14:paraId="0ADE51F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财政性资金定额或定项补助</w:t>
            </w:r>
          </w:p>
        </w:tc>
      </w:tr>
      <w:tr w14:paraId="176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B92F8E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石家庄市总退水渠管理所</w:t>
            </w:r>
          </w:p>
        </w:tc>
        <w:tc>
          <w:tcPr>
            <w:tcW w:w="542" w:type="pct"/>
            <w:shd w:val="clear" w:color="auto" w:fill="auto"/>
            <w:vAlign w:val="center"/>
          </w:tcPr>
          <w:p w14:paraId="17CD645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26E45E4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股级</w:t>
            </w:r>
          </w:p>
        </w:tc>
        <w:tc>
          <w:tcPr>
            <w:tcW w:w="1483" w:type="pct"/>
            <w:shd w:val="clear" w:color="auto" w:fill="auto"/>
            <w:vAlign w:val="center"/>
          </w:tcPr>
          <w:p w14:paraId="50EA4B1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财政性资金定额或定项补助</w:t>
            </w:r>
          </w:p>
        </w:tc>
      </w:tr>
      <w:tr w14:paraId="5D40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AB492C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石家庄市排水管护中心</w:t>
            </w:r>
          </w:p>
        </w:tc>
        <w:tc>
          <w:tcPr>
            <w:tcW w:w="542" w:type="pct"/>
            <w:shd w:val="clear" w:color="auto" w:fill="auto"/>
            <w:vAlign w:val="center"/>
          </w:tcPr>
          <w:p w14:paraId="61598A8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5B38749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正处（县）级</w:t>
            </w:r>
          </w:p>
        </w:tc>
        <w:tc>
          <w:tcPr>
            <w:tcW w:w="1483" w:type="pct"/>
            <w:shd w:val="clear" w:color="auto" w:fill="auto"/>
            <w:vAlign w:val="center"/>
          </w:tcPr>
          <w:p w14:paraId="38096A9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3258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7098CA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石家庄市城管便民服务中心</w:t>
            </w:r>
          </w:p>
        </w:tc>
        <w:tc>
          <w:tcPr>
            <w:tcW w:w="542" w:type="pct"/>
            <w:shd w:val="clear" w:color="auto" w:fill="auto"/>
            <w:vAlign w:val="center"/>
          </w:tcPr>
          <w:p w14:paraId="5B08F52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27448E8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4838247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6AA7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0EE96A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石家庄火车站站前地区管理委员会</w:t>
            </w:r>
          </w:p>
        </w:tc>
        <w:tc>
          <w:tcPr>
            <w:tcW w:w="542" w:type="pct"/>
            <w:shd w:val="clear" w:color="auto" w:fill="auto"/>
            <w:vAlign w:val="center"/>
          </w:tcPr>
          <w:p w14:paraId="4284135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行政</w:t>
            </w:r>
          </w:p>
        </w:tc>
        <w:tc>
          <w:tcPr>
            <w:tcW w:w="903" w:type="pct"/>
            <w:shd w:val="clear" w:color="auto" w:fill="auto"/>
            <w:vAlign w:val="center"/>
          </w:tcPr>
          <w:p w14:paraId="0B5A484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副处（县）级</w:t>
            </w:r>
          </w:p>
        </w:tc>
        <w:tc>
          <w:tcPr>
            <w:tcW w:w="1483" w:type="pct"/>
            <w:shd w:val="clear" w:color="auto" w:fill="auto"/>
            <w:vAlign w:val="center"/>
          </w:tcPr>
          <w:p w14:paraId="4FBDD91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财政拨款</w:t>
            </w:r>
          </w:p>
        </w:tc>
      </w:tr>
      <w:tr w14:paraId="0CE7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2B93BC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石家庄市燃气中心</w:t>
            </w:r>
          </w:p>
        </w:tc>
        <w:tc>
          <w:tcPr>
            <w:tcW w:w="542" w:type="pct"/>
            <w:shd w:val="clear" w:color="auto" w:fill="auto"/>
            <w:vAlign w:val="center"/>
          </w:tcPr>
          <w:p w14:paraId="18942A6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201EC2C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6C5BA62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r w14:paraId="24C7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626918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石家庄市供热管理中心</w:t>
            </w:r>
          </w:p>
        </w:tc>
        <w:tc>
          <w:tcPr>
            <w:tcW w:w="542" w:type="pct"/>
            <w:shd w:val="clear" w:color="auto" w:fill="auto"/>
            <w:vAlign w:val="center"/>
          </w:tcPr>
          <w:p w14:paraId="0AC8F72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事业</w:t>
            </w:r>
          </w:p>
        </w:tc>
        <w:tc>
          <w:tcPr>
            <w:tcW w:w="903" w:type="pct"/>
            <w:shd w:val="clear" w:color="auto" w:fill="auto"/>
            <w:vAlign w:val="center"/>
          </w:tcPr>
          <w:p w14:paraId="5B5B172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正科级</w:t>
            </w:r>
          </w:p>
        </w:tc>
        <w:tc>
          <w:tcPr>
            <w:tcW w:w="1483" w:type="pct"/>
            <w:shd w:val="clear" w:color="auto" w:fill="auto"/>
            <w:vAlign w:val="center"/>
          </w:tcPr>
          <w:p w14:paraId="7A12B81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textAlignment w:val="auto"/>
              <w:rPr>
                <w:rFonts w:hint="eastAsia" w:ascii="仿宋" w:hAnsi="仿宋" w:eastAsia="仿宋"/>
                <w:sz w:val="32"/>
                <w:szCs w:val="32"/>
              </w:rPr>
            </w:pPr>
            <w:r>
              <w:rPr>
                <w:rFonts w:hint="eastAsia" w:ascii="仿宋" w:hAnsi="仿宋" w:eastAsia="仿宋"/>
                <w:sz w:val="32"/>
                <w:szCs w:val="32"/>
              </w:rPr>
              <w:t>财政性资金基本保证</w:t>
            </w:r>
          </w:p>
        </w:tc>
      </w:tr>
    </w:tbl>
    <w:p w14:paraId="1E7F424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2.人员情况:</w:t>
      </w:r>
    </w:p>
    <w:p w14:paraId="4FCBDBDA">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我部门202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年末实有人数</w:t>
      </w:r>
      <w:r>
        <w:rPr>
          <w:rFonts w:hint="eastAsia" w:ascii="仿宋" w:hAnsi="仿宋" w:eastAsia="仿宋"/>
          <w:sz w:val="32"/>
          <w:szCs w:val="32"/>
          <w:highlight w:val="none"/>
          <w:lang w:val="en-US" w:eastAsia="zh-CN"/>
        </w:rPr>
        <w:t>1184</w:t>
      </w:r>
      <w:r>
        <w:rPr>
          <w:rFonts w:hint="eastAsia" w:ascii="仿宋" w:hAnsi="仿宋" w:eastAsia="仿宋"/>
          <w:sz w:val="32"/>
          <w:szCs w:val="32"/>
          <w:highlight w:val="none"/>
        </w:rPr>
        <w:t>人，其中在职人员118</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人。</w:t>
      </w:r>
    </w:p>
    <w:p w14:paraId="10FE5031">
      <w:pPr>
        <w:numPr>
          <w:ilvl w:val="0"/>
          <w:numId w:val="3"/>
        </w:num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资产情况：</w:t>
      </w:r>
    </w:p>
    <w:p w14:paraId="501E11BB">
      <w:pPr>
        <w:numPr>
          <w:ilvl w:val="0"/>
          <w:numId w:val="0"/>
        </w:num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b w:val="0"/>
          <w:bCs w:val="0"/>
          <w:sz w:val="32"/>
          <w:szCs w:val="32"/>
          <w:highlight w:val="none"/>
          <w:lang w:val="en-US" w:eastAsia="zh-CN"/>
        </w:rPr>
        <w:t>年末存量信息：</w:t>
      </w:r>
      <w:r>
        <w:rPr>
          <w:rFonts w:hint="eastAsia" w:ascii="仿宋" w:hAnsi="仿宋" w:eastAsia="仿宋"/>
          <w:sz w:val="32"/>
          <w:szCs w:val="32"/>
          <w:highlight w:val="none"/>
          <w:lang w:val="en-US" w:eastAsia="zh-CN"/>
        </w:rPr>
        <w:t>银行存款9922.07万元；房屋（平方米）数量58382.31平方米，金额7789.34万元；车辆（台、辆）数量218台，金额6049.51万元。</w:t>
      </w:r>
    </w:p>
    <w:p w14:paraId="21AC68A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A4AB89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1.收入支出</w:t>
      </w:r>
      <w:r>
        <w:rPr>
          <w:rFonts w:hint="eastAsia" w:ascii="仿宋" w:hAnsi="仿宋" w:eastAsia="仿宋"/>
          <w:sz w:val="32"/>
          <w:szCs w:val="32"/>
          <w:lang w:val="en-US" w:eastAsia="zh-CN"/>
        </w:rPr>
        <w:t>年初</w:t>
      </w:r>
      <w:r>
        <w:rPr>
          <w:rFonts w:hint="eastAsia" w:ascii="仿宋" w:hAnsi="仿宋" w:eastAsia="仿宋"/>
          <w:sz w:val="32"/>
          <w:szCs w:val="32"/>
        </w:rPr>
        <w:t>预算安排情况。</w:t>
      </w:r>
    </w:p>
    <w:p w14:paraId="715140C1">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本年</w:t>
      </w:r>
      <w:r>
        <w:rPr>
          <w:rFonts w:hint="eastAsia" w:ascii="仿宋" w:hAnsi="仿宋" w:eastAsia="仿宋"/>
          <w:sz w:val="32"/>
          <w:szCs w:val="32"/>
          <w:highlight w:val="none"/>
          <w:lang w:val="en-US" w:eastAsia="zh-CN"/>
        </w:rPr>
        <w:t>年初</w:t>
      </w:r>
      <w:r>
        <w:rPr>
          <w:rFonts w:hint="eastAsia" w:ascii="仿宋" w:hAnsi="仿宋" w:eastAsia="仿宋"/>
          <w:sz w:val="32"/>
          <w:szCs w:val="32"/>
          <w:highlight w:val="none"/>
        </w:rPr>
        <w:t>预算安排总收入</w:t>
      </w:r>
      <w:r>
        <w:rPr>
          <w:rFonts w:hint="eastAsia" w:ascii="仿宋" w:hAnsi="仿宋" w:eastAsia="仿宋"/>
          <w:sz w:val="32"/>
          <w:szCs w:val="32"/>
          <w:highlight w:val="none"/>
          <w:lang w:val="en-US" w:eastAsia="zh-CN"/>
        </w:rPr>
        <w:t>464271.92</w:t>
      </w:r>
      <w:r>
        <w:rPr>
          <w:rFonts w:hint="eastAsia" w:ascii="仿宋" w:hAnsi="仿宋" w:eastAsia="仿宋"/>
          <w:sz w:val="32"/>
          <w:szCs w:val="32"/>
          <w:highlight w:val="none"/>
        </w:rPr>
        <w:t>万元，其中一般公共预算财政拨款收入支出</w:t>
      </w:r>
      <w:r>
        <w:rPr>
          <w:rFonts w:hint="eastAsia" w:ascii="仿宋" w:hAnsi="仿宋" w:eastAsia="仿宋"/>
          <w:sz w:val="32"/>
          <w:szCs w:val="32"/>
          <w:highlight w:val="none"/>
          <w:lang w:val="en-US" w:eastAsia="zh-CN"/>
        </w:rPr>
        <w:t>377794.35</w:t>
      </w:r>
      <w:r>
        <w:rPr>
          <w:rFonts w:hint="eastAsia" w:ascii="仿宋" w:hAnsi="仿宋" w:eastAsia="仿宋"/>
          <w:sz w:val="32"/>
          <w:szCs w:val="32"/>
          <w:highlight w:val="none"/>
        </w:rPr>
        <w:t>万元，政府性基金预算财政拨款收入</w:t>
      </w:r>
      <w:r>
        <w:rPr>
          <w:rFonts w:hint="eastAsia" w:ascii="仿宋" w:hAnsi="仿宋" w:eastAsia="仿宋"/>
          <w:sz w:val="32"/>
          <w:szCs w:val="32"/>
          <w:highlight w:val="none"/>
          <w:lang w:val="en-US" w:eastAsia="zh-CN"/>
        </w:rPr>
        <w:t>72652.08</w:t>
      </w:r>
      <w:r>
        <w:rPr>
          <w:rFonts w:hint="eastAsia" w:ascii="仿宋" w:hAnsi="仿宋" w:eastAsia="仿宋"/>
          <w:sz w:val="32"/>
          <w:szCs w:val="32"/>
          <w:highlight w:val="none"/>
        </w:rPr>
        <w:t>万元，事业收入</w:t>
      </w:r>
      <w:r>
        <w:rPr>
          <w:rFonts w:hint="eastAsia" w:ascii="仿宋" w:hAnsi="仿宋" w:eastAsia="仿宋"/>
          <w:sz w:val="32"/>
          <w:szCs w:val="32"/>
          <w:highlight w:val="none"/>
          <w:lang w:val="en-US" w:eastAsia="zh-CN"/>
        </w:rPr>
        <w:t>1068.82</w:t>
      </w:r>
      <w:r>
        <w:rPr>
          <w:rFonts w:hint="eastAsia" w:ascii="仿宋" w:hAnsi="仿宋" w:eastAsia="仿宋"/>
          <w:sz w:val="32"/>
          <w:szCs w:val="32"/>
          <w:highlight w:val="none"/>
        </w:rPr>
        <w:t>万元</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上年结转12756.67万元，其中：</w:t>
      </w:r>
      <w:r>
        <w:rPr>
          <w:rFonts w:hint="eastAsia" w:ascii="仿宋" w:hAnsi="仿宋" w:eastAsia="仿宋"/>
          <w:sz w:val="32"/>
          <w:szCs w:val="32"/>
          <w:highlight w:val="none"/>
        </w:rPr>
        <w:t>一般公共预算拨款</w:t>
      </w:r>
      <w:r>
        <w:rPr>
          <w:rFonts w:hint="eastAsia" w:ascii="仿宋" w:hAnsi="仿宋" w:eastAsia="仿宋"/>
          <w:sz w:val="32"/>
          <w:szCs w:val="32"/>
          <w:highlight w:val="none"/>
          <w:lang w:val="en-US" w:eastAsia="zh-CN"/>
        </w:rPr>
        <w:t>296</w:t>
      </w:r>
      <w:r>
        <w:rPr>
          <w:rFonts w:hint="eastAsia" w:ascii="仿宋" w:hAnsi="仿宋" w:eastAsia="仿宋"/>
          <w:sz w:val="32"/>
          <w:szCs w:val="32"/>
          <w:highlight w:val="none"/>
        </w:rPr>
        <w:t>万元，基金预算拨款</w:t>
      </w:r>
      <w:r>
        <w:rPr>
          <w:rFonts w:hint="eastAsia" w:ascii="仿宋" w:hAnsi="仿宋" w:eastAsia="仿宋"/>
          <w:sz w:val="32"/>
          <w:szCs w:val="32"/>
          <w:highlight w:val="none"/>
          <w:lang w:val="en-US" w:eastAsia="zh-CN"/>
        </w:rPr>
        <w:t>12460.57</w:t>
      </w:r>
      <w:r>
        <w:rPr>
          <w:rFonts w:hint="eastAsia" w:ascii="仿宋" w:hAnsi="仿宋" w:eastAsia="仿宋"/>
          <w:sz w:val="32"/>
          <w:szCs w:val="32"/>
          <w:highlight w:val="none"/>
        </w:rPr>
        <w:t>万元。</w:t>
      </w:r>
    </w:p>
    <w:p w14:paraId="12DD0C52">
      <w:pPr>
        <w:adjustRightInd w:val="0"/>
        <w:snapToGrid w:val="0"/>
        <w:spacing w:line="560" w:lineRule="exact"/>
        <w:ind w:firstLine="640" w:firstLineChars="200"/>
        <w:rPr>
          <w:rFonts w:hint="eastAsia" w:ascii="仿宋" w:hAnsi="仿宋" w:eastAsia="仿宋"/>
          <w:sz w:val="32"/>
          <w:szCs w:val="32"/>
          <w:highlight w:val="yellow"/>
        </w:rPr>
      </w:pPr>
      <w:r>
        <w:rPr>
          <w:rFonts w:hint="eastAsia" w:ascii="仿宋" w:hAnsi="仿宋" w:eastAsia="仿宋"/>
          <w:sz w:val="32"/>
          <w:szCs w:val="32"/>
          <w:highlight w:val="none"/>
        </w:rPr>
        <w:t>本年</w:t>
      </w:r>
      <w:r>
        <w:rPr>
          <w:rFonts w:hint="eastAsia" w:ascii="仿宋" w:hAnsi="仿宋" w:eastAsia="仿宋"/>
          <w:sz w:val="32"/>
          <w:szCs w:val="32"/>
          <w:highlight w:val="none"/>
          <w:lang w:val="en-US" w:eastAsia="zh-CN"/>
        </w:rPr>
        <w:t>年初</w:t>
      </w:r>
      <w:r>
        <w:rPr>
          <w:rFonts w:hint="eastAsia" w:ascii="仿宋" w:hAnsi="仿宋" w:eastAsia="仿宋"/>
          <w:sz w:val="32"/>
          <w:szCs w:val="32"/>
          <w:highlight w:val="none"/>
        </w:rPr>
        <w:t>预算安排总支出</w:t>
      </w:r>
      <w:r>
        <w:rPr>
          <w:rFonts w:hint="eastAsia" w:ascii="仿宋" w:hAnsi="仿宋" w:eastAsia="仿宋"/>
          <w:sz w:val="32"/>
          <w:szCs w:val="32"/>
          <w:highlight w:val="none"/>
          <w:lang w:val="en-US" w:eastAsia="zh-CN"/>
        </w:rPr>
        <w:t>464271.92</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30994.14</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433277.78</w:t>
      </w:r>
      <w:r>
        <w:rPr>
          <w:rFonts w:hint="eastAsia" w:ascii="仿宋" w:hAnsi="仿宋" w:eastAsia="仿宋"/>
          <w:sz w:val="32"/>
          <w:szCs w:val="32"/>
          <w:highlight w:val="none"/>
        </w:rPr>
        <w:t>万元。</w:t>
      </w:r>
    </w:p>
    <w:p w14:paraId="39C6E5A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2.收入支出预算执行情况。</w:t>
      </w:r>
    </w:p>
    <w:p w14:paraId="1AD8589C">
      <w:pPr>
        <w:adjustRightInd w:val="0"/>
        <w:snapToGrid w:val="0"/>
        <w:spacing w:line="560" w:lineRule="exact"/>
        <w:ind w:firstLine="640" w:firstLineChars="200"/>
        <w:rPr>
          <w:rFonts w:hint="eastAsia" w:ascii="仿宋" w:hAnsi="仿宋" w:eastAsia="仿宋"/>
          <w:sz w:val="32"/>
          <w:szCs w:val="32"/>
          <w:highlight w:val="yellow"/>
        </w:rPr>
      </w:pPr>
      <w:r>
        <w:rPr>
          <w:rFonts w:hint="eastAsia" w:ascii="仿宋" w:hAnsi="仿宋" w:eastAsia="仿宋"/>
          <w:sz w:val="32"/>
          <w:szCs w:val="32"/>
        </w:rPr>
        <w:t>按照收入预算安排和调整预算，当年</w:t>
      </w:r>
      <w:r>
        <w:rPr>
          <w:rFonts w:hint="eastAsia" w:ascii="仿宋" w:hAnsi="仿宋" w:eastAsia="仿宋"/>
          <w:sz w:val="32"/>
          <w:szCs w:val="32"/>
          <w:lang w:val="en-US" w:eastAsia="zh-CN"/>
        </w:rPr>
        <w:t>预算</w:t>
      </w:r>
      <w:r>
        <w:rPr>
          <w:rFonts w:hint="eastAsia" w:ascii="仿宋" w:hAnsi="仿宋" w:eastAsia="仿宋"/>
          <w:sz w:val="32"/>
          <w:szCs w:val="32"/>
        </w:rPr>
        <w:t>总</w:t>
      </w:r>
      <w:r>
        <w:rPr>
          <w:rFonts w:hint="eastAsia" w:ascii="仿宋" w:hAnsi="仿宋" w:eastAsia="仿宋"/>
          <w:sz w:val="32"/>
          <w:szCs w:val="32"/>
          <w:highlight w:val="none"/>
        </w:rPr>
        <w:t>收入</w:t>
      </w:r>
      <w:r>
        <w:rPr>
          <w:rFonts w:hint="eastAsia" w:ascii="仿宋" w:hAnsi="仿宋" w:eastAsia="仿宋"/>
          <w:sz w:val="32"/>
          <w:szCs w:val="32"/>
          <w:highlight w:val="none"/>
          <w:lang w:val="en-US" w:eastAsia="zh-CN"/>
        </w:rPr>
        <w:t>567716.18</w:t>
      </w:r>
      <w:r>
        <w:rPr>
          <w:rFonts w:hint="eastAsia" w:ascii="仿宋" w:hAnsi="仿宋" w:eastAsia="仿宋"/>
          <w:sz w:val="32"/>
          <w:szCs w:val="32"/>
          <w:highlight w:val="none"/>
        </w:rPr>
        <w:t>万元，其中一般公共预算财政拨款收入支出</w:t>
      </w:r>
      <w:r>
        <w:rPr>
          <w:rFonts w:hint="eastAsia" w:ascii="仿宋" w:hAnsi="仿宋" w:eastAsia="仿宋"/>
          <w:sz w:val="32"/>
          <w:szCs w:val="32"/>
          <w:highlight w:val="none"/>
          <w:lang w:val="en-US" w:eastAsia="zh-CN"/>
        </w:rPr>
        <w:t>384302.75</w:t>
      </w:r>
      <w:r>
        <w:rPr>
          <w:rFonts w:hint="eastAsia" w:ascii="仿宋" w:hAnsi="仿宋" w:eastAsia="仿宋"/>
          <w:sz w:val="32"/>
          <w:szCs w:val="32"/>
          <w:highlight w:val="none"/>
        </w:rPr>
        <w:t>万元，政府性基金预算财政拨款收入</w:t>
      </w:r>
      <w:r>
        <w:rPr>
          <w:rFonts w:hint="eastAsia" w:ascii="仿宋" w:hAnsi="仿宋" w:eastAsia="仿宋"/>
          <w:sz w:val="32"/>
          <w:szCs w:val="32"/>
          <w:highlight w:val="none"/>
          <w:lang w:val="en-US" w:eastAsia="zh-CN"/>
        </w:rPr>
        <w:t>177097.29</w:t>
      </w:r>
      <w:r>
        <w:rPr>
          <w:rFonts w:hint="eastAsia" w:ascii="仿宋" w:hAnsi="仿宋" w:eastAsia="仿宋"/>
          <w:sz w:val="32"/>
          <w:szCs w:val="32"/>
          <w:highlight w:val="none"/>
        </w:rPr>
        <w:t>万元，事业收入</w:t>
      </w:r>
      <w:r>
        <w:rPr>
          <w:rFonts w:hint="eastAsia" w:ascii="仿宋" w:hAnsi="仿宋" w:eastAsia="仿宋"/>
          <w:sz w:val="32"/>
          <w:szCs w:val="32"/>
          <w:highlight w:val="none"/>
          <w:lang w:val="en-US" w:eastAsia="zh-CN"/>
        </w:rPr>
        <w:t>3100.76</w:t>
      </w:r>
      <w:r>
        <w:rPr>
          <w:rFonts w:hint="eastAsia" w:ascii="仿宋" w:hAnsi="仿宋" w:eastAsia="仿宋"/>
          <w:sz w:val="32"/>
          <w:szCs w:val="32"/>
          <w:highlight w:val="none"/>
        </w:rPr>
        <w:t>万元，</w:t>
      </w:r>
      <w:r>
        <w:rPr>
          <w:rFonts w:hint="eastAsia" w:ascii="仿宋" w:hAnsi="仿宋" w:eastAsia="仿宋"/>
          <w:sz w:val="32"/>
          <w:szCs w:val="32"/>
          <w:highlight w:val="none"/>
          <w:lang w:val="en-US" w:eastAsia="zh-CN"/>
        </w:rPr>
        <w:t>其他收入0.63万元，年初结转结余3214.76万元</w:t>
      </w:r>
      <w:r>
        <w:rPr>
          <w:rFonts w:hint="eastAsia" w:ascii="仿宋" w:hAnsi="仿宋" w:eastAsia="仿宋"/>
          <w:sz w:val="32"/>
          <w:szCs w:val="32"/>
          <w:highlight w:val="none"/>
        </w:rPr>
        <w:t>。收入比202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w:t>
      </w:r>
      <w:r>
        <w:rPr>
          <w:rFonts w:hint="eastAsia" w:ascii="仿宋" w:hAnsi="仿宋" w:eastAsia="仿宋"/>
          <w:sz w:val="32"/>
          <w:szCs w:val="32"/>
          <w:highlight w:val="none"/>
          <w:lang w:val="en-US" w:eastAsia="zh-CN"/>
        </w:rPr>
        <w:t>增加，</w:t>
      </w:r>
      <w:r>
        <w:rPr>
          <w:rFonts w:hint="eastAsia" w:ascii="仿宋" w:hAnsi="仿宋" w:eastAsia="仿宋"/>
          <w:sz w:val="32"/>
          <w:szCs w:val="32"/>
          <w:highlight w:val="none"/>
        </w:rPr>
        <w:t>主要是年初财政安排预算资金</w:t>
      </w:r>
      <w:r>
        <w:rPr>
          <w:rFonts w:hint="eastAsia" w:ascii="仿宋" w:hAnsi="仿宋" w:eastAsia="仿宋"/>
          <w:sz w:val="32"/>
          <w:szCs w:val="32"/>
          <w:highlight w:val="none"/>
          <w:lang w:val="en-US" w:eastAsia="zh-CN"/>
        </w:rPr>
        <w:t>国债项目资金</w:t>
      </w:r>
      <w:r>
        <w:rPr>
          <w:rFonts w:hint="eastAsia" w:ascii="仿宋" w:hAnsi="仿宋" w:eastAsia="仿宋"/>
          <w:sz w:val="32"/>
          <w:szCs w:val="32"/>
          <w:highlight w:val="none"/>
        </w:rPr>
        <w:t>。</w:t>
      </w:r>
    </w:p>
    <w:p w14:paraId="19C3D2B1">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按照支出预算安排和调整预算，当年预算执行总支出</w:t>
      </w:r>
      <w:r>
        <w:rPr>
          <w:rFonts w:hint="eastAsia" w:ascii="仿宋" w:hAnsi="仿宋" w:eastAsia="仿宋"/>
          <w:sz w:val="32"/>
          <w:szCs w:val="32"/>
          <w:highlight w:val="none"/>
          <w:lang w:val="en-US" w:eastAsia="zh-CN"/>
        </w:rPr>
        <w:t>567716.18</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31303.71</w:t>
      </w:r>
      <w:r>
        <w:rPr>
          <w:rFonts w:hint="eastAsia" w:ascii="仿宋" w:hAnsi="仿宋" w:eastAsia="仿宋"/>
          <w:sz w:val="32"/>
          <w:szCs w:val="32"/>
          <w:highlight w:val="none"/>
        </w:rPr>
        <w:t>万元(人员经费</w:t>
      </w:r>
      <w:r>
        <w:rPr>
          <w:rFonts w:hint="eastAsia" w:ascii="仿宋" w:hAnsi="仿宋" w:eastAsia="仿宋"/>
          <w:sz w:val="32"/>
          <w:szCs w:val="32"/>
          <w:highlight w:val="none"/>
          <w:lang w:val="en-US" w:eastAsia="zh-CN"/>
        </w:rPr>
        <w:t>29304.20</w:t>
      </w:r>
      <w:r>
        <w:rPr>
          <w:rFonts w:hint="eastAsia" w:ascii="仿宋" w:hAnsi="仿宋" w:eastAsia="仿宋"/>
          <w:sz w:val="32"/>
          <w:szCs w:val="32"/>
          <w:highlight w:val="none"/>
        </w:rPr>
        <w:t>万元，公用经费</w:t>
      </w:r>
      <w:r>
        <w:rPr>
          <w:rFonts w:hint="eastAsia" w:ascii="仿宋" w:hAnsi="仿宋" w:eastAsia="仿宋"/>
          <w:sz w:val="32"/>
          <w:szCs w:val="32"/>
          <w:highlight w:val="none"/>
          <w:lang w:val="en-US" w:eastAsia="zh-CN"/>
        </w:rPr>
        <w:t>1999.51</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536412.48</w:t>
      </w:r>
      <w:r>
        <w:rPr>
          <w:rFonts w:hint="eastAsia" w:ascii="仿宋" w:hAnsi="仿宋" w:eastAsia="仿宋"/>
          <w:sz w:val="32"/>
          <w:szCs w:val="32"/>
          <w:highlight w:val="none"/>
        </w:rPr>
        <w:t>万元。支出比202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w:t>
      </w:r>
      <w:r>
        <w:rPr>
          <w:rFonts w:hint="eastAsia" w:ascii="仿宋" w:hAnsi="仿宋" w:eastAsia="仿宋"/>
          <w:sz w:val="32"/>
          <w:szCs w:val="32"/>
          <w:highlight w:val="none"/>
          <w:lang w:val="en-US" w:eastAsia="zh-CN"/>
        </w:rPr>
        <w:t>增加</w:t>
      </w:r>
      <w:r>
        <w:rPr>
          <w:rFonts w:hint="eastAsia" w:ascii="仿宋" w:hAnsi="仿宋" w:eastAsia="仿宋"/>
          <w:sz w:val="32"/>
          <w:szCs w:val="32"/>
          <w:highlight w:val="none"/>
        </w:rPr>
        <w:t>，主要是年初财政安排预算</w:t>
      </w:r>
      <w:r>
        <w:rPr>
          <w:rFonts w:hint="eastAsia" w:ascii="仿宋" w:hAnsi="仿宋" w:eastAsia="仿宋"/>
          <w:sz w:val="32"/>
          <w:szCs w:val="32"/>
          <w:highlight w:val="none"/>
          <w:lang w:val="en-US" w:eastAsia="zh-CN"/>
        </w:rPr>
        <w:t>国债项目</w:t>
      </w:r>
      <w:r>
        <w:rPr>
          <w:rFonts w:hint="eastAsia" w:ascii="仿宋" w:hAnsi="仿宋" w:eastAsia="仿宋"/>
          <w:sz w:val="32"/>
          <w:szCs w:val="32"/>
          <w:highlight w:val="none"/>
        </w:rPr>
        <w:t>资金。</w:t>
      </w:r>
    </w:p>
    <w:p w14:paraId="515D0A11">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收入支出</w:t>
      </w:r>
      <w:r>
        <w:rPr>
          <w:rFonts w:hint="eastAsia" w:ascii="仿宋" w:hAnsi="仿宋" w:eastAsia="仿宋"/>
          <w:sz w:val="32"/>
          <w:szCs w:val="32"/>
          <w:highlight w:val="none"/>
          <w:lang w:val="en-US" w:eastAsia="zh-CN"/>
        </w:rPr>
        <w:t>决算</w:t>
      </w:r>
      <w:r>
        <w:rPr>
          <w:rFonts w:hint="eastAsia" w:ascii="仿宋" w:hAnsi="仿宋" w:eastAsia="仿宋"/>
          <w:sz w:val="32"/>
          <w:szCs w:val="32"/>
        </w:rPr>
        <w:t>执行情况。</w:t>
      </w:r>
    </w:p>
    <w:p w14:paraId="3D85F01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lang w:val="en-US" w:eastAsia="zh-CN"/>
        </w:rPr>
        <w:t>本</w:t>
      </w:r>
      <w:r>
        <w:rPr>
          <w:rFonts w:hint="eastAsia" w:ascii="仿宋" w:hAnsi="仿宋" w:eastAsia="仿宋"/>
          <w:sz w:val="32"/>
          <w:szCs w:val="32"/>
        </w:rPr>
        <w:t>年</w:t>
      </w:r>
      <w:r>
        <w:rPr>
          <w:rFonts w:hint="eastAsia" w:ascii="仿宋" w:hAnsi="仿宋" w:eastAsia="仿宋"/>
          <w:sz w:val="32"/>
          <w:szCs w:val="32"/>
          <w:lang w:val="en-US" w:eastAsia="zh-CN"/>
        </w:rPr>
        <w:t>决算</w:t>
      </w:r>
      <w:r>
        <w:rPr>
          <w:rFonts w:hint="eastAsia" w:ascii="仿宋" w:hAnsi="仿宋" w:eastAsia="仿宋"/>
          <w:sz w:val="32"/>
          <w:szCs w:val="32"/>
        </w:rPr>
        <w:t>总</w:t>
      </w:r>
      <w:r>
        <w:rPr>
          <w:rFonts w:hint="eastAsia" w:ascii="仿宋" w:hAnsi="仿宋" w:eastAsia="仿宋"/>
          <w:sz w:val="32"/>
          <w:szCs w:val="32"/>
          <w:highlight w:val="none"/>
        </w:rPr>
        <w:t>收入</w:t>
      </w:r>
      <w:r>
        <w:rPr>
          <w:rFonts w:hint="eastAsia" w:ascii="仿宋" w:hAnsi="仿宋" w:eastAsia="仿宋"/>
          <w:sz w:val="32"/>
          <w:szCs w:val="32"/>
          <w:highlight w:val="none"/>
          <w:lang w:val="en-US" w:eastAsia="zh-CN"/>
        </w:rPr>
        <w:t>436318.50</w:t>
      </w:r>
      <w:r>
        <w:rPr>
          <w:rFonts w:hint="eastAsia" w:ascii="仿宋" w:hAnsi="仿宋" w:eastAsia="仿宋"/>
          <w:sz w:val="32"/>
          <w:szCs w:val="32"/>
          <w:highlight w:val="none"/>
        </w:rPr>
        <w:t>万元，其中一般公共预算财政拨款收入支出</w:t>
      </w:r>
      <w:r>
        <w:rPr>
          <w:rFonts w:hint="eastAsia" w:ascii="仿宋" w:hAnsi="仿宋" w:eastAsia="仿宋"/>
          <w:sz w:val="32"/>
          <w:szCs w:val="32"/>
          <w:highlight w:val="none"/>
          <w:lang w:val="en-US" w:eastAsia="zh-CN"/>
        </w:rPr>
        <w:t>276987.56</w:t>
      </w:r>
      <w:r>
        <w:rPr>
          <w:rFonts w:hint="eastAsia" w:ascii="仿宋" w:hAnsi="仿宋" w:eastAsia="仿宋"/>
          <w:sz w:val="32"/>
          <w:szCs w:val="32"/>
          <w:highlight w:val="none"/>
        </w:rPr>
        <w:t>万元，政府性基金预算财政拨款收入</w:t>
      </w:r>
      <w:r>
        <w:rPr>
          <w:rFonts w:hint="eastAsia" w:ascii="仿宋" w:hAnsi="仿宋" w:eastAsia="仿宋"/>
          <w:sz w:val="32"/>
          <w:szCs w:val="32"/>
          <w:highlight w:val="none"/>
          <w:lang w:val="en-US" w:eastAsia="zh-CN"/>
        </w:rPr>
        <w:t>155279.33</w:t>
      </w:r>
      <w:r>
        <w:rPr>
          <w:rFonts w:hint="eastAsia" w:ascii="仿宋" w:hAnsi="仿宋" w:eastAsia="仿宋"/>
          <w:sz w:val="32"/>
          <w:szCs w:val="32"/>
          <w:highlight w:val="none"/>
        </w:rPr>
        <w:t>万元，事业收入</w:t>
      </w:r>
      <w:r>
        <w:rPr>
          <w:rFonts w:hint="eastAsia" w:ascii="仿宋" w:hAnsi="仿宋" w:eastAsia="仿宋"/>
          <w:sz w:val="32"/>
          <w:szCs w:val="32"/>
          <w:highlight w:val="none"/>
          <w:lang w:val="en-US" w:eastAsia="zh-CN"/>
        </w:rPr>
        <w:t>836.23</w:t>
      </w:r>
      <w:r>
        <w:rPr>
          <w:rFonts w:hint="eastAsia" w:ascii="仿宋" w:hAnsi="仿宋" w:eastAsia="仿宋"/>
          <w:sz w:val="32"/>
          <w:szCs w:val="32"/>
          <w:highlight w:val="none"/>
        </w:rPr>
        <w:t>万元，</w:t>
      </w:r>
      <w:r>
        <w:rPr>
          <w:rFonts w:hint="eastAsia" w:ascii="仿宋" w:hAnsi="仿宋" w:eastAsia="仿宋"/>
          <w:sz w:val="32"/>
          <w:szCs w:val="32"/>
          <w:highlight w:val="none"/>
          <w:lang w:val="en-US" w:eastAsia="zh-CN"/>
        </w:rPr>
        <w:t>其他收入0.63万元，年初结转结余3214.76</w:t>
      </w:r>
      <w:r>
        <w:rPr>
          <w:rFonts w:hint="eastAsia" w:ascii="仿宋" w:hAnsi="仿宋" w:eastAsia="仿宋"/>
          <w:sz w:val="32"/>
          <w:szCs w:val="32"/>
          <w:highlight w:val="none"/>
        </w:rPr>
        <w:t>万元。</w:t>
      </w:r>
      <w:r>
        <w:rPr>
          <w:rFonts w:hint="eastAsia" w:ascii="仿宋" w:hAnsi="仿宋" w:eastAsia="仿宋"/>
          <w:sz w:val="32"/>
          <w:szCs w:val="32"/>
          <w:highlight w:val="none"/>
          <w:lang w:val="en-US" w:eastAsia="zh-CN"/>
        </w:rPr>
        <w:t xml:space="preserve">  </w:t>
      </w:r>
    </w:p>
    <w:p w14:paraId="3B79086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w:t>
      </w:r>
      <w:r>
        <w:rPr>
          <w:rFonts w:hint="eastAsia" w:ascii="仿宋" w:hAnsi="仿宋" w:eastAsia="仿宋"/>
          <w:sz w:val="32"/>
          <w:szCs w:val="32"/>
          <w:highlight w:val="none"/>
        </w:rPr>
        <w:t>年</w:t>
      </w:r>
      <w:r>
        <w:rPr>
          <w:rFonts w:hint="eastAsia" w:ascii="仿宋" w:hAnsi="仿宋" w:eastAsia="仿宋"/>
          <w:sz w:val="32"/>
          <w:szCs w:val="32"/>
          <w:highlight w:val="none"/>
          <w:lang w:val="en-US" w:eastAsia="zh-CN"/>
        </w:rPr>
        <w:t>决</w:t>
      </w:r>
      <w:r>
        <w:rPr>
          <w:rFonts w:hint="eastAsia" w:ascii="仿宋" w:hAnsi="仿宋" w:eastAsia="仿宋"/>
          <w:sz w:val="32"/>
          <w:szCs w:val="32"/>
          <w:highlight w:val="none"/>
        </w:rPr>
        <w:t>算执行总支出</w:t>
      </w:r>
      <w:r>
        <w:rPr>
          <w:rFonts w:hint="eastAsia" w:ascii="仿宋" w:hAnsi="仿宋" w:eastAsia="仿宋"/>
          <w:sz w:val="32"/>
          <w:szCs w:val="32"/>
          <w:highlight w:val="none"/>
          <w:lang w:val="en-US" w:eastAsia="zh-CN"/>
        </w:rPr>
        <w:t>436318.50</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30337.06</w:t>
      </w:r>
      <w:r>
        <w:rPr>
          <w:rFonts w:hint="eastAsia" w:ascii="仿宋" w:hAnsi="仿宋" w:eastAsia="仿宋"/>
          <w:sz w:val="32"/>
          <w:szCs w:val="32"/>
          <w:highlight w:val="none"/>
        </w:rPr>
        <w:t>万元(人员经费</w:t>
      </w:r>
      <w:r>
        <w:rPr>
          <w:rFonts w:hint="eastAsia" w:ascii="仿宋" w:hAnsi="仿宋" w:eastAsia="仿宋"/>
          <w:sz w:val="32"/>
          <w:szCs w:val="32"/>
          <w:highlight w:val="none"/>
          <w:lang w:val="en-US" w:eastAsia="zh-CN"/>
        </w:rPr>
        <w:t>28424.84</w:t>
      </w:r>
      <w:r>
        <w:rPr>
          <w:rFonts w:hint="eastAsia" w:ascii="仿宋" w:hAnsi="仿宋" w:eastAsia="仿宋"/>
          <w:sz w:val="32"/>
          <w:szCs w:val="32"/>
          <w:highlight w:val="none"/>
        </w:rPr>
        <w:t>万元，公用经费</w:t>
      </w:r>
      <w:r>
        <w:rPr>
          <w:rFonts w:hint="eastAsia" w:ascii="仿宋" w:hAnsi="仿宋" w:eastAsia="仿宋"/>
          <w:sz w:val="32"/>
          <w:szCs w:val="32"/>
          <w:highlight w:val="none"/>
          <w:lang w:val="en-US" w:eastAsia="zh-CN"/>
        </w:rPr>
        <w:t>1912.22</w:t>
      </w:r>
      <w:r>
        <w:rPr>
          <w:rFonts w:hint="eastAsia" w:ascii="仿宋" w:hAnsi="仿宋" w:eastAsia="仿宋"/>
          <w:sz w:val="32"/>
          <w:szCs w:val="32"/>
          <w:highlight w:val="none"/>
        </w:rPr>
        <w:t>万元)，项目支出</w:t>
      </w:r>
      <w:r>
        <w:rPr>
          <w:rFonts w:hint="eastAsia" w:ascii="仿宋" w:hAnsi="仿宋" w:eastAsia="仿宋"/>
          <w:sz w:val="32"/>
          <w:szCs w:val="32"/>
          <w:highlight w:val="none"/>
          <w:lang w:val="en-US" w:eastAsia="zh-CN"/>
        </w:rPr>
        <w:t>402729.79</w:t>
      </w:r>
      <w:r>
        <w:rPr>
          <w:rFonts w:hint="eastAsia" w:ascii="仿宋" w:hAnsi="仿宋" w:eastAsia="仿宋"/>
          <w:sz w:val="32"/>
          <w:szCs w:val="32"/>
          <w:highlight w:val="none"/>
        </w:rPr>
        <w:t>万元</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年初结转结余3251.65</w:t>
      </w:r>
      <w:r>
        <w:rPr>
          <w:rFonts w:hint="eastAsia" w:ascii="仿宋" w:hAnsi="仿宋" w:eastAsia="仿宋"/>
          <w:sz w:val="32"/>
          <w:szCs w:val="32"/>
          <w:highlight w:val="none"/>
        </w:rPr>
        <w:t>万元。</w:t>
      </w:r>
      <w:r>
        <w:rPr>
          <w:rFonts w:hint="eastAsia" w:ascii="仿宋" w:hAnsi="仿宋" w:eastAsia="仿宋"/>
          <w:sz w:val="32"/>
          <w:szCs w:val="32"/>
          <w:highlight w:val="none"/>
          <w:lang w:val="en-US" w:eastAsia="zh-CN"/>
        </w:rPr>
        <w:t xml:space="preserve"> </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D107739">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rPr>
        <w:t>1.</w:t>
      </w:r>
      <w:r>
        <w:rPr>
          <w:rFonts w:hint="eastAsia" w:ascii="仿宋" w:hAnsi="仿宋" w:eastAsia="仿宋"/>
          <w:sz w:val="32"/>
          <w:szCs w:val="32"/>
          <w:highlight w:val="none"/>
        </w:rPr>
        <w:t>市容环卫做优做亮。市区建成区道路机械化清扫率达到90%以上，县城道路达到85%以上；城乡结合部、背街小巷干净整洁，卫生死角</w:t>
      </w:r>
      <w:r>
        <w:rPr>
          <w:rFonts w:hint="eastAsia" w:ascii="仿宋" w:hAnsi="仿宋" w:eastAsia="仿宋"/>
          <w:sz w:val="32"/>
          <w:szCs w:val="32"/>
          <w:highlight w:val="none"/>
          <w:lang w:val="en-US" w:eastAsia="zh-CN"/>
        </w:rPr>
        <w:t>全</w:t>
      </w:r>
      <w:r>
        <w:rPr>
          <w:rFonts w:hint="eastAsia" w:ascii="仿宋" w:hAnsi="仿宋" w:eastAsia="仿宋"/>
          <w:sz w:val="32"/>
          <w:szCs w:val="32"/>
          <w:highlight w:val="none"/>
        </w:rPr>
        <w:t>面消除；生活垃圾分类深入推进，居民知晓率达到90%以上，回收利用率达到35%以上，垃圾无害化处理率100%；完成美丽街区、精品街道创建20个以上，实现市容管理精细化、规范化、长效化。</w:t>
      </w:r>
    </w:p>
    <w:p w14:paraId="1D89B49A">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rPr>
        <w:t>2.</w:t>
      </w:r>
      <w:r>
        <w:rPr>
          <w:rFonts w:hint="eastAsia" w:ascii="仿宋" w:hAnsi="仿宋" w:eastAsia="仿宋"/>
          <w:sz w:val="32"/>
          <w:szCs w:val="32"/>
          <w:highlight w:val="none"/>
        </w:rPr>
        <w:t>市政设施维护提标提档。道桥设施完好率95%以上，主次干道亮灯率99%</w:t>
      </w:r>
      <w:r>
        <w:rPr>
          <w:rFonts w:hint="eastAsia" w:ascii="仿宋" w:hAnsi="仿宋" w:eastAsia="仿宋"/>
          <w:sz w:val="32"/>
          <w:szCs w:val="32"/>
          <w:highlight w:val="none"/>
          <w:lang w:eastAsia="zh-CN"/>
        </w:rPr>
        <w:t>，</w:t>
      </w:r>
      <w:r>
        <w:rPr>
          <w:rFonts w:hint="eastAsia" w:ascii="仿宋" w:hAnsi="仿宋" w:eastAsia="仿宋"/>
          <w:sz w:val="32"/>
          <w:szCs w:val="32"/>
          <w:highlight w:val="none"/>
        </w:rPr>
        <w:t>民心河水清河畅</w:t>
      </w:r>
      <w:r>
        <w:rPr>
          <w:rFonts w:hint="eastAsia" w:ascii="仿宋" w:hAnsi="仿宋" w:eastAsia="仿宋"/>
          <w:sz w:val="32"/>
          <w:szCs w:val="32"/>
          <w:highlight w:val="none"/>
          <w:lang w:eastAsia="zh-CN"/>
        </w:rPr>
        <w:t>；</w:t>
      </w:r>
      <w:r>
        <w:rPr>
          <w:rFonts w:hint="eastAsia" w:ascii="仿宋" w:hAnsi="仿宋" w:eastAsia="仿宋"/>
          <w:sz w:val="32"/>
          <w:szCs w:val="32"/>
          <w:highlight w:val="none"/>
        </w:rPr>
        <w:t>水、暖、气等民生保障坚强有力，主城区完成供水、供热、燃气老旧管网改造120公里以上，公共供水普及率95%以上，燃气普及率97%以上，清洁能源供热率100%；主城区生活污水集中收集率不低于90%，县城不低于75%；全市污泥无害化处置率90%以上，再生水利用率30%以上。</w:t>
      </w:r>
    </w:p>
    <w:p w14:paraId="67893D67">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lang w:val="en-US" w:eastAsia="zh-CN"/>
        </w:rPr>
        <w:t>3.</w:t>
      </w:r>
      <w:r>
        <w:rPr>
          <w:rFonts w:hint="eastAsia" w:ascii="仿宋" w:hAnsi="仿宋" w:eastAsia="仿宋"/>
          <w:sz w:val="32"/>
          <w:szCs w:val="32"/>
          <w:highlight w:val="none"/>
        </w:rPr>
        <w:t>城管执法服务水平提升。执法查处处罚力度加大，执法效果日益明显，层级执法监督得到强化；智慧城管深化建设，治理体系不断完善；城管文化凝聚人心，党的建设持续加强；城管队伍执政能力、执法水平、文明素质、工作作风显著提升，塑造一流队伍形象。</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D754534">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评价资料收集</w:t>
      </w:r>
    </w:p>
    <w:p w14:paraId="1FD14F95">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数据来源</w:t>
      </w:r>
    </w:p>
    <w:p w14:paraId="23539726">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财务数据：包括部门年度预算、决算报表、基本支出与项目支出明细、资金执行率等财务资料。</w:t>
      </w:r>
    </w:p>
    <w:p w14:paraId="46B65934">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业务数据：涉及市容管理、市政维护、执法专项等项目的实施进度、目标完成情况、满意度调查等。</w:t>
      </w:r>
    </w:p>
    <w:p w14:paraId="62E33190">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制度文件：参考《中华人民共和国政府信息公开条例》《预算绩效管理办法》等政策文件，结合部门制定的《财务管理制度》等内部规范。</w:t>
      </w:r>
    </w:p>
    <w:p w14:paraId="3AB3BD82">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收集方式</w:t>
      </w:r>
    </w:p>
    <w:p w14:paraId="1B018E47">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通过部门内部财务系统、业务台账、第三方审计报告等获取结构化数据。</w:t>
      </w:r>
    </w:p>
    <w:p w14:paraId="19F3FC84">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采用问卷调查、实地访谈等方式收集公众对城市管理服务的满意度及意见。</w:t>
      </w:r>
    </w:p>
    <w:p w14:paraId="004A6900">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评价过程</w:t>
      </w:r>
    </w:p>
    <w:p w14:paraId="6A1BB743">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指标体系构建</w:t>
      </w:r>
    </w:p>
    <w:p w14:paraId="5C42A257">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依据财政部门要求，围绕“预算编制-执行-产出-效益”逻辑链设计评价指标，涵盖经济性、效率性、效果性、可持续性等维度。</w:t>
      </w:r>
    </w:p>
    <w:p w14:paraId="6231829A">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数据核实与分析</w:t>
      </w:r>
    </w:p>
    <w:p w14:paraId="5725A777">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对财务数据进行账表一致性核查，确保资金使用合规</w:t>
      </w:r>
      <w:r>
        <w:rPr>
          <w:rFonts w:hint="eastAsia" w:ascii="仿宋" w:hAnsi="仿宋" w:eastAsia="仿宋"/>
          <w:sz w:val="32"/>
          <w:szCs w:val="32"/>
          <w:highlight w:val="none"/>
          <w:lang w:eastAsia="zh-CN"/>
        </w:rPr>
        <w:t>，</w:t>
      </w:r>
      <w:r>
        <w:rPr>
          <w:rFonts w:hint="eastAsia" w:ascii="仿宋" w:hAnsi="仿宋" w:eastAsia="仿宋"/>
          <w:sz w:val="32"/>
          <w:szCs w:val="32"/>
          <w:highlight w:val="none"/>
        </w:rPr>
        <w:t>通过业务数据交叉比对验证项目实际成效。</w:t>
      </w:r>
    </w:p>
    <w:p w14:paraId="2F4ACFA2">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结合专家评审意见，对绩效目标的合理性、完成度进行综合评分。</w:t>
      </w:r>
    </w:p>
    <w:p w14:paraId="54624DCD">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问题诊断与改进建议</w:t>
      </w:r>
    </w:p>
    <w:p w14:paraId="7C29BBD8">
      <w:pPr>
        <w:shd w:val="clear" w:fill="FFFFFF" w:themeFill="background1"/>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发现部分部门存在绩效目标量化不足、预算执行偏差等问题，并提出加强目标管理、优化资金分配等建议。</w:t>
      </w:r>
    </w:p>
    <w:p w14:paraId="0F0CBBBD">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3.</w:t>
      </w:r>
      <w:r>
        <w:rPr>
          <w:rFonts w:hint="eastAsia" w:ascii="仿宋" w:hAnsi="仿宋" w:eastAsia="仿宋"/>
          <w:sz w:val="32"/>
          <w:szCs w:val="32"/>
          <w:highlight w:val="none"/>
        </w:rPr>
        <w:t>评价工作管理组织</w:t>
      </w:r>
    </w:p>
    <w:p w14:paraId="02CE2355">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rPr>
        <w:t>根据《石家庄市</w:t>
      </w:r>
      <w:r>
        <w:rPr>
          <w:rFonts w:hint="eastAsia" w:ascii="仿宋" w:hAnsi="仿宋" w:eastAsia="仿宋"/>
          <w:sz w:val="32"/>
          <w:szCs w:val="32"/>
          <w:highlight w:val="none"/>
        </w:rPr>
        <w:t>财政局关于开展202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年绩效自评核查工作的通知》（石财监〔202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〕2号）文件要求，202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年对我部门</w:t>
      </w:r>
      <w:r>
        <w:rPr>
          <w:rFonts w:hint="eastAsia" w:ascii="仿宋" w:hAnsi="仿宋" w:eastAsia="仿宋"/>
          <w:sz w:val="32"/>
          <w:szCs w:val="32"/>
          <w:highlight w:val="none"/>
          <w:lang w:val="en-US" w:eastAsia="zh-CN"/>
        </w:rPr>
        <w:t>2024</w:t>
      </w:r>
      <w:r>
        <w:rPr>
          <w:rFonts w:hint="eastAsia" w:ascii="仿宋" w:hAnsi="仿宋" w:eastAsia="仿宋"/>
          <w:sz w:val="32"/>
          <w:szCs w:val="32"/>
          <w:highlight w:val="none"/>
        </w:rPr>
        <w:t>年项目预算中</w:t>
      </w:r>
      <w:r>
        <w:rPr>
          <w:rFonts w:hint="eastAsia" w:ascii="仿宋" w:hAnsi="仿宋" w:eastAsia="仿宋"/>
          <w:sz w:val="32"/>
          <w:szCs w:val="32"/>
          <w:highlight w:val="none"/>
          <w:lang w:val="en-US" w:eastAsia="zh-CN"/>
        </w:rPr>
        <w:t>204</w:t>
      </w:r>
      <w:r>
        <w:rPr>
          <w:rFonts w:hint="eastAsia" w:ascii="仿宋" w:hAnsi="仿宋" w:eastAsia="仿宋"/>
          <w:sz w:val="32"/>
          <w:szCs w:val="32"/>
          <w:highlight w:val="none"/>
        </w:rPr>
        <w:t>个项目进行绩效自评，其中石家庄市城市管理综合行政执法局本级项目数</w:t>
      </w:r>
      <w:r>
        <w:rPr>
          <w:rFonts w:hint="eastAsia" w:ascii="仿宋" w:hAnsi="仿宋" w:eastAsia="仿宋"/>
          <w:sz w:val="32"/>
          <w:szCs w:val="32"/>
          <w:highlight w:val="none"/>
          <w:lang w:val="en-US" w:eastAsia="zh-CN"/>
        </w:rPr>
        <w:t>65</w:t>
      </w:r>
      <w:r>
        <w:rPr>
          <w:rFonts w:hint="eastAsia" w:ascii="仿宋" w:hAnsi="仿宋" w:eastAsia="仿宋"/>
          <w:sz w:val="32"/>
          <w:szCs w:val="32"/>
          <w:highlight w:val="none"/>
        </w:rPr>
        <w:t>个（含重点项目</w:t>
      </w:r>
      <w:r>
        <w:rPr>
          <w:rFonts w:hint="eastAsia" w:ascii="仿宋" w:hAnsi="仿宋" w:eastAsia="仿宋"/>
          <w:sz w:val="32"/>
          <w:szCs w:val="32"/>
          <w:highlight w:val="none"/>
          <w:lang w:val="en-US" w:eastAsia="zh-CN"/>
        </w:rPr>
        <w:t>17</w:t>
      </w:r>
      <w:r>
        <w:rPr>
          <w:rFonts w:hint="eastAsia" w:ascii="仿宋" w:hAnsi="仿宋" w:eastAsia="仿宋"/>
          <w:sz w:val="32"/>
          <w:szCs w:val="32"/>
          <w:highlight w:val="none"/>
        </w:rPr>
        <w:t>个</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其中5个为专项债项目上年结转资金，2024年10月经市人大批准，项目资金调整至其他项目使用，预算调整数均为0</w:t>
      </w:r>
      <w:r>
        <w:rPr>
          <w:rFonts w:hint="eastAsia" w:ascii="仿宋" w:hAnsi="仿宋" w:eastAsia="仿宋"/>
          <w:sz w:val="32"/>
          <w:szCs w:val="32"/>
          <w:highlight w:val="none"/>
        </w:rPr>
        <w:t>）；石家庄市城市管理综合保障中心项目数</w:t>
      </w:r>
      <w:r>
        <w:rPr>
          <w:rFonts w:hint="eastAsia" w:ascii="仿宋" w:hAnsi="仿宋" w:eastAsia="仿宋"/>
          <w:sz w:val="32"/>
          <w:szCs w:val="32"/>
          <w:highlight w:val="none"/>
          <w:lang w:val="en-US" w:eastAsia="zh-CN"/>
        </w:rPr>
        <w:t>6</w:t>
      </w:r>
      <w:r>
        <w:rPr>
          <w:rFonts w:hint="eastAsia" w:ascii="仿宋" w:hAnsi="仿宋" w:eastAsia="仿宋"/>
          <w:sz w:val="32"/>
          <w:szCs w:val="32"/>
          <w:highlight w:val="none"/>
        </w:rPr>
        <w:t>个；石家庄市市容管理考评中心项目数6个</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含重点项目2个）</w:t>
      </w:r>
      <w:r>
        <w:rPr>
          <w:rFonts w:hint="eastAsia" w:ascii="仿宋" w:hAnsi="仿宋" w:eastAsia="仿宋"/>
          <w:sz w:val="32"/>
          <w:szCs w:val="32"/>
          <w:highlight w:val="none"/>
        </w:rPr>
        <w:t>；石家庄市卫生垃圾太行填埋场项目数</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个；石家庄市生活固体废弃物处置服务中心3个;石家庄市危险废弃物处置场项目数3个；石家庄市市容环卫服务中心项目数</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个；石家庄市城市照明管护中心项目数</w:t>
      </w:r>
      <w:r>
        <w:rPr>
          <w:rFonts w:hint="eastAsia" w:ascii="仿宋" w:hAnsi="仿宋" w:eastAsia="仿宋"/>
          <w:sz w:val="32"/>
          <w:szCs w:val="32"/>
          <w:highlight w:val="none"/>
          <w:lang w:val="en-US" w:eastAsia="zh-CN"/>
        </w:rPr>
        <w:t>8</w:t>
      </w:r>
      <w:r>
        <w:rPr>
          <w:rFonts w:hint="eastAsia" w:ascii="仿宋" w:hAnsi="仿宋" w:eastAsia="仿宋"/>
          <w:sz w:val="32"/>
          <w:szCs w:val="32"/>
          <w:highlight w:val="none"/>
        </w:rPr>
        <w:t>个</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含重</w:t>
      </w:r>
      <w:bookmarkStart w:id="3" w:name="_GoBack"/>
      <w:bookmarkEnd w:id="3"/>
      <w:r>
        <w:rPr>
          <w:rFonts w:hint="eastAsia" w:ascii="仿宋" w:hAnsi="仿宋" w:eastAsia="仿宋"/>
          <w:sz w:val="32"/>
          <w:szCs w:val="32"/>
          <w:highlight w:val="none"/>
          <w:lang w:val="en-US" w:eastAsia="zh-CN"/>
        </w:rPr>
        <w:t>点项目1个）</w:t>
      </w:r>
      <w:r>
        <w:rPr>
          <w:rFonts w:hint="eastAsia" w:ascii="仿宋" w:hAnsi="仿宋" w:eastAsia="仿宋"/>
          <w:sz w:val="32"/>
          <w:szCs w:val="32"/>
          <w:highlight w:val="none"/>
        </w:rPr>
        <w:t>；石家庄市二环路管护中心项目数</w:t>
      </w:r>
      <w:r>
        <w:rPr>
          <w:rFonts w:hint="eastAsia" w:ascii="仿宋" w:hAnsi="仿宋" w:eastAsia="仿宋"/>
          <w:sz w:val="32"/>
          <w:szCs w:val="32"/>
          <w:highlight w:val="none"/>
          <w:lang w:val="en-US" w:eastAsia="zh-CN"/>
        </w:rPr>
        <w:t>10</w:t>
      </w:r>
      <w:r>
        <w:rPr>
          <w:rFonts w:hint="eastAsia" w:ascii="仿宋" w:hAnsi="仿宋" w:eastAsia="仿宋"/>
          <w:sz w:val="32"/>
          <w:szCs w:val="32"/>
          <w:highlight w:val="none"/>
        </w:rPr>
        <w:t>个</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含重点项目1个）</w:t>
      </w:r>
      <w:r>
        <w:rPr>
          <w:rFonts w:hint="eastAsia" w:ascii="仿宋" w:hAnsi="仿宋" w:eastAsia="仿宋"/>
          <w:sz w:val="32"/>
          <w:szCs w:val="32"/>
          <w:highlight w:val="none"/>
        </w:rPr>
        <w:t>；石家庄市环境卫生事务中心项目数</w:t>
      </w:r>
      <w:r>
        <w:rPr>
          <w:rFonts w:hint="eastAsia" w:ascii="仿宋" w:hAnsi="仿宋" w:eastAsia="仿宋"/>
          <w:sz w:val="32"/>
          <w:szCs w:val="32"/>
          <w:highlight w:val="none"/>
          <w:lang w:val="en-US" w:eastAsia="zh-CN"/>
        </w:rPr>
        <w:t>15</w:t>
      </w:r>
      <w:r>
        <w:rPr>
          <w:rFonts w:hint="eastAsia" w:ascii="仿宋" w:hAnsi="仿宋" w:eastAsia="仿宋"/>
          <w:sz w:val="32"/>
          <w:szCs w:val="32"/>
          <w:highlight w:val="none"/>
        </w:rPr>
        <w:t>个（含重点项目</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个）；石家庄市道桥设施管护中心项目数1</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个（含重点项目</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个）；石家庄市市政建设服务中心项目数</w:t>
      </w:r>
      <w:r>
        <w:rPr>
          <w:rFonts w:hint="eastAsia" w:ascii="仿宋" w:hAnsi="仿宋" w:eastAsia="仿宋"/>
          <w:sz w:val="32"/>
          <w:szCs w:val="32"/>
          <w:highlight w:val="none"/>
          <w:lang w:val="en-US" w:eastAsia="zh-CN"/>
        </w:rPr>
        <w:t>7</w:t>
      </w:r>
      <w:r>
        <w:rPr>
          <w:rFonts w:hint="eastAsia" w:ascii="仿宋" w:hAnsi="仿宋" w:eastAsia="仿宋"/>
          <w:sz w:val="32"/>
          <w:szCs w:val="32"/>
          <w:highlight w:val="none"/>
        </w:rPr>
        <w:t>个；石家庄市总退水渠管理所项目数1个；石家庄市排水管护中心项目数</w:t>
      </w:r>
      <w:r>
        <w:rPr>
          <w:rFonts w:hint="eastAsia" w:ascii="仿宋" w:hAnsi="仿宋" w:eastAsia="仿宋"/>
          <w:sz w:val="32"/>
          <w:szCs w:val="32"/>
          <w:highlight w:val="none"/>
          <w:lang w:val="en-US" w:eastAsia="zh-CN"/>
        </w:rPr>
        <w:t>23</w:t>
      </w:r>
      <w:r>
        <w:rPr>
          <w:rFonts w:hint="eastAsia" w:ascii="仿宋" w:hAnsi="仿宋" w:eastAsia="仿宋"/>
          <w:sz w:val="32"/>
          <w:szCs w:val="32"/>
          <w:highlight w:val="none"/>
        </w:rPr>
        <w:t>个（含重点项目</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个）；石家庄市城管便民服务中心项目数</w:t>
      </w:r>
      <w:r>
        <w:rPr>
          <w:rFonts w:hint="eastAsia" w:ascii="仿宋" w:hAnsi="仿宋" w:eastAsia="仿宋"/>
          <w:sz w:val="32"/>
          <w:szCs w:val="32"/>
          <w:highlight w:val="none"/>
          <w:lang w:val="en-US" w:eastAsia="zh-CN"/>
        </w:rPr>
        <w:t>7</w:t>
      </w:r>
      <w:r>
        <w:rPr>
          <w:rFonts w:hint="eastAsia" w:ascii="仿宋" w:hAnsi="仿宋" w:eastAsia="仿宋"/>
          <w:sz w:val="32"/>
          <w:szCs w:val="32"/>
          <w:highlight w:val="none"/>
        </w:rPr>
        <w:t>个；石家庄火车站站前地区管理委员会项目数</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个（含重点项目</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个）；石家庄市燃气中心项目数</w:t>
      </w:r>
      <w:r>
        <w:rPr>
          <w:rFonts w:hint="eastAsia" w:ascii="仿宋" w:hAnsi="仿宋" w:eastAsia="仿宋"/>
          <w:sz w:val="32"/>
          <w:szCs w:val="32"/>
          <w:highlight w:val="none"/>
          <w:lang w:val="en-US" w:eastAsia="zh-CN"/>
        </w:rPr>
        <w:t>8</w:t>
      </w:r>
      <w:r>
        <w:rPr>
          <w:rFonts w:hint="eastAsia" w:ascii="仿宋" w:hAnsi="仿宋" w:eastAsia="仿宋"/>
          <w:sz w:val="32"/>
          <w:szCs w:val="32"/>
          <w:highlight w:val="none"/>
        </w:rPr>
        <w:t>个；石家庄市供热事务中心项目数</w:t>
      </w:r>
      <w:r>
        <w:rPr>
          <w:rFonts w:hint="eastAsia" w:ascii="仿宋" w:hAnsi="仿宋" w:eastAsia="仿宋"/>
          <w:sz w:val="32"/>
          <w:szCs w:val="32"/>
          <w:highlight w:val="none"/>
          <w:lang w:val="en-US" w:eastAsia="zh-CN"/>
        </w:rPr>
        <w:t>13</w:t>
      </w:r>
      <w:r>
        <w:rPr>
          <w:rFonts w:hint="eastAsia" w:ascii="仿宋" w:hAnsi="仿宋" w:eastAsia="仿宋"/>
          <w:sz w:val="32"/>
          <w:szCs w:val="32"/>
          <w:highlight w:val="none"/>
        </w:rPr>
        <w:t>个</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含重点项目1个）</w:t>
      </w:r>
      <w:r>
        <w:rPr>
          <w:rFonts w:hint="eastAsia" w:ascii="仿宋" w:hAnsi="仿宋" w:eastAsia="仿宋"/>
          <w:sz w:val="32"/>
          <w:szCs w:val="32"/>
          <w:highlight w:val="none"/>
        </w:rPr>
        <w:t>。</w:t>
      </w:r>
    </w:p>
    <w:p w14:paraId="58ECCBB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为做好部门自评工作，对202</w:t>
      </w:r>
      <w:r>
        <w:rPr>
          <w:rFonts w:hint="eastAsia" w:ascii="仿宋" w:hAnsi="仿宋" w:eastAsia="仿宋"/>
          <w:sz w:val="32"/>
          <w:szCs w:val="32"/>
          <w:lang w:val="en-US" w:eastAsia="zh-CN"/>
        </w:rPr>
        <w:t>4</w:t>
      </w:r>
      <w:r>
        <w:rPr>
          <w:rFonts w:hint="eastAsia" w:ascii="仿宋" w:hAnsi="仿宋" w:eastAsia="仿宋"/>
          <w:sz w:val="32"/>
          <w:szCs w:val="32"/>
        </w:rPr>
        <w:t>年绩效自评工作进行布置</w:t>
      </w:r>
      <w:r>
        <w:rPr>
          <w:rFonts w:hint="eastAsia" w:ascii="仿宋" w:hAnsi="仿宋" w:eastAsia="仿宋"/>
          <w:sz w:val="32"/>
          <w:szCs w:val="32"/>
          <w:lang w:eastAsia="zh-CN"/>
        </w:rPr>
        <w:t>、</w:t>
      </w:r>
      <w:r>
        <w:rPr>
          <w:rFonts w:hint="eastAsia" w:ascii="仿宋" w:hAnsi="仿宋" w:eastAsia="仿宋"/>
          <w:sz w:val="32"/>
          <w:szCs w:val="32"/>
        </w:rPr>
        <w:t>提出要求</w:t>
      </w:r>
      <w:r>
        <w:rPr>
          <w:rFonts w:hint="eastAsia" w:ascii="仿宋" w:hAnsi="仿宋" w:eastAsia="仿宋"/>
          <w:sz w:val="32"/>
          <w:szCs w:val="32"/>
          <w:lang w:eastAsia="zh-CN"/>
        </w:rPr>
        <w:t>，</w:t>
      </w:r>
      <w:r>
        <w:rPr>
          <w:rFonts w:hint="eastAsia" w:ascii="仿宋" w:hAnsi="仿宋" w:eastAsia="仿宋"/>
          <w:sz w:val="32"/>
          <w:szCs w:val="32"/>
        </w:rPr>
        <w:t>确定本次评价工作以各下属单位为主，明确了工作要求和工作目标，组织本单位相关科室对本单位202</w:t>
      </w:r>
      <w:r>
        <w:rPr>
          <w:rFonts w:hint="eastAsia" w:ascii="仿宋" w:hAnsi="仿宋" w:eastAsia="仿宋"/>
          <w:sz w:val="32"/>
          <w:szCs w:val="32"/>
          <w:lang w:val="en-US" w:eastAsia="zh-CN"/>
        </w:rPr>
        <w:t>4</w:t>
      </w:r>
      <w:r>
        <w:rPr>
          <w:rFonts w:hint="eastAsia" w:ascii="仿宋" w:hAnsi="仿宋" w:eastAsia="仿宋"/>
          <w:sz w:val="32"/>
          <w:szCs w:val="32"/>
        </w:rPr>
        <w:t>年</w:t>
      </w:r>
      <w:r>
        <w:rPr>
          <w:rFonts w:hint="eastAsia" w:ascii="仿宋" w:hAnsi="仿宋" w:eastAsia="仿宋"/>
          <w:sz w:val="32"/>
          <w:szCs w:val="32"/>
          <w:lang w:val="en-US" w:eastAsia="zh-CN"/>
        </w:rPr>
        <w:t>204</w:t>
      </w:r>
      <w:r>
        <w:rPr>
          <w:rFonts w:hint="eastAsia" w:ascii="仿宋" w:hAnsi="仿宋" w:eastAsia="仿宋"/>
          <w:sz w:val="32"/>
          <w:szCs w:val="32"/>
        </w:rPr>
        <w:t>个预算项目的概况、绩效目标、政策依据、数据资料、指标体系等进行了评价，分别形成了自评表和自评报告。同时局本级按照财政局相关要求对市本级</w:t>
      </w:r>
      <w:r>
        <w:rPr>
          <w:rFonts w:hint="eastAsia" w:ascii="仿宋" w:hAnsi="仿宋" w:eastAsia="仿宋"/>
          <w:sz w:val="32"/>
          <w:szCs w:val="32"/>
          <w:lang w:val="en-US" w:eastAsia="zh-CN"/>
        </w:rPr>
        <w:t>重点</w:t>
      </w:r>
      <w:r>
        <w:rPr>
          <w:rFonts w:hint="eastAsia" w:ascii="仿宋" w:hAnsi="仿宋" w:eastAsia="仿宋"/>
          <w:sz w:val="32"/>
          <w:szCs w:val="32"/>
        </w:rPr>
        <w:t>项目进行绩效自评价，本部门将各单位编制的自评表进行了修改完善，提高了自评表的完整性</w:t>
      </w:r>
      <w:r>
        <w:rPr>
          <w:rFonts w:hint="eastAsia" w:ascii="仿宋" w:hAnsi="仿宋" w:eastAsia="仿宋"/>
          <w:sz w:val="32"/>
          <w:szCs w:val="32"/>
          <w:lang w:eastAsia="zh-CN"/>
        </w:rPr>
        <w:t>、</w:t>
      </w:r>
      <w:r>
        <w:rPr>
          <w:rFonts w:hint="eastAsia" w:ascii="仿宋" w:hAnsi="仿宋" w:eastAsia="仿宋"/>
          <w:sz w:val="32"/>
          <w:szCs w:val="32"/>
        </w:rPr>
        <w:t>准确性，并负责汇总结果后对照项目绩效目标，按实际项目推进情况进行打分。</w:t>
      </w:r>
    </w:p>
    <w:p w14:paraId="75D29E9D">
      <w:pPr>
        <w:numPr>
          <w:ilvl w:val="0"/>
          <w:numId w:val="4"/>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C0116A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以202</w:t>
      </w:r>
      <w:r>
        <w:rPr>
          <w:rFonts w:hint="eastAsia" w:ascii="仿宋" w:hAnsi="仿宋" w:eastAsia="仿宋"/>
          <w:sz w:val="32"/>
          <w:szCs w:val="32"/>
          <w:lang w:val="en-US" w:eastAsia="zh-CN"/>
        </w:rPr>
        <w:t>4</w:t>
      </w:r>
      <w:r>
        <w:rPr>
          <w:rFonts w:hint="eastAsia" w:ascii="仿宋" w:hAnsi="仿宋" w:eastAsia="仿宋"/>
          <w:sz w:val="32"/>
          <w:szCs w:val="32"/>
        </w:rPr>
        <w:t>年预算确定的项目绩效目标和绩效指标为依据，设置了详细的三级指标</w:t>
      </w:r>
      <w:r>
        <w:rPr>
          <w:rFonts w:hint="eastAsia" w:ascii="仿宋" w:hAnsi="仿宋" w:eastAsia="仿宋"/>
          <w:sz w:val="32"/>
          <w:szCs w:val="32"/>
          <w:lang w:eastAsia="zh-CN"/>
        </w:rPr>
        <w:t>、</w:t>
      </w:r>
      <w:r>
        <w:rPr>
          <w:rFonts w:hint="eastAsia" w:ascii="仿宋" w:hAnsi="仿宋" w:eastAsia="仿宋"/>
          <w:sz w:val="32"/>
          <w:szCs w:val="32"/>
        </w:rPr>
        <w:t>绩效指标描述</w:t>
      </w:r>
      <w:r>
        <w:rPr>
          <w:rFonts w:hint="eastAsia" w:ascii="仿宋" w:hAnsi="仿宋" w:eastAsia="仿宋"/>
          <w:sz w:val="32"/>
          <w:szCs w:val="32"/>
          <w:lang w:eastAsia="zh-CN"/>
        </w:rPr>
        <w:t>、</w:t>
      </w:r>
      <w:r>
        <w:rPr>
          <w:rFonts w:hint="eastAsia" w:ascii="仿宋" w:hAnsi="仿宋" w:eastAsia="仿宋"/>
          <w:sz w:val="32"/>
          <w:szCs w:val="32"/>
        </w:rPr>
        <w:t>指标值和指标确定依据，明确了评价标准，使指标可量化、可衡量、可考核，收集整理了项目各阶段的信息、材料，逐项评定指标得分并对资料进行分类整理、审查和分析。</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8656F6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市城管局始终坚持以习近平新时代中国特色社会主义思想为指导，认真践行“人民城市人民建、人民城市为人民”的理念，全面落实市委、市政府决策部署，干字当头、紧抓快办，着力弥补功能短板、提升形象品质、保障城市运行、规范文明执法，圆满完成了各项目标任务，推动省会城市管理工作水平迈上新台阶。</w:t>
      </w:r>
    </w:p>
    <w:p w14:paraId="7B316CE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旗帜鲜明讲政治，把牢正确的政治方向。坚持把党的政治建设摆在首位，及时传达党中央和省</w:t>
      </w:r>
      <w:r>
        <w:rPr>
          <w:rFonts w:hint="eastAsia" w:ascii="仿宋" w:hAnsi="仿宋" w:eastAsia="仿宋"/>
          <w:sz w:val="32"/>
          <w:szCs w:val="32"/>
          <w:lang w:eastAsia="zh-CN"/>
        </w:rPr>
        <w:t>、</w:t>
      </w:r>
      <w:r>
        <w:rPr>
          <w:rFonts w:hint="eastAsia" w:ascii="仿宋" w:hAnsi="仿宋" w:eastAsia="仿宋"/>
          <w:sz w:val="32"/>
          <w:szCs w:val="32"/>
        </w:rPr>
        <w:t>市重要会议精神，教育各级党员干部忠诚捍卫“两个确立”、坚决做到“两个维护”。深入开展党纪学习教育，明确任务内容、时间节点、进度安排和责任分工，用好用活警示教育活动，引导各级党员干部学纪、知纪、明纪、守纪。认真落实意识形态工作责任制，通过微信公众号、抖音、头条等宣传矩阵，宣传党的理论和路线方针政策，牢牢把握意识形态主动权。深入开展意识形态责任制专项检查整改，及时查摆整改苗头性、倾向性问题，做好巡察整改“后半篇文章”。</w:t>
      </w:r>
    </w:p>
    <w:p w14:paraId="4D7C51E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抢抓机遇力补短板，城市运行更有韧性。成功入选首批“国家城市更新行动城市”，争取中央财政定额补助10亿元，利用三年时间谋划实施项目52个，2024年第一批项目已经进入前期手续办理和推进实施阶段。用足用好“国家再生水利用重点城市”政策支持，编制完成《推进再生水利用实施方案》，完成3个重点项目建设，新建再生水输送管网53.08公里。增发国债项目建设有序推进，2个排水泵站、11个雨水调蓄设施、84个市区积水点整治工程按期完工，东南退水明渠、四支渠预计2025年6月底完工</w:t>
      </w:r>
      <w:r>
        <w:rPr>
          <w:rFonts w:hint="eastAsia" w:ascii="仿宋" w:hAnsi="仿宋" w:eastAsia="仿宋"/>
          <w:sz w:val="32"/>
          <w:szCs w:val="32"/>
          <w:lang w:eastAsia="zh-CN"/>
        </w:rPr>
        <w:t>，</w:t>
      </w:r>
      <w:r>
        <w:rPr>
          <w:rFonts w:hint="eastAsia" w:ascii="仿宋" w:hAnsi="仿宋" w:eastAsia="仿宋"/>
          <w:sz w:val="32"/>
          <w:szCs w:val="32"/>
        </w:rPr>
        <w:t>完成330余台移动排涝设施采购，提升排涝能力24.53万立方米每小时。高标准组织开展市政设施维护管理，定期对所辖市政基础设施进行拉网式排查管护，保障设施安全稳定运行。</w:t>
      </w:r>
    </w:p>
    <w:p w14:paraId="4BC7C53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w:t>
      </w:r>
      <w:r>
        <w:rPr>
          <w:rFonts w:hint="eastAsia" w:ascii="仿宋" w:hAnsi="仿宋" w:eastAsia="仿宋"/>
          <w:sz w:val="32"/>
          <w:szCs w:val="32"/>
          <w:lang w:val="en-US" w:eastAsia="zh-CN"/>
        </w:rPr>
        <w:t>.</w:t>
      </w:r>
      <w:r>
        <w:rPr>
          <w:rFonts w:hint="eastAsia" w:ascii="仿宋" w:hAnsi="仿宋" w:eastAsia="仿宋"/>
          <w:sz w:val="32"/>
          <w:szCs w:val="32"/>
        </w:rPr>
        <w:t>细致刻画城市颜值，城市形象不断提升。实施了平安大街景观提升工程，架空电力及通信线缆全部入地，解决了群众多年来反映强烈的“空中蜘蛛网”“铁塔拦路”等问题，描绘了沿线活力有序的“风景线”；实施中华大街（南三环—北三环）景观提升工程，补足功能短板，优化节点场景，规范空间秩序，提升景观绿化，打造成为一条美观大气的城市“迎宾路”。融入城市公园设计理念，利用二环路沿线腾退土地，新建游园绿地，塑造了二环路开放共享、体绿融合的节点景观</w:t>
      </w:r>
      <w:r>
        <w:rPr>
          <w:rFonts w:hint="eastAsia" w:ascii="仿宋" w:hAnsi="仿宋" w:eastAsia="仿宋"/>
          <w:sz w:val="32"/>
          <w:szCs w:val="32"/>
          <w:lang w:eastAsia="zh-CN"/>
        </w:rPr>
        <w:t>，</w:t>
      </w:r>
      <w:r>
        <w:rPr>
          <w:rFonts w:hint="eastAsia" w:ascii="仿宋" w:hAnsi="仿宋" w:eastAsia="仿宋"/>
          <w:sz w:val="32"/>
          <w:szCs w:val="32"/>
        </w:rPr>
        <w:t>完成了对北二环区域1座立交桥、2座跨线桥、2座过街天桥和60栋建筑的高品质夜景照明提升，打造了城市夜景景观廊道。全面加强正太广场、解放广场区域管理，市容秩序、环卫保洁、执勤安保步入规范化管理轨道，成为整洁有序、特色鲜明的“城市会客厅”。</w:t>
      </w:r>
    </w:p>
    <w:p w14:paraId="553A35E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w:t>
      </w:r>
      <w:r>
        <w:rPr>
          <w:rFonts w:hint="eastAsia" w:ascii="仿宋" w:hAnsi="仿宋" w:eastAsia="仿宋"/>
          <w:sz w:val="32"/>
          <w:szCs w:val="32"/>
          <w:lang w:val="en-US" w:eastAsia="zh-CN"/>
        </w:rPr>
        <w:t>.</w:t>
      </w:r>
      <w:r>
        <w:rPr>
          <w:rFonts w:hint="eastAsia" w:ascii="仿宋" w:hAnsi="仿宋" w:eastAsia="仿宋"/>
          <w:sz w:val="32"/>
          <w:szCs w:val="32"/>
        </w:rPr>
        <w:t>开展系列专项整治，市容市貌愈加有序。集中开展了北三环、复兴大街沿线建筑整治，拆除违法建筑和有碍观瞻建筑125处，整治提升建筑107处，沿线空间环境明显改善。大力实施胜利大街市容精细化管理整治、南部区域市容环境综合整治，沿线市容环境更加整洁、有序。常态化推进市容“乱象”整治，累计清理占道经营24万余处，指导督促企业整治违规车辆12.3万辆，拆除问题工程围挡136处、整治提升围挡478处，整治城区广告牌匾1100余块。树立经营城市理念，完成4个标的户外广告设置权的拍卖，最终成交价1323万元。</w:t>
      </w:r>
    </w:p>
    <w:p w14:paraId="3EBA0E0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w:t>
      </w:r>
      <w:r>
        <w:rPr>
          <w:rFonts w:hint="eastAsia" w:ascii="仿宋" w:hAnsi="仿宋" w:eastAsia="仿宋"/>
          <w:sz w:val="32"/>
          <w:szCs w:val="32"/>
          <w:lang w:val="en-US" w:eastAsia="zh-CN"/>
        </w:rPr>
        <w:t>.</w:t>
      </w:r>
      <w:r>
        <w:rPr>
          <w:rFonts w:hint="eastAsia" w:ascii="仿宋" w:hAnsi="仿宋" w:eastAsia="仿宋"/>
          <w:sz w:val="32"/>
          <w:szCs w:val="32"/>
        </w:rPr>
        <w:t>多措并举精细环卫，擦亮城市洁净底色。创新道路清扫网格化作业模式、台账式管理模式，常态化开展“洁城行动”，定期开展道路清扫保洁作业质量检测，城市整体洁净度明显提升。制定实施生活垃圾处理设施监督管理和检查考评办法，推动生活垃圾公平、公正、合理调配。严格落实主城区公厕管理办法，每季度开展公厕星级评比，为市民提供更加干净、舒适的如厕环境。实行渣土运输企业和车辆资质核准，推广新能源渣土车，常态化开展联合执法、专项执法行动，严厉打击违法违规运输行为。出台了系列生活垃圾分类管理规范，搭建了“石家庄市生活垃圾分类工作信息管理系统”，积极开展“一月一主题”宣传活动，推动垃圾分类提质增效。</w:t>
      </w:r>
    </w:p>
    <w:p w14:paraId="732B6F6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6</w:t>
      </w:r>
      <w:r>
        <w:rPr>
          <w:rFonts w:hint="eastAsia" w:ascii="仿宋" w:hAnsi="仿宋" w:eastAsia="仿宋"/>
          <w:sz w:val="32"/>
          <w:szCs w:val="32"/>
          <w:lang w:val="en-US" w:eastAsia="zh-CN"/>
        </w:rPr>
        <w:t>.</w:t>
      </w:r>
      <w:r>
        <w:rPr>
          <w:rFonts w:hint="eastAsia" w:ascii="仿宋" w:hAnsi="仿宋" w:eastAsia="仿宋"/>
          <w:sz w:val="32"/>
          <w:szCs w:val="32"/>
        </w:rPr>
        <w:t>牢固树立宗旨意识，提升城管服务效能。民生实事落地见效，稳步推动东南退水明渠建设，首开段基本完工；改造供水老旧管网，改造燃气老旧管网39.7公里；完成134条街道照明设施提升，改善市民夜间出行环境。推出“水电气热网”联合报装3.0模式，提出了超前服务、优化流程等九项措施，打造了快捷、高效的服务模式。在“石i民”APP上线城市公厕、夜景地图等查询功能，为市民群众提供指尖上的便捷服务。配合市数据局实施“一网统管”城市运行管理中心、视频云中台项目建设，积极申报“石家庄市地下市政基础设施综合管理信息平台”项目，加快城市管理信息化功能整合。</w:t>
      </w:r>
    </w:p>
    <w:p w14:paraId="59945B4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7</w:t>
      </w:r>
      <w:r>
        <w:rPr>
          <w:rFonts w:hint="eastAsia" w:ascii="仿宋" w:hAnsi="仿宋" w:eastAsia="仿宋"/>
          <w:sz w:val="32"/>
          <w:szCs w:val="32"/>
          <w:lang w:val="en-US" w:eastAsia="zh-CN"/>
        </w:rPr>
        <w:t>.</w:t>
      </w:r>
      <w:r>
        <w:rPr>
          <w:rFonts w:hint="eastAsia" w:ascii="仿宋" w:hAnsi="仿宋" w:eastAsia="仿宋"/>
          <w:sz w:val="32"/>
          <w:szCs w:val="32"/>
        </w:rPr>
        <w:t>坚持科学精准施策，助力大气污染防治。制定了生态示范区范围内工地周边道路清扫保洁督导考核办法，突出工地周边、出入市口、城乡结合部、渣土运输路线等重点部位，落实城区道路差异化清扫保洁，不断提升道路清扫保洁质量。全面加强市政工地扬尘监管，制定《石家庄市政工程扬尘污染防治标准细则》，实行市政工地三级包联责任制，加频执法检查，做到了责任到人、措施到位。扎实做好拆迁工地扬尘管控，对全市17个城中村项目进行24小时视频监控值守，协调多部门开通“绿色通道”，累计清运车辆30.85万辆，接收清运土方548.07万方。积极推进结构性减排，完成城区居民供热燃气锅炉替代220台，完成计划量的130%。</w:t>
      </w:r>
    </w:p>
    <w:p w14:paraId="53443FB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8</w:t>
      </w:r>
      <w:r>
        <w:rPr>
          <w:rFonts w:hint="eastAsia" w:ascii="仿宋" w:hAnsi="仿宋" w:eastAsia="仿宋"/>
          <w:sz w:val="32"/>
          <w:szCs w:val="32"/>
          <w:lang w:val="en-US" w:eastAsia="zh-CN"/>
        </w:rPr>
        <w:t>.</w:t>
      </w:r>
      <w:r>
        <w:rPr>
          <w:rFonts w:hint="eastAsia" w:ascii="仿宋" w:hAnsi="仿宋" w:eastAsia="仿宋"/>
          <w:sz w:val="32"/>
          <w:szCs w:val="32"/>
        </w:rPr>
        <w:t>持续强化底线思维，城市运行愈加安全。认真落实“党政同责、一岗双责”和“三个必须”的工作要求，严格制度要求，层层传导压力，坚决杜绝重大安全生产事故发生。积极推进供热“冬病夏治”，上安电厂余热入市二期工程主体完工，为市区增加4000万平方米稳定可靠的热源保障，2024-2025采暖季18℃以上达标率99.25%。持续开展燃气安全专项整治行动，指导县级燃气行业综合监管平台加快建设，督促各管道燃气经营企业推进燃气管网智能化改造，完成高层住宅液化气用户“瓶改管”4015户。积极推进我市供水、中水规划编制，完成主城区取水井关停市政供水管网连通154眼，西兆通再生水厂项目主体基本完工，具备进水条件。全力保障城区安全度汛，汛期成功应对9次较强降雨过程。</w:t>
      </w:r>
    </w:p>
    <w:p w14:paraId="6EEA59D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9</w:t>
      </w:r>
      <w:r>
        <w:rPr>
          <w:rFonts w:hint="eastAsia" w:ascii="仿宋" w:hAnsi="仿宋" w:eastAsia="仿宋"/>
          <w:sz w:val="32"/>
          <w:szCs w:val="32"/>
          <w:lang w:val="en-US" w:eastAsia="zh-CN"/>
        </w:rPr>
        <w:t>.</w:t>
      </w:r>
      <w:r>
        <w:rPr>
          <w:rFonts w:hint="eastAsia" w:ascii="仿宋" w:hAnsi="仿宋" w:eastAsia="仿宋"/>
          <w:sz w:val="32"/>
          <w:szCs w:val="32"/>
        </w:rPr>
        <w:t>规范公正文明执法，提高执法力度温度。顺利完成行政执法体制改革，组建了市城市管理综合保障中心，实现人员和行政执法事项的下沉交接。配合市人大牵头起草《城市市政工程设施管理条例》（修订草案）</w:t>
      </w:r>
      <w:r>
        <w:rPr>
          <w:rFonts w:hint="eastAsia" w:ascii="仿宋" w:hAnsi="仿宋" w:eastAsia="仿宋"/>
          <w:sz w:val="32"/>
          <w:szCs w:val="32"/>
          <w:lang w:eastAsia="zh-CN"/>
        </w:rPr>
        <w:t>，</w:t>
      </w:r>
      <w:r>
        <w:rPr>
          <w:rFonts w:hint="eastAsia" w:ascii="仿宋" w:hAnsi="仿宋" w:eastAsia="仿宋"/>
          <w:sz w:val="32"/>
          <w:szCs w:val="32"/>
        </w:rPr>
        <w:t>完成《建筑物外立面保持整洁管理办法》《餐厨垃圾处理管理办法》《燃气管理办法》立法后调研及评估，进一步织密城管法规体系。广泛开展普法宣传活动，打造了城管系统“渠道普法”特色名片，连续多年被市法治办评为普法先进单位。持续深入推进“强作风、转作风、树形象”专项行动，一以贯之强化执法内部监督，实行城市管理执法工作量化考评，改进执法方式、提升执法质量。全面依法治市办公室推广了我局依法高效为民办实事的经验做法。</w:t>
      </w:r>
    </w:p>
    <w:p w14:paraId="146BA19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10</w:t>
      </w:r>
      <w:r>
        <w:rPr>
          <w:rFonts w:hint="eastAsia" w:ascii="仿宋" w:hAnsi="仿宋" w:eastAsia="仿宋"/>
          <w:sz w:val="32"/>
          <w:szCs w:val="32"/>
          <w:lang w:val="en-US" w:eastAsia="zh-CN"/>
        </w:rPr>
        <w:t>.</w:t>
      </w:r>
      <w:r>
        <w:rPr>
          <w:rFonts w:hint="eastAsia" w:ascii="仿宋" w:hAnsi="仿宋" w:eastAsia="仿宋"/>
          <w:sz w:val="32"/>
          <w:szCs w:val="32"/>
        </w:rPr>
        <w:t>推进全面从严治党，凝聚干事创业合力。严格落实全面从严治党党组主体责任、党组书记“第一责任人”责任和班子成员“一岗双责”，扎实组织开展党建考核评议，形成一级抓一级、层层抓落实的工作格局。持续加强基层党组织建设，组织各级党组织和党员干部开展“一支部一品牌”“千名书记联基层、万名党员下基层”等培树活动，增强基层党组织的凝聚力、向心力。树立正确选人用人导向，注重在一线考察识别干部、科学精准画像，进一步优化队伍结构、提升素质层次。成功召开“与城市同行，与美丽相约”第三届城市管理大会，向全市市民发出共管共享倡议，掀起“城市是我家、我要爱我家”的浓厚热潮。圆满承办“2024（第十届）全国排水大会”，搭建了城市给排水技术交流和合作发展的平台，提升了我市美誉度和影响力。用心用情用力解决群众“急难愁盼”问题，办理建议提案78件，承办网民留言805件，处理市民诉求5.1万次，办结反馈率100%。</w:t>
      </w:r>
    </w:p>
    <w:p w14:paraId="7F36A7F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回顾2024年工作，虽然取得了一些成绩，但是与市委市政府的要求相比、与市民群众的期待相比还有差距。2025年将坚持以习近平新时代中国特色社会主义思想为指导，全面落实市委、市政府决策部署，以不断提高城市管理科学化、精细化、智慧化水平为目标，解放思想、提高标杆</w:t>
      </w:r>
      <w:r>
        <w:rPr>
          <w:rFonts w:hint="eastAsia" w:ascii="仿宋" w:hAnsi="仿宋" w:eastAsia="仿宋"/>
          <w:sz w:val="32"/>
          <w:szCs w:val="32"/>
          <w:lang w:eastAsia="zh-CN"/>
        </w:rPr>
        <w:t>、</w:t>
      </w:r>
      <w:r>
        <w:rPr>
          <w:rFonts w:hint="eastAsia" w:ascii="仿宋" w:hAnsi="仿宋" w:eastAsia="仿宋"/>
          <w:sz w:val="32"/>
          <w:szCs w:val="32"/>
        </w:rPr>
        <w:t>加压奋进、攻坚克难，着力打造“洁净、秩序、文明、美丽”的省会城市，为加快建设现代化、国际化美丽省会城市贡献城管力量。</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E54517C">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本年度专项项目预算安排资金555167.85万元，执行数405440.41万元，执行率73.03%。部门总体绩效目标实现情况优秀。</w:t>
      </w:r>
    </w:p>
    <w:p w14:paraId="4B4D636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各单位具体支出绩效目标如下：</w:t>
      </w:r>
    </w:p>
    <w:p w14:paraId="68875349">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A.石家庄市城市管理综合行政执法局本级：</w:t>
      </w:r>
    </w:p>
    <w:p w14:paraId="6202B475">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65个项目，其中5个市级对下补助项目：既有燃气管道用户加装安全装置经费、环卫工人协助管理非机动车停放秩序奖补资金、中央大气污染防治资金、2023年市区支路整修工程、2023-2024年采暖季农村“双代”市级运行补助。</w:t>
      </w:r>
    </w:p>
    <w:p w14:paraId="2E9F877F">
      <w:pPr>
        <w:adjustRightInd w:val="0"/>
        <w:snapToGrid w:val="0"/>
        <w:spacing w:line="560" w:lineRule="exact"/>
        <w:ind w:firstLine="640" w:firstLineChars="200"/>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本年度专项项目预算安排资金428532.79万元，执行数284370.96万元，执行率66.36%。总体绩效目标实现情况较好。</w:t>
      </w:r>
    </w:p>
    <w:p w14:paraId="00A8ABA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1.既有燃气管道用户加装安全装置经费</w:t>
      </w:r>
    </w:p>
    <w:p w14:paraId="7B121A2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年度目标：按照省政府的要求和《石家庄市城镇既有管道燃气用户加装安全保护装置实施方案》的安排，对市内四区140万户既有燃气管道用户加装安全装置。</w:t>
      </w:r>
    </w:p>
    <w:p w14:paraId="3573027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绩效目标总体情况：通过本项目，进一步完善了城市基础设施，提升了城市品质，推动了城市高质量发展。完成率100%。</w:t>
      </w:r>
    </w:p>
    <w:p w14:paraId="57509D7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41493B5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2.环卫工人协助管理非机动车停放秩序奖补资金</w:t>
      </w:r>
    </w:p>
    <w:p w14:paraId="2C93174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年度目标：进一步加强城市管理精细化，环卫工人协助非机动车停放秩序管理工作。</w:t>
      </w:r>
    </w:p>
    <w:p w14:paraId="17E22E2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绩效目标总体情况：通过日常考核，整治效果不显著，完成率0%。</w:t>
      </w:r>
    </w:p>
    <w:p w14:paraId="4AA2AE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217EB66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3.中央大气污染防治资金</w:t>
      </w:r>
    </w:p>
    <w:p w14:paraId="2819CA6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年度目标：向各县（市、区）拨付农村“双代”改造户运行补助资金。</w:t>
      </w:r>
    </w:p>
    <w:p w14:paraId="77DC921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绩效目标总体情况：深泽县、正定县、栾城区、长安区、经开区已拨付完成，其他县（市、区）正在清算2024-2025年采暖季运行补助，清算后拨付。完成率95%。</w:t>
      </w:r>
    </w:p>
    <w:p w14:paraId="39247A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自评得分：95.4分。</w:t>
      </w:r>
    </w:p>
    <w:p w14:paraId="7250E23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4.2023年市区支路整修工程</w:t>
      </w:r>
    </w:p>
    <w:p w14:paraId="5F7A7DC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年度目标：对长安、桥西、新华、裕华区区管市政道路范围内破损严重的支路路面进行整修，提升道路平整度、舒适度。 </w:t>
      </w:r>
    </w:p>
    <w:p w14:paraId="4828BA9F">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绩效总体目标情况：完成了对长安、桥西、新华、裕华区区管市政道路范围内破损严重的支路路面整修工作。完成率100%。</w:t>
      </w:r>
    </w:p>
    <w:p w14:paraId="4815C439">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自评得分：100分。</w:t>
      </w:r>
    </w:p>
    <w:p w14:paraId="6504376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5.2023-2024年采暖季农村“双代”市级运行补助</w:t>
      </w:r>
    </w:p>
    <w:p w14:paraId="1E26949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年度目标：向各县（市、区）拨付2023-2024年采暖季农村“双代”改造户市级运行补助资金。 </w:t>
      </w:r>
    </w:p>
    <w:p w14:paraId="7ABA1378">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绩效总体目标情况：完成了2023-2024年采暖季农村“双代市级运行补助资金拨付工作。完成率100%。</w:t>
      </w:r>
    </w:p>
    <w:p w14:paraId="443C6B8D">
      <w:pPr>
        <w:rPr>
          <w:rFonts w:hint="default"/>
          <w:lang w:val="en-US" w:eastAsia="zh-CN"/>
        </w:rPr>
      </w:pPr>
      <w:r>
        <w:rPr>
          <w:rFonts w:hint="eastAsia" w:ascii="仿宋" w:hAnsi="仿宋" w:eastAsia="仿宋"/>
          <w:sz w:val="32"/>
          <w:szCs w:val="32"/>
          <w:lang w:val="en-US" w:eastAsia="zh-CN"/>
        </w:rPr>
        <w:t>自评得分：100分。</w:t>
      </w:r>
    </w:p>
    <w:p w14:paraId="04BCEA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6.仓丰东路雨水泵站新建工程国债项目</w:t>
      </w:r>
    </w:p>
    <w:p w14:paraId="0EFFFAC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年度目标：通过新建1座仓丰东路雨水泵站，提升石家庄市区排水防涝能力。</w:t>
      </w:r>
    </w:p>
    <w:p w14:paraId="07A7E2B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绩效目标总体情况：完成新建1座仓丰东路雨水泵站，提升石家庄市区排水防涝能力。完成率100%。</w:t>
      </w:r>
    </w:p>
    <w:p w14:paraId="233C139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自评得分：97.8分。</w:t>
      </w:r>
    </w:p>
    <w:p w14:paraId="27A5327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7.东南退水明渠建设国债项目</w:t>
      </w:r>
    </w:p>
    <w:p w14:paraId="0752DC1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年度目标：通过建设31.14公里东南退水明渠，提升石家庄市区排水防涝能力。</w:t>
      </w:r>
    </w:p>
    <w:p w14:paraId="1496C47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绩效目标总体情况：目前正在施工，已建设15公里东南退水明渠，提升石家庄市区排水防涝能力。完成率100%。</w:t>
      </w:r>
    </w:p>
    <w:p w14:paraId="61FCDB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自评得分：80.57分。</w:t>
      </w:r>
    </w:p>
    <w:p w14:paraId="0BA405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8.明珠街、石铜路、槐中路雨水调蓄设施新建工程国债项目</w:t>
      </w:r>
    </w:p>
    <w:p w14:paraId="72B3FA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年度目标：通过新建明珠街、石铜路、槐中路3座雨水调蓄池设施，提升石家庄市区排水防涝能力。</w:t>
      </w:r>
    </w:p>
    <w:p w14:paraId="7639E2B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绩效目标总体情况：完成明珠街、石铜路、槐中路3座雨水调蓄池设施建设，提升了石家庄市区排水防涝能力。完成率100%。</w:t>
      </w:r>
    </w:p>
    <w:p w14:paraId="0B4A459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自评得分：95.68分。</w:t>
      </w:r>
    </w:p>
    <w:p w14:paraId="4F3C4D6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9.石家庄市移动排涝能力提升项目国债项目</w:t>
      </w:r>
    </w:p>
    <w:p w14:paraId="6B449E8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年度目标：通过采购171台移动排涝设备,提升城市应急排涝能力。</w:t>
      </w:r>
    </w:p>
    <w:p w14:paraId="55C653E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绩效目标总体情况：项目可研、初设、标底已通过，已签订合同，目前抽排设备171台、配套168台等设备已全部到位。完成率100%。</w:t>
      </w:r>
    </w:p>
    <w:p w14:paraId="3F364D5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B38CE9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10.雨水调蓄设施建设工程国债项目</w:t>
      </w:r>
    </w:p>
    <w:p w14:paraId="0EC8059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年度目标：通过新建6座、改造2座雨水调蓄设施，缓解强降雨路面积水。</w:t>
      </w:r>
    </w:p>
    <w:p w14:paraId="1E59135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绩效目标总体情况：完成新建6座、改造2座雨水调蓄设施，缓解强降雨路面积水。完成率100%。</w:t>
      </w:r>
    </w:p>
    <w:p w14:paraId="413637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自评得分：96.41分。</w:t>
      </w:r>
    </w:p>
    <w:p w14:paraId="327D24C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11.市区积水点整治工程国债项目</w:t>
      </w:r>
    </w:p>
    <w:p w14:paraId="598C897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年度目标：通过市区积水点整治，缓解市区道路积水情况。</w:t>
      </w:r>
    </w:p>
    <w:p w14:paraId="45B9D74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绩效目标总体情况：完成积水点整治，缓解市区道路积水情况。完成率100%。</w:t>
      </w:r>
    </w:p>
    <w:p w14:paraId="41C7BEE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自评得分：97.31分。</w:t>
      </w:r>
    </w:p>
    <w:p w14:paraId="3D336B6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12.四支渠（新华路-南泄洪渠）新建工程国债项目</w:t>
      </w:r>
    </w:p>
    <w:p w14:paraId="7E4481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年度目标：设5.1公里四支渠（新华路-南泄洪渠），提升石家庄市区排水防涝能力。</w:t>
      </w:r>
    </w:p>
    <w:p w14:paraId="1CA256A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绩效目标总体情况：完成3公里四支渠（新华路-南泄洪渠）建设，提升石家庄市区排水防涝能力。完成率100%。</w:t>
      </w:r>
    </w:p>
    <w:p w14:paraId="38B7812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自评得分：85.87分。</w:t>
      </w:r>
    </w:p>
    <w:p w14:paraId="2629F10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13.农机街泵站新建工程国债项目</w:t>
      </w:r>
    </w:p>
    <w:p w14:paraId="0477B06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年度目标：通过新建1座农机街泵站，提升石家庄市区排水防涝能力。</w:t>
      </w:r>
    </w:p>
    <w:p w14:paraId="6E10FA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绩效目标总体情况：完成新建1座农机街泵站，提升石家庄市区排水防涝能力。完成率100%。</w:t>
      </w:r>
    </w:p>
    <w:p w14:paraId="1B1FF35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自评得分：97.25分。</w:t>
      </w:r>
    </w:p>
    <w:p w14:paraId="0BFDE44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14.污水污泥处理经费</w:t>
      </w:r>
    </w:p>
    <w:p w14:paraId="69787E6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年度目标：在设计能力范围内对收集的生活污水及工业废水进行净化处理，确保出水水质稳定达标；提高再生水资源回用，促进水资源节能减排持续发展，改善我市水资源环境。</w:t>
      </w:r>
    </w:p>
    <w:p w14:paraId="6FC9570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绩效目标总体情况：在设计能力范围内对收集的生活污水及工业废水进行净化处理，出水水质稳定达标；各污水处理厂污水处理过程中，对适时产生的污泥进行了妥善处置。完成率100%。</w:t>
      </w:r>
    </w:p>
    <w:p w14:paraId="488F01C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2FAE186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15.农机街泵站新建工程国债项目征地费用市级补助</w:t>
      </w:r>
    </w:p>
    <w:p w14:paraId="5206C4B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年度目标：通过新建农机街泵站，提升石家庄市区排水防涝能力。</w:t>
      </w:r>
    </w:p>
    <w:p w14:paraId="1DAEF20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绩效目标总体情况：通过新建农机街泵站，提升石家庄市区排水防涝能力。完成率100%。</w:t>
      </w:r>
    </w:p>
    <w:p w14:paraId="021847C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61FBC84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16.仓丰东路雨水泵站新建工程国债项目征地费用市级补助</w:t>
      </w:r>
    </w:p>
    <w:p w14:paraId="343DFD9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年度目标：通过新建仓丰东路雨水泵站，提升石家庄市区排水防涝能力。</w:t>
      </w:r>
    </w:p>
    <w:p w14:paraId="045468E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绩效目标总体情况：完成仓丰东路雨水泵站建设，提升石家庄市区排水防涝能力。完成率100%。</w:t>
      </w:r>
    </w:p>
    <w:p w14:paraId="3FD1B63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自评得分：97分。</w:t>
      </w:r>
    </w:p>
    <w:p w14:paraId="1682FD9F">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17.2024年城市更新行动城市建设项目</w:t>
      </w:r>
    </w:p>
    <w:p w14:paraId="06277E9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年度目标：系统化推进城市更新行动，统筹推进城市地下管网更新改造，稳步推进城市地下管网整体水平、污水收集效能、城市环境品质有效提升，城市功能持续改善群众满意度明显提升。</w:t>
      </w:r>
    </w:p>
    <w:p w14:paraId="09A592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石家庄系统化推进城市更新行动，统筹推进城市燃气、供水、排水、污水、供热等地下管网更新改造，有效提升城市地下管网整体水平、污水收集效能、城市环境品质，持续改善城市功能，使得群众满意度明显提升。完成率0%。</w:t>
      </w:r>
    </w:p>
    <w:p w14:paraId="0363C2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500DFF9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18.液化气居民用户安装物联报警器和自动切断装置项目</w:t>
      </w:r>
    </w:p>
    <w:p w14:paraId="6CB308D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年度目标：切实提升液化气居民用户安全用气水平和燃气泄漏预警监测能力，从根本上预防和减少事故发生。</w:t>
      </w:r>
    </w:p>
    <w:p w14:paraId="239120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绩效目标总体情况：已开工，组织人员岗前培训。完成率69%。</w:t>
      </w:r>
    </w:p>
    <w:p w14:paraId="2B734EB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自评得分：69分。</w:t>
      </w:r>
    </w:p>
    <w:p w14:paraId="6BE33E2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19.2023年城管局机关城建项目资金</w:t>
      </w:r>
    </w:p>
    <w:p w14:paraId="14E484C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年度目标：通过城建计划项目，完善城市基础设施，提高市民的文明习惯，提升城市品质，推动城市高质量发展。完成率100%。</w:t>
      </w:r>
    </w:p>
    <w:p w14:paraId="387F8FD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highlight w:val="none"/>
          <w:lang w:val="en-US" w:eastAsia="zh-CN"/>
        </w:rPr>
        <w:t>自评得分：100分。</w:t>
      </w:r>
    </w:p>
    <w:p w14:paraId="2A0310D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20.DLP高清拼接屏采购项目尾款</w:t>
      </w:r>
    </w:p>
    <w:p w14:paraId="5050FB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年度目标：购置DLP高清拼接屏，用于保障机关正常工作所发生的必要费用，确保工作顺利开展。</w:t>
      </w:r>
    </w:p>
    <w:p w14:paraId="53649DE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绩效目标总体情况：配置DLP高清拼接屏，保障机关工作顺利开展。完成率100%。</w:t>
      </w:r>
    </w:p>
    <w:p w14:paraId="268D68E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5287AE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21.安全生产监督工作经费</w:t>
      </w:r>
    </w:p>
    <w:p w14:paraId="1A8112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年度目标：聘请第三方协助开展隐患排查、现场帮扶、教育培训等安全生产相关工作，确保全局安全生产形势持续稳定。</w:t>
      </w:r>
    </w:p>
    <w:p w14:paraId="7C078B2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绩效目标总体情况：第三方协助较好地完成了隐患排查、现场帮扶、教育培训等相关工作。完成率100%。</w:t>
      </w:r>
    </w:p>
    <w:p w14:paraId="75659B1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E05365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22.城区防汛汛期应急指挥车租赁经费</w:t>
      </w:r>
    </w:p>
    <w:p w14:paraId="327DC57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年度目标：为保障市主城区平安度汛，需租赁2辆SUV用于市城区防汛指挥部办公室指挥、调度城区防汛工作和应急处置使用。</w:t>
      </w:r>
    </w:p>
    <w:p w14:paraId="78B830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绩效目标总体情况：完成保障城区防汛指挥部办公室两辆防汛指挥车辆正常使用，需申请维保、油耗等费用。完成率100%。</w:t>
      </w:r>
    </w:p>
    <w:p w14:paraId="3F8FF78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5CE3B3F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23.城市运营中心场地租用费</w:t>
      </w:r>
    </w:p>
    <w:p w14:paraId="59EB7F3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年度目标：用于租用城市运营中心场地，保障正常办公秩序。</w:t>
      </w:r>
    </w:p>
    <w:p w14:paraId="6011DD1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绩效目标总体情况：完成城市运营中心场地租赁，保障了正常办公。完成率100%。</w:t>
      </w:r>
    </w:p>
    <w:p w14:paraId="59D857C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ED38BE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24.党组织活动经费</w:t>
      </w:r>
    </w:p>
    <w:p w14:paraId="521D572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年度目标：提升党务干部履职能力，加强理想信念教育，夯实基层党组织建设。</w:t>
      </w:r>
    </w:p>
    <w:p w14:paraId="44F0257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绩效目标总体情况：1.购买学习用书、资料等，组织局机关党员干部开展主题党日活动；2.给党员干部发放政治生日礼物；3.订阅党报党刊。完成率100%。</w:t>
      </w:r>
    </w:p>
    <w:p w14:paraId="2171CD7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3236026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25.电梯运维费</w:t>
      </w:r>
    </w:p>
    <w:p w14:paraId="566412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年度目标：保障机关电梯使用正常所发生的必要费用。</w:t>
      </w:r>
    </w:p>
    <w:p w14:paraId="4856BB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绩效目标总体情况：完成电梯运维工作，保障了机关电梯正常使用。完成率100%。</w:t>
      </w:r>
    </w:p>
    <w:p w14:paraId="445BAA0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7C3B259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26.供水水质监测经费</w:t>
      </w:r>
    </w:p>
    <w:p w14:paraId="0957E1F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年度目标：对主城区及各县市区城市供水水厂进行抽检检测确保水质达标。</w:t>
      </w:r>
    </w:p>
    <w:p w14:paraId="4848F0A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绩效目标总体情况：完成对主城区及各县市区城市供水水厂进行抽检检测。完成率100%。</w:t>
      </w:r>
    </w:p>
    <w:p w14:paraId="4B15619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40B0E59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27.国家节水型城市复查迎检工作经费</w:t>
      </w:r>
    </w:p>
    <w:p w14:paraId="16E38F5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年度目标：顺利通过省级初审、国家复审。</w:t>
      </w:r>
    </w:p>
    <w:p w14:paraId="37E9A2B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绩效目标总体情况：已完成省复查迎检工作，待国家通知开展复查后进行国家节水型城市复查迎检。完成率90%。</w:t>
      </w:r>
    </w:p>
    <w:p w14:paraId="328F55B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自评得分：99分。</w:t>
      </w:r>
    </w:p>
    <w:p w14:paraId="29656D5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28.绿色社区创建三年行动办公室工作经费</w:t>
      </w:r>
    </w:p>
    <w:p w14:paraId="35CB51F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年度目标：保障绿色社区创建工作办公用房、用车、工作的正常运转。</w:t>
      </w:r>
    </w:p>
    <w:p w14:paraId="21CC33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根据创建工作推进情况，实时更新档案资料，确保档案资料完整，通过树立标杆、组织观摩学习等方式在试点社区中优中选优，以点带面推动各县（市、区）绿色社区创建工作更好更快的开展。完成率100%。</w:t>
      </w:r>
    </w:p>
    <w:p w14:paraId="00D6B78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36F3406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29.生活垃圾分类运行经费</w:t>
      </w:r>
    </w:p>
    <w:p w14:paraId="5300B18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年度目标：通过讲解垃圾分类知识，参观展牌、宣传片，在全市营造浓厚的生活垃圾分类宣传氛围。</w:t>
      </w:r>
    </w:p>
    <w:p w14:paraId="4E9F9A3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绩效目标总体情况：通过讲解垃圾分类知识，参观展牌、宣传片，在全市营造浓厚的生活垃圾分类宣传氛围。完成率100%。</w:t>
      </w:r>
    </w:p>
    <w:p w14:paraId="2A1A692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4ED3584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30.生活垃圾分类运行资金</w:t>
      </w:r>
    </w:p>
    <w:p w14:paraId="3CA04CE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年度目标：提高我市对各县（市、区）及各部门收集、汇总、上报材料时效。</w:t>
      </w:r>
    </w:p>
    <w:p w14:paraId="5A457F2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绩效目标总体情况：提高了我市对各县（市、区）及各部门数据的收集、汇总，并保证了上报材料的时效性。完成率100%。</w:t>
      </w:r>
    </w:p>
    <w:p w14:paraId="239150A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0C94B9F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31.市渣土办工作经费</w:t>
      </w:r>
    </w:p>
    <w:p w14:paraId="6F21F0F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年度目标：租用办公用房及车辆，用于保障正常工作所发生的必要费用，确保工作顺利开展。</w:t>
      </w:r>
    </w:p>
    <w:p w14:paraId="1D05CE6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绩效目标总体情况：租用办公用房及车辆，均按租赁协议完成支付，日常办公经费有效保障渣土办工作正常开展。完成率100%。</w:t>
      </w:r>
    </w:p>
    <w:p w14:paraId="7C29839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6607B30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32.污水处理补贴资金</w:t>
      </w:r>
    </w:p>
    <w:p w14:paraId="1450687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年度目标：在设计能力范围内对收集的生活污水及工业废水进行净化处理，确保出水水质稳定达标；提高再生水资源回用，促进水资源节能减排持续发展，改善我市水资源环境。</w:t>
      </w:r>
    </w:p>
    <w:p w14:paraId="1B4C326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绩效目标总体情况：在设计能力范围内对收集的生活污水及工业废水进行净化处理，出水水质稳定达标；各污水处理厂污水处理过程中，对适时产生的污泥进行了妥善处置。完成率100%。</w:t>
      </w:r>
    </w:p>
    <w:p w14:paraId="6E23158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7D6C93F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33.污水处理费代征手续费</w:t>
      </w:r>
    </w:p>
    <w:p w14:paraId="012F5A4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年度目标：污水处理代征手续费345万元，保障2024年污水处理代征金额达到预期目标。</w:t>
      </w:r>
    </w:p>
    <w:p w14:paraId="2F1CBE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绩效目标总体情况：2024年度实际完成代收污水处理费上缴18,646.820585万元。完成率100%。</w:t>
      </w:r>
    </w:p>
    <w:p w14:paraId="130B3D2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3900112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34.物业管理费</w:t>
      </w:r>
    </w:p>
    <w:p w14:paraId="158569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年度目标：保障局机关清扫保洁、安保、维修等后勤服务工作。</w:t>
      </w:r>
    </w:p>
    <w:p w14:paraId="0A53AD7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绩效目标总体情况：已完成保障局机关清扫保洁、安保、维修等后勤服务工作。完成率100%。</w:t>
      </w:r>
    </w:p>
    <w:p w14:paraId="740F6CF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63F1C7A0">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35.执法制式服装费尾款</w:t>
      </w:r>
    </w:p>
    <w:p w14:paraId="3330D8F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年度目标：换发市本级城管执法人员及辅助执法人员的执法服装尾款5.71万元。完成率100%。</w:t>
      </w:r>
    </w:p>
    <w:p w14:paraId="7DDBAD1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624528A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36.文件资料印刷费</w:t>
      </w:r>
    </w:p>
    <w:p w14:paraId="5AC2460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年度目标：印制执法文书及规范性文件、防汛资料、城管文稿资料、安全生产资料等。</w:t>
      </w:r>
    </w:p>
    <w:p w14:paraId="597E4B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绩效目标总体情况：已完成印制执法文书及规范性文件、防汛资料、城管文稿资料、安全生产资料等完成率100%。</w:t>
      </w:r>
    </w:p>
    <w:p w14:paraId="0AC234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641F90F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37.专用设备维修费</w:t>
      </w:r>
    </w:p>
    <w:p w14:paraId="383DF51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年度目标：保障局机关办公设备及专用设备正常运行。</w:t>
      </w:r>
    </w:p>
    <w:p w14:paraId="61BB6AE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绩效目标总体情况：已完成保障局机关办公设备及专用设备正常运行。完成率100%。</w:t>
      </w:r>
    </w:p>
    <w:p w14:paraId="35F557F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0B2F180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38.防汛经费</w:t>
      </w:r>
    </w:p>
    <w:p w14:paraId="3DBCAE0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年度目标：防汛用品购置及防汛演练等相关经费。</w:t>
      </w:r>
    </w:p>
    <w:p w14:paraId="77BC01F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绩效目标总体情况：已购置防汛用品。完成率100%。</w:t>
      </w:r>
    </w:p>
    <w:p w14:paraId="747CEB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2E3F48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39.生活垃圾分类工作经费</w:t>
      </w:r>
    </w:p>
    <w:p w14:paraId="2BF1815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年度目标：租用办公房、公务用车，满足办公需求，临时机构办公费，保证工作的正常开展。</w:t>
      </w:r>
    </w:p>
    <w:p w14:paraId="3C45F18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绩效目标总体情况：租用了办公房、公务用车，临时机构的办公费，满足了办公需求，并保证了工作的正常开展。完成率100%。</w:t>
      </w:r>
    </w:p>
    <w:p w14:paraId="34D2082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758DDD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40.城市更新示范城市申报工作专班工作经费</w:t>
      </w:r>
    </w:p>
    <w:p w14:paraId="106B854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年度目标：通过申报城市更新行动城市，争取中央财政补贴资金支持，助力我市进一步完善城市功能、提升城市品质，推进城市高质量发展。</w:t>
      </w:r>
    </w:p>
    <w:p w14:paraId="48CE7E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绩效目标总体情况：进行了城市更新示范城市申报工作专班办公耗材购置、材料印刷复印装订和专家咨询服务工作，全力做好国家城市更新行动城市建设工作。完成率100%。</w:t>
      </w:r>
    </w:p>
    <w:p w14:paraId="5392E3A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自评得分：99.8分。</w:t>
      </w:r>
    </w:p>
    <w:p w14:paraId="2724D9B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41.城管全民动员大会及宣传活动经费</w:t>
      </w:r>
    </w:p>
    <w:p w14:paraId="6D9B6E8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年度目标：顺利完成石家庄市城市管理全民动员大会及系列宣传活动举办。</w:t>
      </w:r>
    </w:p>
    <w:p w14:paraId="044959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绩效目标总体情况：已顺利完成石家庄市城市管理全民动员大会及系列宣传活动举办。完成率100%。</w:t>
      </w:r>
    </w:p>
    <w:p w14:paraId="24937D8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自评得分：99.8分。</w:t>
      </w:r>
    </w:p>
    <w:p w14:paraId="619D181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42.双代办第三方评估监督经费</w:t>
      </w:r>
    </w:p>
    <w:p w14:paraId="27441BD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年度目标：保障市双代办工作正常开展，确保我市双代办工作正常推进。</w:t>
      </w:r>
    </w:p>
    <w:p w14:paraId="568A5D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绩效目标总体情况：市双代办工作正常开展，各项工作正常推进。完成率100%。</w:t>
      </w:r>
    </w:p>
    <w:p w14:paraId="6DB753E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自评得分：99.45分。</w:t>
      </w:r>
    </w:p>
    <w:p w14:paraId="6FB54AF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43.业务培训费</w:t>
      </w:r>
    </w:p>
    <w:p w14:paraId="71AC190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年度目标：用于城管局机关人事业务、政策法规、财务管理等方面培训费用。</w:t>
      </w:r>
    </w:p>
    <w:p w14:paraId="413B05E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绩效目标总体情况：全年业务培训费有效执行，人事业务、政策法规及财务管理等培训目标圆满完成。完成率100%。</w:t>
      </w:r>
    </w:p>
    <w:p w14:paraId="4456612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自评得分：99.3分。</w:t>
      </w:r>
    </w:p>
    <w:p w14:paraId="41CC881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44.市双代办工作经费</w:t>
      </w:r>
    </w:p>
    <w:p w14:paraId="3909CE1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年度目标：保障市双代办工作正常开展，确保我市双代工作正常推进。</w:t>
      </w:r>
    </w:p>
    <w:p w14:paraId="7EA8FA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绩效目标总体情况：市双代办工作正常开展，各项工作正常推进。完成率100%。</w:t>
      </w:r>
    </w:p>
    <w:p w14:paraId="4D55427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自评得分：99.12分。</w:t>
      </w:r>
    </w:p>
    <w:p w14:paraId="48D7D01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45.普法工作经费</w:t>
      </w:r>
    </w:p>
    <w:p w14:paraId="395B479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年度目标：普法工作经费，用于保障机关正常工作所发生的必要费用，确保工作顺利开展。</w:t>
      </w:r>
    </w:p>
    <w:p w14:paraId="524879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绩效目标总体情况：按照工作计划完成政策法规咨询，案卷评查等普法工作。完成率100%。</w:t>
      </w:r>
    </w:p>
    <w:p w14:paraId="145C329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自评得分：98.4分。</w:t>
      </w:r>
    </w:p>
    <w:p w14:paraId="60A2107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46.正太广场、解放广场及周边区域管理办公室工作经费</w:t>
      </w:r>
    </w:p>
    <w:p w14:paraId="3334233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年度目标：通过申请工作经费，保证正太广场、解放广场及周边区域管理工作的正常开展，确保后勤保障服务平稳有序。</w:t>
      </w:r>
    </w:p>
    <w:p w14:paraId="43CEE6E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绩效目标总体情况：日常工作顺利开展，后勤保障服务平稳有序。完成率99.6%。</w:t>
      </w:r>
    </w:p>
    <w:p w14:paraId="29DFFD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自评得分：99.6分。</w:t>
      </w:r>
    </w:p>
    <w:p w14:paraId="674BF430">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47.市景观办工作经费</w:t>
      </w:r>
    </w:p>
    <w:p w14:paraId="6F28D6D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年度目标：购置办公设备，用于保障机关正常工作所发生的必要费用，确保工作顺利开展。完成率100%。</w:t>
      </w:r>
    </w:p>
    <w:p w14:paraId="5DFC2B7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自评得分：98分。</w:t>
      </w:r>
    </w:p>
    <w:p w14:paraId="6D16D674">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48.特许经营项目咨询服务经费</w:t>
      </w:r>
    </w:p>
    <w:p w14:paraId="66F73F6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年度目标：完成滹沱河污水处理厂项目运营期绩效评价，制定西兆通再生水厂绩效评价实施计划。完成率100%。</w:t>
      </w:r>
    </w:p>
    <w:p w14:paraId="75F7808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自评得分：96分。</w:t>
      </w:r>
    </w:p>
    <w:p w14:paraId="3D4745E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49.户外广告拍卖方案编制经费</w:t>
      </w:r>
    </w:p>
    <w:p w14:paraId="41ECE5E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为践行经营城市理念，加强城市精细化管理，规范城市经营活动，盘活城市公共资源，建立公开、公平、公正的城市公共资源经营管理新机制，推动建设现代化国际化美丽省会城市，对市区大型户外广告进行公开拍卖。</w:t>
      </w:r>
    </w:p>
    <w:p w14:paraId="50FC586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绩效目标总体情况：已完成户外广告拍卖方案编制工作。完成率100%。</w:t>
      </w:r>
    </w:p>
    <w:p w14:paraId="4A3780A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自评得分：95分。</w:t>
      </w:r>
    </w:p>
    <w:p w14:paraId="0C92F44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50.办公设备购置</w:t>
      </w:r>
    </w:p>
    <w:p w14:paraId="3E38DA0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年度目标：购置办公设备，用于保障机关正常工作所发生的必要费用。</w:t>
      </w:r>
    </w:p>
    <w:p w14:paraId="61DAED6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绩效目标总体情况：已完成购置办公设备，用于保障机关正常工作所发生的必要费用。完成率100%。</w:t>
      </w:r>
    </w:p>
    <w:p w14:paraId="4E2BF9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自评得分：98分。</w:t>
      </w:r>
    </w:p>
    <w:p w14:paraId="1B92271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51.海绵城市方案编制及海绵办工作经费</w:t>
      </w:r>
    </w:p>
    <w:p w14:paraId="4CB3AB0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年度目标：完成石家庄市海绵城市建设示范城市系统化城市方案编制，开展系统化全域推进海绵城市建设工作任务，工作经费用于保障海绵办日常工作的顺利开展。</w:t>
      </w:r>
    </w:p>
    <w:p w14:paraId="31EC1D6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绩效目标总体情况：完成了公务用车租赁，采购了插排、笔记本、A4纸等日常办公用品，保障了海绵办日常工作开展顺利。完成率100%。</w:t>
      </w:r>
    </w:p>
    <w:p w14:paraId="668C6BA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自评得分：94分。</w:t>
      </w:r>
    </w:p>
    <w:p w14:paraId="0A317A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52.给水、污水再生利用工程两项规划编制经费</w:t>
      </w:r>
    </w:p>
    <w:p w14:paraId="61B6E8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年度目标：完成给水、污水再生利用工程两项规划编制，为后期工作正常开展进行指导。</w:t>
      </w:r>
    </w:p>
    <w:p w14:paraId="5536125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绩效目标总体情况：12月底前完成规划编制初步成果完成率90%。</w:t>
      </w:r>
    </w:p>
    <w:p w14:paraId="1F72546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自评得分：99分。</w:t>
      </w:r>
    </w:p>
    <w:p w14:paraId="72937D4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53.环卫工人意外伤害救助金</w:t>
      </w:r>
    </w:p>
    <w:p w14:paraId="52FDFED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进一步提高环卫工人的待遇，切实保障环卫工人健康权益，帮助解决环卫工人生产生活困难，促进环卫事业发展，对我市环卫工人本人及其家庭成员重大疾病医疗和因突发事件或意外灾害造成生活困难的临时应急救助。</w:t>
      </w:r>
    </w:p>
    <w:p w14:paraId="402D4CA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绩效目标总体情况：帮助解决环卫工人生产生活困难，对环卫工人开展救助，共救助6人。完成率100%。</w:t>
      </w:r>
    </w:p>
    <w:p w14:paraId="4922C27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自评得分：92.4分。</w:t>
      </w:r>
    </w:p>
    <w:p w14:paraId="11432DC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54.城市宣传费</w:t>
      </w:r>
    </w:p>
    <w:p w14:paraId="11512A0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年度目标：城管系统宣传活动组织、新闻报道发布、舆论引导、新媒体运营推广、公示公告、宣传片留存制作、新闻专业技能培训等。</w:t>
      </w:r>
    </w:p>
    <w:p w14:paraId="448D901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绩效目标总体情况：新闻专业技能培训、新媒体运营推广、城管系统宣传活动组织、新闻报道发布、舆论引导、公示公告、宣传片留存制作。完成率95%。</w:t>
      </w:r>
    </w:p>
    <w:p w14:paraId="35289D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自评得分：95分。</w:t>
      </w:r>
    </w:p>
    <w:p w14:paraId="65DD71D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55.建设南大街35号院前楼修缮项目资金</w:t>
      </w:r>
    </w:p>
    <w:p w14:paraId="04C7638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年度目标：完成城市管理综合行政执法局办公楼1-3层办公层基础修缮工作，改善办公环境，消除安全隐患。</w:t>
      </w:r>
    </w:p>
    <w:p w14:paraId="7DF1651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绩效目标总体情况：城市管理综合行政执法局办公楼1-3层办公层基础修缮工作，改善办公环境，消除安全隐患,已完成。完成率100%。</w:t>
      </w:r>
    </w:p>
    <w:p w14:paraId="467FB67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自评得分：94.8分。</w:t>
      </w:r>
    </w:p>
    <w:p w14:paraId="52AE2AF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56.城市管理运行经费</w:t>
      </w:r>
    </w:p>
    <w:p w14:paraId="535F6D4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年度目标：用于市委、市政府交办的有关市容市貌、环境卫生、供水、供气、供暖、燃热等方面突发事件的处置，持续推进城市环境综合整治、城市功能与品质提升行动。</w:t>
      </w:r>
    </w:p>
    <w:p w14:paraId="55ED07A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绩效目标总体情况：城市管理运行经费年初绩效目标圆满完成，全年未发生重大突发事件，市容市貌、环境卫生及城市功能与品质提升行动持续推进，成效显著。完成率0%。</w:t>
      </w:r>
    </w:p>
    <w:p w14:paraId="5089644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5254D8F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57.业务咨询委托费</w:t>
      </w:r>
    </w:p>
    <w:p w14:paraId="7747B7E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年度目标：用于支付城市管理综合执法宣传、法规性文件制定修订审核、律师咨询费、审计服务费等费用。完成率100%。</w:t>
      </w:r>
    </w:p>
    <w:p w14:paraId="2E39513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自评得分：94.5分。</w:t>
      </w:r>
    </w:p>
    <w:p w14:paraId="756390B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58.正太广场、解放广场及周边区域管护资金</w:t>
      </w:r>
    </w:p>
    <w:p w14:paraId="5D0335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年度目标：保障正太广场管护范围内的保安、保洁、广场综合管护、绿化养护等工作正常开展，提升现代化、国际化美丽省会形象品位。完成率96%。</w:t>
      </w:r>
    </w:p>
    <w:p w14:paraId="7F163A4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自评得分：96分。</w:t>
      </w:r>
    </w:p>
    <w:p w14:paraId="1D04A84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59.中华大街景观提升工程</w:t>
      </w:r>
    </w:p>
    <w:p w14:paraId="77E316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年度目标：对中华大街南二环至北二环沿线建筑进行高标准外立面提升，对夜景照明提升，增设部分城市家具。完成率0%。</w:t>
      </w:r>
    </w:p>
    <w:p w14:paraId="533D8E8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5C27AB3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60.2024年生活垃圾分类运行费用</w:t>
      </w:r>
    </w:p>
    <w:p w14:paraId="190D1AA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对23个县（市、区）、83个街道（镇）、2900余家公共机构以及约5000个居民小区的全面考评，进一步提高垃圾投放的准确率与回收利用率。利用线上线下多渠道宣传，广泛普及垃圾分类的益处、分类不当的潜在危害以及正确的分类方法，旨在提升全民的垃圾分类参与率。</w:t>
      </w:r>
    </w:p>
    <w:p w14:paraId="5E1A081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绩效目标总体情况：完成率70%。</w:t>
      </w:r>
    </w:p>
    <w:p w14:paraId="1054096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自评得分：70分。</w:t>
      </w:r>
    </w:p>
    <w:p w14:paraId="0D7D67E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61.垃圾监测整治经费</w:t>
      </w:r>
    </w:p>
    <w:p w14:paraId="5C34CBF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年度目标：积存垃圾监管盲区，减少积存垃圾对环境造成污染，加强垃圾处理设施的安全规范运营监测。</w:t>
      </w:r>
    </w:p>
    <w:p w14:paraId="27F1B26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绩效目标总体情况：完成率100%。</w:t>
      </w:r>
    </w:p>
    <w:p w14:paraId="01EE932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自评得分：94.1分。</w:t>
      </w:r>
    </w:p>
    <w:p w14:paraId="0ED87D7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62.公益广告设置经费</w:t>
      </w:r>
    </w:p>
    <w:p w14:paraId="0E4B7C7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年度目标：通过设置公益广告，提升石家庄城市形象，巩固国家文明城市创建成果，做好卫生城市创建的公益广告宣传工作。</w:t>
      </w:r>
    </w:p>
    <w:p w14:paraId="725F27E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绩效目标总体情况：完成率0%。          </w:t>
      </w:r>
    </w:p>
    <w:p w14:paraId="4734211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19EEEE2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63.城市地下市政基础设施普查工作经费</w:t>
      </w:r>
    </w:p>
    <w:p w14:paraId="4197AB4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年度目标：对城市地下的各类市政基础设施进行全面、系统、准确的调查和统计工作，了解城市地下基础设施的现状和发展趋势，为城市规划、管理和决策提供科学依据。</w:t>
      </w:r>
    </w:p>
    <w:p w14:paraId="6A26768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绩效目标总体情况：完成率0%。</w:t>
      </w:r>
    </w:p>
    <w:p w14:paraId="31EF0A5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自评得分：0分。</w:t>
      </w:r>
    </w:p>
    <w:p w14:paraId="2B1E716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64.城管局机关2023年及以前年度城建项目资金</w:t>
      </w:r>
    </w:p>
    <w:p w14:paraId="294A3C3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高铁片区（含新华商业广场）、建华大街（裕华路—和平路）景观提升、宪法公园周边提升等项目实施，完善城市基础设施，提升城市品质，推动城市高质量发展。通过小街小巷整治提升工程（创建100条精品街道）等项目实施，提高市民的文明习惯，提升城市品质，推动城市高质量发展。</w:t>
      </w:r>
    </w:p>
    <w:p w14:paraId="6BF851B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高铁片区（含新华商业广场）、建华大街（裕华路—和平路）景观提升、宪法公园周边提升等项目实施，共提升170栋建筑和新华商业广场部分建筑；二环路建筑立面和建筑前区景观任务共计99处；对新城大道、中华北大街、体育大街、裕华东路、南二环东延、107国道南、石铜路、新华路、裕华西路、中山路二环至三环范围内50处建筑和绿化点位进行了高标准提升。小街小巷整治提升工程，共组织市内四区完成20条精品街道创建任务。完成率100%。</w:t>
      </w:r>
    </w:p>
    <w:p w14:paraId="0CA12B4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自评得分：95.4分。</w:t>
      </w:r>
    </w:p>
    <w:p w14:paraId="4B94A94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65.平安大街提升工程</w:t>
      </w:r>
    </w:p>
    <w:p w14:paraId="639E2CE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平安大街（塔北路—胜利北街）进行提升。主要包括输电线路入地、新建电缆隧道、环网柜、变电箱等；对全线市政道路进行提升，对全线交通信号、通信、天网线缆等实施入地；对沿线老旧或立面风貌与周边极不协调建筑进行提升。</w:t>
      </w:r>
    </w:p>
    <w:p w14:paraId="2079056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绩效目标总体情况：完成率100%。</w:t>
      </w:r>
    </w:p>
    <w:p w14:paraId="52E2128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自评得分：93分。</w:t>
      </w:r>
    </w:p>
    <w:p w14:paraId="195E5FA9">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B.石家庄市市容环卫服务中心项目数5个。</w:t>
      </w:r>
    </w:p>
    <w:p w14:paraId="32BD921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本年度项目预算安排资金72.66万元，执行数72.65万元，执行率99.99%。总体绩效目标实现情况优秀。</w:t>
      </w:r>
    </w:p>
    <w:p w14:paraId="7713749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229A8C4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（1）年度目标：通过组织党员学习培训教育活动，开展红色教育、爱国主义教育活动，以提高党员政治理论水平，增强党员凝聚力和责任感，加强党组织建设。</w:t>
      </w:r>
    </w:p>
    <w:p w14:paraId="099712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全年共组织召开支部委员会13次、支部党员大会18次、党课学习4次、开展主题党日活动12次、组织生活会2次、党员志愿服务活动3次、谈心谈话近21人次。党员的思想政治水平得到提升，党员的凝聚力和责任感增强。</w:t>
      </w:r>
    </w:p>
    <w:p w14:paraId="7BB59CB5">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（3）自评得分：99.87分。</w:t>
      </w:r>
    </w:p>
    <w:p w14:paraId="5C9C504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w:t>
      </w:r>
    </w:p>
    <w:p w14:paraId="1555D3D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（1）年度目标：购置办公设备，提高工作效率，改善办公环境，提高职工满意度。</w:t>
      </w:r>
    </w:p>
    <w:p w14:paraId="38B4B56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（2）绩效目标完成情况：购买了办公设备和家具15件，改善了办公环境，提高了职工满意度。</w:t>
      </w:r>
    </w:p>
    <w:p w14:paraId="69703C2D">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（3）自评得分：100分。</w:t>
      </w:r>
    </w:p>
    <w:p w14:paraId="0149B9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3.物业管理费</w:t>
      </w:r>
    </w:p>
    <w:p w14:paraId="106F67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（1）年度目标：通过开展物业服务，保障中心院落及办公楼日常维护管理与安全，提供良好办公环境。</w:t>
      </w:r>
    </w:p>
    <w:p w14:paraId="4540BFD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（2）绩效目标完成情况：中心院落安全得到保障，创造了良好办公环境，职工办公效率提高。</w:t>
      </w:r>
    </w:p>
    <w:p w14:paraId="6543F7D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1E1F9D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4.冬季融雪及移动公厕运行经费</w:t>
      </w:r>
    </w:p>
    <w:p w14:paraId="7689D73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（1）年度目标：通过对融雪设施设备进行日常维修维护，使其正常运转，以完成冬季融雪保障任务。对车载公厕进行维护维修，保持正常工作，以便按上级要求为大型活动随时开展保障服务。</w:t>
      </w:r>
    </w:p>
    <w:p w14:paraId="18BC06A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全年新进融雪剂2481吨，向各区发放融雪剂1271吨、融雪液1475立方，融雪池投放590吨，截止到目前现有存储融雪液1500立方，融雪剂697.5吨，对输送机滚轴和行动轮进行加固和改装，对融雪池搅拌泵、供暖空气能循环泵进行更换，确保雪情发生时应对及时。对车载公厕进行维护，出色完成车载公厕保障任务，保障广大市民正常出行。</w:t>
      </w:r>
    </w:p>
    <w:p w14:paraId="6F941BF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C29878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5.事业单位更新电脑设备经费</w:t>
      </w:r>
    </w:p>
    <w:p w14:paraId="41AC4F3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（1）年度目标：按计划完成办公设备购置。</w:t>
      </w:r>
    </w:p>
    <w:p w14:paraId="412F01F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（2）绩效目标完成情况：购置电脑一台，打印机一台，提升了职工工作效率。</w:t>
      </w:r>
    </w:p>
    <w:p w14:paraId="791B467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14D284E">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C.石家庄市环境卫生事务中心项目数15个。</w:t>
      </w:r>
    </w:p>
    <w:p w14:paraId="388182BA">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本年度项目预算安排资金16975.71万元，执行数16970.96万元，执行率99.97%。总体绩效目标实现情况优秀。</w:t>
      </w:r>
    </w:p>
    <w:p w14:paraId="4367C6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1E6AF205">
      <w:p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仿宋" w:hAnsi="仿宋" w:eastAsia="仿宋"/>
          <w:sz w:val="32"/>
          <w:szCs w:val="32"/>
          <w:lang w:val="en-US" w:eastAsia="zh-CN"/>
        </w:rPr>
        <w:t>（1）年度目标：组织机关全体党员学习、观摩，接受党史教育，增强每个党员的政治性和责任感，加强党委组织建设。</w:t>
      </w:r>
    </w:p>
    <w:p w14:paraId="72E318C0">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组织机关全体党员集中学习12次、志愿服务活动3次</w:t>
      </w:r>
      <w:r>
        <w:rPr>
          <w:rFonts w:hint="eastAsia" w:ascii="仿宋" w:hAnsi="仿宋" w:eastAsia="仿宋"/>
          <w:sz w:val="32"/>
          <w:szCs w:val="32"/>
          <w:lang w:val="en-US" w:eastAsia="zh-CN"/>
        </w:rPr>
        <w:t>、</w:t>
      </w:r>
      <w:r>
        <w:rPr>
          <w:rFonts w:hint="default" w:ascii="仿宋" w:hAnsi="仿宋" w:eastAsia="仿宋"/>
          <w:sz w:val="32"/>
          <w:szCs w:val="32"/>
          <w:lang w:val="en-US" w:eastAsia="zh-CN"/>
        </w:rPr>
        <w:t>主题党日活动5次，通过党纪学习教育，增强每个党员政治判断力、政治领悟力、政治执行力不断提升，听党话、感党恩、跟党走的思想更加坚定</w:t>
      </w:r>
      <w:r>
        <w:rPr>
          <w:rFonts w:hint="eastAsia" w:ascii="仿宋" w:hAnsi="仿宋" w:eastAsia="仿宋"/>
          <w:sz w:val="32"/>
          <w:szCs w:val="32"/>
          <w:lang w:val="en-US" w:eastAsia="zh-CN"/>
        </w:rPr>
        <w:t>。</w:t>
      </w:r>
      <w:r>
        <w:rPr>
          <w:rFonts w:hint="default" w:ascii="仿宋" w:hAnsi="仿宋" w:eastAsia="仿宋"/>
          <w:sz w:val="32"/>
          <w:szCs w:val="32"/>
          <w:lang w:val="en-US" w:eastAsia="zh-CN"/>
        </w:rPr>
        <w:t>完成率100%。</w:t>
      </w:r>
    </w:p>
    <w:p w14:paraId="538AF88E">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7C2279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w:t>
      </w:r>
    </w:p>
    <w:p w14:paraId="66896F2B">
      <w:p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仿宋" w:hAnsi="仿宋" w:eastAsia="仿宋"/>
          <w:sz w:val="32"/>
          <w:szCs w:val="32"/>
          <w:lang w:val="en-US" w:eastAsia="zh-CN"/>
        </w:rPr>
        <w:t>（1）年度目标：通过购置办公设备，保障机关办公日常运行正常，优化工作环境，提高工作效率。</w:t>
      </w:r>
    </w:p>
    <w:p w14:paraId="6D8E3BF8">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通过购置办公设备，进一步保障了机关办公日常运行正常，优化了工作环境，提高了工作效率。完成率100%。</w:t>
      </w:r>
    </w:p>
    <w:p w14:paraId="5A2D4319">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99.96</w:t>
      </w:r>
      <w:r>
        <w:rPr>
          <w:rFonts w:hint="default" w:ascii="仿宋" w:hAnsi="仿宋" w:eastAsia="仿宋"/>
          <w:sz w:val="32"/>
          <w:szCs w:val="32"/>
          <w:lang w:val="en-US" w:eastAsia="zh-CN"/>
        </w:rPr>
        <w:t>分。</w:t>
      </w:r>
    </w:p>
    <w:p w14:paraId="54646D7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3.信息化项目运行维护费</w:t>
      </w:r>
    </w:p>
    <w:p w14:paraId="59F8B51D">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（1）年度目标：依托环卫数字化管理系统，实现对环卫作业车及运输车、环卫设施、废弃物终端处理的远程监管，以及对环境卫生的全程监控，提高应急处置能力。</w:t>
      </w:r>
    </w:p>
    <w:p w14:paraId="53FA1B69">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根据年初既定目标，实现对环卫作业车及运输车、环卫设施、废弃物终端处理的远程监管，以及对环境卫生的全程监控，应急处置能力明显增强。完成率100%。</w:t>
      </w:r>
    </w:p>
    <w:p w14:paraId="0965E022">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496262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4.代收生活垃圾处理费手续费经费</w:t>
      </w:r>
    </w:p>
    <w:p w14:paraId="3254C903">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（1）年度目标：通过委托新奥燃气公司代收燃气居民用户的生活垃圾处理费，增加财政非税收入；提高城镇垃圾处理水平，改善城市环境卫生质量。</w:t>
      </w:r>
    </w:p>
    <w:p w14:paraId="237AE30A">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通过委托新奥燃气公司代收燃气居民用户的生活垃圾处理费，增加了财政非税收入；提高城镇垃圾处理水平，有效改善了城市环境卫生质量。完成率100%。</w:t>
      </w:r>
    </w:p>
    <w:p w14:paraId="157A74E3">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99.64</w:t>
      </w:r>
      <w:r>
        <w:rPr>
          <w:rFonts w:hint="default" w:ascii="仿宋" w:hAnsi="仿宋" w:eastAsia="仿宋"/>
          <w:sz w:val="32"/>
          <w:szCs w:val="32"/>
          <w:lang w:val="en-US" w:eastAsia="zh-CN"/>
        </w:rPr>
        <w:t>分。</w:t>
      </w:r>
    </w:p>
    <w:p w14:paraId="15F1094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5.生活垃圾处理补助资金</w:t>
      </w:r>
    </w:p>
    <w:p w14:paraId="13B3CAD9">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（1）年度目标：生活垃圾全部实现无害化处理，提高城市垃圾无害化、减量化、资源化处理水平，消灭垃圾围城现象，优化城区居住环境。</w:t>
      </w:r>
    </w:p>
    <w:p w14:paraId="42F35931">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生活垃圾全部实现了无害化处理，提高城市垃圾无害化、减量化、资源化处理水平，消灭垃圾围城现象，优化城区居住环境。完成率100%。</w:t>
      </w:r>
    </w:p>
    <w:p w14:paraId="609352AD">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99.75</w:t>
      </w:r>
      <w:r>
        <w:rPr>
          <w:rFonts w:hint="default" w:ascii="仿宋" w:hAnsi="仿宋" w:eastAsia="仿宋"/>
          <w:sz w:val="32"/>
          <w:szCs w:val="32"/>
          <w:lang w:val="en-US" w:eastAsia="zh-CN"/>
        </w:rPr>
        <w:t>分。</w:t>
      </w:r>
    </w:p>
    <w:p w14:paraId="5959DBE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6.环境卫生绩效考核奖励资金</w:t>
      </w:r>
    </w:p>
    <w:p w14:paraId="479A5E18">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（1）年度目标：每月打破区域界线，按环境卫生绩效考核结果进行全市大排名，奖励优秀网格及达标网格的环卫工人，激发环卫工人工作积极性，提升主城区环境卫生质量。</w:t>
      </w:r>
    </w:p>
    <w:p w14:paraId="55CC9F76">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通过奖励优秀网格及达标网格的环卫工人，激发了环卫工人工作积极性，达到了稳步提升主城区环境卫生质量的目的。完成率100%。</w:t>
      </w:r>
    </w:p>
    <w:p w14:paraId="1C653283">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6216695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7.环境卫生事务专项业务经费</w:t>
      </w:r>
    </w:p>
    <w:p w14:paraId="3DF43FA7">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（1）年度目标：通过宣传，提高城镇生活垃圾处理费收费水平，增加财政收入；提高环境卫生检查考核水平，促进城市洁净度持续改善。</w:t>
      </w:r>
    </w:p>
    <w:p w14:paraId="36A404B0">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不断提高环境卫生检查考核水平，促使各区县作业单位不断改进和提升精细化作业水平，稳步提升我市道路清扫保洁作业质量；通过宣传，提高城镇生活垃圾处理费收费水平，增加了财政非税收入。完成率100%。</w:t>
      </w:r>
    </w:p>
    <w:p w14:paraId="0A50D974">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1557D8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8.环卫维护资金</w:t>
      </w:r>
    </w:p>
    <w:p w14:paraId="5A04E04C">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（1）年度目标：环卫设施设备更新及维修维护，保障环卫设施设备正常运行；购置融雪剂，为冬季市区融雪工作做好准备，保障雪后主城区道路畅通。</w:t>
      </w:r>
    </w:p>
    <w:p w14:paraId="55C7766A">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按计划更新环卫设施设备，确保设施设备正常运行；圆满完成冬季融清雪工作，保障了雪后主城区道路畅通。完成率100%。</w:t>
      </w:r>
    </w:p>
    <w:p w14:paraId="2F7DFDD8">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99.92</w:t>
      </w:r>
      <w:r>
        <w:rPr>
          <w:rFonts w:hint="default" w:ascii="仿宋" w:hAnsi="仿宋" w:eastAsia="仿宋"/>
          <w:sz w:val="32"/>
          <w:szCs w:val="32"/>
          <w:lang w:val="en-US" w:eastAsia="zh-CN"/>
        </w:rPr>
        <w:t>分。</w:t>
      </w:r>
    </w:p>
    <w:p w14:paraId="523C0A8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9.物业管理费</w:t>
      </w:r>
    </w:p>
    <w:p w14:paraId="499B3486">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（1）年度目标：通过开展物业服务，保障环卫事务中心院落及办公楼日常维护管理，提供良好办公环境。</w:t>
      </w:r>
    </w:p>
    <w:p w14:paraId="3C55780E">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通过开展物业服务，保障了环卫事务中心院落及办公楼日常维护管理，提供了良好办公环境。完成率100%。</w:t>
      </w:r>
    </w:p>
    <w:p w14:paraId="3D03A8DC">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3DC980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10.加固改造办公楼资金</w:t>
      </w:r>
    </w:p>
    <w:p w14:paraId="3FEC6CB0">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（1）年度目标：通过加固改造办公楼，保障机关日常工作运行正常，优化工作环境，提高工作效率。</w:t>
      </w:r>
    </w:p>
    <w:p w14:paraId="7E2CDB6E">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待加固改造办公楼工程全部完工后，将进一步保障机关日常工作运行正常，优化工作环境，提高工作效率。完成率100%。</w:t>
      </w:r>
    </w:p>
    <w:p w14:paraId="2E8498F0">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7B05BDD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11.事业单位更新电脑设备经费</w:t>
      </w:r>
    </w:p>
    <w:p w14:paraId="5ABBF7B6">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（1）年度目标：通过购置电脑等办公设备，提高工作效率。</w:t>
      </w:r>
    </w:p>
    <w:p w14:paraId="199BC2CC">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通过购置电脑等办公设备，提高了工作效率。完成率100%。</w:t>
      </w:r>
    </w:p>
    <w:p w14:paraId="414F3C51">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66DCB6A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12.融雪剂采购资金</w:t>
      </w:r>
    </w:p>
    <w:p w14:paraId="2E358A48">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（1）年度目标：购置融雪剂，为冬季市区融雪工作做好准备，保障雪后主城区道路畅通。</w:t>
      </w:r>
    </w:p>
    <w:p w14:paraId="15E8197E">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顺利完成了融清雪工作，保障了道路的通畅。完成率100%。</w:t>
      </w:r>
    </w:p>
    <w:p w14:paraId="132682A1">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526CD49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13.支援涿州清运垃圾租用车辆等费用</w:t>
      </w:r>
    </w:p>
    <w:p w14:paraId="6E2F51D6">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（1）年度目标：租用垃圾清运车辆，支援涿州开展垃圾清运工作，保障涿州城乡灾后环境面貌恢复。</w:t>
      </w:r>
    </w:p>
    <w:p w14:paraId="44F5CD96">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租用垃圾清运车16辆，支援涿州开展垃圾清运工作，保障了涿州城乡灾后环境面貌恢复。完成率100%。</w:t>
      </w:r>
    </w:p>
    <w:p w14:paraId="217C3054">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F03B5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14.劳动聘用人员经费</w:t>
      </w:r>
    </w:p>
    <w:p w14:paraId="7D7A2725">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（1）年度目标：聘用部分劳务聘用人员协助环境卫生检查考核、生活垃圾收费、环卫数字平台监控等工作，保障业务工作顺利开展。</w:t>
      </w:r>
    </w:p>
    <w:p w14:paraId="5D0618BA">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聘用劳务聘用人员分别在调度中心、城镇垃圾处理收费、环卫绩效考核、派驻垃圾处理企业核量岗位完成全年任务，保障环卫各项业务工作顺利开展。完成率100%。</w:t>
      </w:r>
    </w:p>
    <w:p w14:paraId="7DF08E7B">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100</w:t>
      </w:r>
      <w:r>
        <w:rPr>
          <w:rFonts w:hint="default" w:ascii="仿宋" w:hAnsi="仿宋" w:eastAsia="仿宋"/>
          <w:sz w:val="32"/>
          <w:szCs w:val="32"/>
          <w:lang w:val="en-US" w:eastAsia="zh-CN"/>
        </w:rPr>
        <w:t>分。</w:t>
      </w:r>
    </w:p>
    <w:p w14:paraId="170C291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15.2024年劳动聘用人员经费</w:t>
      </w:r>
    </w:p>
    <w:p w14:paraId="0375B099">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（1）年度目标：聘用部分劳务聘用人员协助环境卫生检查考核、生活垃圾收费、环卫数字平台监控等工作，保障业务工作顺利开展。</w:t>
      </w:r>
    </w:p>
    <w:p w14:paraId="47CF06FE">
      <w:pPr>
        <w:adjustRightInd w:val="0"/>
        <w:snapToGrid w:val="0"/>
        <w:spacing w:line="560" w:lineRule="exact"/>
        <w:ind w:firstLine="640" w:firstLineChars="200"/>
        <w:rPr>
          <w:rFonts w:hint="default" w:ascii="仿宋" w:hAnsi="仿宋" w:eastAsia="仿宋"/>
          <w:sz w:val="32"/>
          <w:szCs w:val="32"/>
          <w:lang w:val="en-US" w:eastAsia="zh-CN"/>
        </w:rPr>
      </w:pPr>
      <w:r>
        <w:rPr>
          <w:rFonts w:hint="default" w:ascii="仿宋" w:hAnsi="仿宋" w:eastAsia="仿宋"/>
          <w:sz w:val="32"/>
          <w:szCs w:val="32"/>
          <w:lang w:val="en-US" w:eastAsia="zh-CN"/>
        </w:rPr>
        <w:t>（2）绩效目标</w:t>
      </w:r>
      <w:r>
        <w:rPr>
          <w:rFonts w:hint="eastAsia" w:ascii="仿宋" w:hAnsi="仿宋" w:eastAsia="仿宋"/>
          <w:sz w:val="32"/>
          <w:szCs w:val="32"/>
          <w:lang w:val="en-US" w:eastAsia="zh-CN"/>
        </w:rPr>
        <w:t>完成</w:t>
      </w:r>
      <w:r>
        <w:rPr>
          <w:rFonts w:hint="default" w:ascii="仿宋" w:hAnsi="仿宋" w:eastAsia="仿宋"/>
          <w:sz w:val="32"/>
          <w:szCs w:val="32"/>
          <w:lang w:val="en-US" w:eastAsia="zh-CN"/>
        </w:rPr>
        <w:t>情况</w:t>
      </w:r>
      <w:r>
        <w:rPr>
          <w:rFonts w:hint="eastAsia" w:ascii="仿宋" w:hAnsi="仿宋" w:eastAsia="仿宋"/>
          <w:sz w:val="32"/>
          <w:szCs w:val="32"/>
          <w:lang w:val="en-US" w:eastAsia="zh-CN"/>
        </w:rPr>
        <w:t>：</w:t>
      </w:r>
      <w:r>
        <w:rPr>
          <w:rFonts w:hint="default" w:ascii="仿宋" w:hAnsi="仿宋" w:eastAsia="仿宋"/>
          <w:sz w:val="32"/>
          <w:szCs w:val="32"/>
          <w:lang w:val="en-US" w:eastAsia="zh-CN"/>
        </w:rPr>
        <w:t>聘用劳务聘用人员分别在调度中心、城镇垃圾处理收费、环卫绩效考核、派驻垃圾处理企业核量岗位完成全年任务，保障环卫各项业务工作顺利开展。完成率100%。</w:t>
      </w:r>
    </w:p>
    <w:p w14:paraId="2810EBA6">
      <w:pPr>
        <w:adjustRightInd w:val="0"/>
        <w:snapToGrid w:val="0"/>
        <w:spacing w:line="560" w:lineRule="exact"/>
        <w:ind w:firstLine="640" w:firstLineChars="200"/>
        <w:rPr>
          <w:rFonts w:hint="eastAsia" w:ascii="仿宋" w:hAnsi="仿宋" w:eastAsia="仿宋"/>
          <w:sz w:val="32"/>
          <w:szCs w:val="32"/>
          <w:lang w:val="en-US" w:eastAsia="zh-CN"/>
        </w:rPr>
      </w:pPr>
      <w:r>
        <w:rPr>
          <w:rFonts w:hint="default" w:ascii="仿宋" w:hAnsi="仿宋" w:eastAsia="仿宋"/>
          <w:sz w:val="32"/>
          <w:szCs w:val="32"/>
          <w:lang w:val="en-US" w:eastAsia="zh-CN"/>
        </w:rPr>
        <w:t>（3）自评得分：</w:t>
      </w:r>
      <w:r>
        <w:rPr>
          <w:rFonts w:hint="eastAsia" w:ascii="仿宋" w:hAnsi="仿宋" w:eastAsia="仿宋"/>
          <w:sz w:val="32"/>
          <w:szCs w:val="32"/>
          <w:lang w:val="en-US" w:eastAsia="zh-CN"/>
        </w:rPr>
        <w:t>99.77</w:t>
      </w:r>
      <w:r>
        <w:rPr>
          <w:rFonts w:hint="default" w:ascii="仿宋" w:hAnsi="仿宋" w:eastAsia="仿宋"/>
          <w:sz w:val="32"/>
          <w:szCs w:val="32"/>
          <w:lang w:val="en-US" w:eastAsia="zh-CN"/>
        </w:rPr>
        <w:t>分。</w:t>
      </w:r>
    </w:p>
    <w:p w14:paraId="48993903">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D.石家庄市市容管理考评中心项目数6个。</w:t>
      </w:r>
    </w:p>
    <w:p w14:paraId="2C3FCFB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本年度项目预算安排资金3258.2万元，执行数3232.18万元，执行率99.20%。总体绩效目标实现情况优秀。</w:t>
      </w:r>
    </w:p>
    <w:p w14:paraId="21B237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1、党组织活动经费项目</w:t>
      </w:r>
    </w:p>
    <w:p w14:paraId="2632D3D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增强党支部工作的活力，不断提高党支部建设水平，有效推动机关党建工作整体水平上台阶。以加强基层组织建设、提高党员素质、服务人民群众、促进各项工作为目标，以党组织活动的经常化、制度化、规范化为保证。</w:t>
      </w:r>
    </w:p>
    <w:p w14:paraId="12CFC01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（2）绩效目标总体情况：增强了党支部工作的活力，不断提高党支部建设水平，有效推动了机关党建工作整体水平上台阶。完成率100%。</w:t>
      </w:r>
    </w:p>
    <w:p w14:paraId="58C1AD7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28BA31F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2、办公设备购置费项目</w:t>
      </w:r>
    </w:p>
    <w:p w14:paraId="2CEA4C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（1）年度目标：按照《河北省机关档案工作目标管理认定办法》完成十四五档案工作管理3A认定工作，配备相关办公设备。完善数字城管监督指挥大厅基础设施配备，提高监督指挥新效能。</w:t>
      </w:r>
    </w:p>
    <w:p w14:paraId="7F8C941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（2）绩效目标总体情况：档案管理基础设施配备和监督指挥大厅基础设备配备预期购置均已全部完成。完成率100%。</w:t>
      </w:r>
    </w:p>
    <w:p w14:paraId="199AF00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0964E3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3、工作场地租赁费项目</w:t>
      </w:r>
    </w:p>
    <w:p w14:paraId="3FB4D2B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（1）年度目标：按照预算安排情况，及时支付场地租赁费用，确保数字城管系统顺畅运行。确保数字城管业务正常开展，以推动市容考评工作提升，推动城管事业发展。</w:t>
      </w:r>
    </w:p>
    <w:p w14:paraId="4E8A688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（2）绩效目标总体情况：租赁万悦大厦2523.84平米用房，保证了数字城管系统顺畅运行，推动了市容考评工作提升，促进了城管事业发展。完成率100%。</w:t>
      </w:r>
    </w:p>
    <w:p w14:paraId="0FF4771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35FE1E3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4、数字化城市管理运行经费项目</w:t>
      </w:r>
    </w:p>
    <w:p w14:paraId="5544C0A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（1）年度目标：最大限度发挥采集队伍工作效能，通过监督巡查，及时发现上报各类城市管理问题，避免恶性事件发生。利用采集队伍街面巡查工作便利，开展各类城市管理问题专项普查，节约财政资金。</w:t>
      </w:r>
    </w:p>
    <w:p w14:paraId="41732FC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2024年全年，监督员上报的112.20万多件案卷中，直接涉及市民出行安全类问题有道路破损8362件、道路积水2423件、路面塌陷3759件、架空线缆问题5624件、井盖问题18600件、树木倾倒折断8759件、管道问题1544件。派遣责任部门及时妥善处置，降低公众人身和财产损失，防止和降低恶性事件发生。一年来,先后组织路灯标识橱窗LED、落地标识门头牌匾、工程围挡、地道桥通道及周边、充电柜充电桩、户外大型广告等13项专项普查排查统计工作，出动监督员6986人,累计发现上报问题(情况)2.33万件处（次），均在规定时间内按时完成。利用监督员街面巡查工作便利，相比采用第三方服务开展普查，更及时发现城市中存在的公共危害，节省多部门人工巡查投入，节约大量财政资金。完成率100%。</w:t>
      </w:r>
    </w:p>
    <w:p w14:paraId="3B8098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（3）自评得分：99.96分。</w:t>
      </w:r>
    </w:p>
    <w:p w14:paraId="7489220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5、劳动聘用人员经费项目</w:t>
      </w:r>
    </w:p>
    <w:p w14:paraId="1C21523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（1）年度目标：通过聘用劳务派遣人员，开展街面巡查采集工作，配合各类城市管理问题专项普查工作，保障数字城管工作顺利开展。保障数字城管监督员工资按时发放，保障各项社会保险按时缴纳。</w:t>
      </w:r>
    </w:p>
    <w:p w14:paraId="49F4355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通过聘用劳务派遣人员，有力保障了街面巡查采集工作正常开展，配合开展了各类城市管理问题专项普查工作，确保数字城管工作顺利开展。2024年全年数字城管监督员工资均按时发放，各项社会保险均已按时缴纳，顺利完成了劳动聘用人员工资待遇保障工作。</w:t>
      </w:r>
    </w:p>
    <w:p w14:paraId="7D0EBE1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（3）自评得分：99.64分。</w:t>
      </w:r>
    </w:p>
    <w:p w14:paraId="12D8D45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6、2024年劳动聘用人员经费项目</w:t>
      </w:r>
    </w:p>
    <w:p w14:paraId="73876DD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（1）年度目标：通过聘用劳务派遣人员，开展街面巡查采集工作，配合各类城市管理问题专项普查工作，保障数字城管工作顺利开展。保障数字城管监督员工资按时发放，保障各项社会保险按时缴纳。</w:t>
      </w:r>
    </w:p>
    <w:p w14:paraId="458283A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通过聘用劳务派遣人员，有力保障了街面巡查采集工作正常开展，配合开展了各类城市管理问题专项普查工作，确保数字城管工作顺利开展。2024年全年数字城管监督员工资均按时发放，各项社会保险均已按时缴纳，顺利完成了劳动聘用人员工资待遇保障工作。</w:t>
      </w:r>
    </w:p>
    <w:p w14:paraId="7AD24D0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（3）自评得分：98.62分。</w:t>
      </w:r>
    </w:p>
    <w:p w14:paraId="5599FA2F">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E.石家庄市道桥设施管护中心项目数15个。</w:t>
      </w:r>
    </w:p>
    <w:p w14:paraId="59EC048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本年度项目预算安排资金16604.56万元，执行数14351.3万元，执行率86.43%。总体绩效目标实现情况优秀。</w:t>
      </w:r>
    </w:p>
    <w:p w14:paraId="77E5E82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07DD19F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（1）年度目标：组织开展“三会一课”、主题党日活动，加强基层组织建设和党员队伍教育管理，提升政治理论水平，推动党组织标准化建设。</w:t>
      </w:r>
    </w:p>
    <w:p w14:paraId="42A5937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按时保质保量组织开展全年组织开展“三会一课”、七一等主题党日活动，开展“双争”、“千万”活动和争创党建品牌、四强党支部、党纪学习教育等一系列活动，加强了基层组织建设和党员队伍教育管理，提升政治理论水平，推动党组织标准化建设。完成率100%。</w:t>
      </w:r>
    </w:p>
    <w:p w14:paraId="6E53A1C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B5713C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2.办公设备购置资金</w:t>
      </w:r>
    </w:p>
    <w:p w14:paraId="1B911C4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（1）年度目标：购买办公设备，保证工作正常运转，提升办公环境。</w:t>
      </w:r>
    </w:p>
    <w:p w14:paraId="0BF4294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（2）绩效目标总体情况：通过添置办公设备，提高了办公效率，改善了工作环境，提高了职工满意度。完成率100%。</w:t>
      </w:r>
    </w:p>
    <w:p w14:paraId="11E023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1D40D2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3.道路桥梁管理系统运行费</w:t>
      </w:r>
    </w:p>
    <w:p w14:paraId="07BD2A6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（1）年度目标：用于保证2024年度道路桥梁信息管理系统正常运行。</w:t>
      </w:r>
    </w:p>
    <w:p w14:paraId="698BC87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（2）绩效目标总体情况：通过新项目的实施，保证了本单位2024年度道路桥梁信息管理系统正常运行。完成率100%。</w:t>
      </w:r>
    </w:p>
    <w:p w14:paraId="75844F43">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（3）自评得分：100分。</w:t>
      </w:r>
    </w:p>
    <w:p w14:paraId="0024850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4.机关公务用车租赁费</w:t>
      </w:r>
    </w:p>
    <w:p w14:paraId="1BD65F9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（1）年度目标：租用车辆满足日常公务出行需求并规范车辆管理，提高工作效率节约车辆运行成本。</w:t>
      </w:r>
    </w:p>
    <w:p w14:paraId="40A6A90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（2）绩效目标总体情况：通过租用车辆满足了日常公务出行需求并规范了车辆管理，提高了工作效率，节约了车辆运行成本，方便了公务出行。完成率100%。</w:t>
      </w:r>
    </w:p>
    <w:p w14:paraId="10AA7F7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AA73913">
      <w:pPr>
        <w:adjustRightInd w:val="0"/>
        <w:snapToGrid w:val="0"/>
        <w:spacing w:line="560" w:lineRule="exact"/>
        <w:ind w:firstLine="640" w:firstLineChars="200"/>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5.桥涵所办公区及桥梁检测站加固维修经费</w:t>
      </w:r>
    </w:p>
    <w:p w14:paraId="6D99552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（1）年度目标：主要用于桥涵所办公区的改善维修，提升办公环境。</w:t>
      </w:r>
    </w:p>
    <w:p w14:paraId="61D8D9F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（2）绩效目标总体情况：已完成桥涵所办公区加固改造工程，内容包括建筑保温、防水、涂装，院内路面、采暖工程、电力工程及其他零星工程。完成率100%。</w:t>
      </w:r>
    </w:p>
    <w:p w14:paraId="1B4C796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（3）自评得分：98.1分。</w:t>
      </w:r>
    </w:p>
    <w:p w14:paraId="63818BB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6.道桥设施管护中心办公楼加固改造及恢复工程经费</w:t>
      </w:r>
    </w:p>
    <w:p w14:paraId="71E69A0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（1）年度目标：对办公楼进行加固及恢复，改善办公环境。</w:t>
      </w:r>
    </w:p>
    <w:p w14:paraId="44CDE34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（2）绩效目标总体情况：2024年对办公楼进行加固及恢复，主要包括楼板加固、砖墙加固、梁加固、基础加固，加固恢复处理，防水处理、部分内墙粉刷，工程已完工，剩余尾款2025年完成支付。完成率100%。</w:t>
      </w:r>
    </w:p>
    <w:p w14:paraId="62BB21F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（3）自评得分：97.8分。</w:t>
      </w:r>
    </w:p>
    <w:p w14:paraId="67B4CB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7.公务用车购置经费</w:t>
      </w:r>
    </w:p>
    <w:p w14:paraId="23585A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（1）年度目标：购买车辆满足日常公务出行需求并规范车辆管理，提高工作效率节约车辆运行成本。</w:t>
      </w:r>
    </w:p>
    <w:p w14:paraId="4A3084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（2）绩效目标总体情况：已购置一辆公务用车，便利了单位职工公务出行。完成率100%。</w:t>
      </w:r>
    </w:p>
    <w:p w14:paraId="23739F3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08B3F2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8.道路灾害预警雷达系统尾款  </w:t>
      </w:r>
    </w:p>
    <w:p w14:paraId="225A8B4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（1）年度目标：完成对道路灾害预警雷达系统质保金的支付。</w:t>
      </w:r>
    </w:p>
    <w:p w14:paraId="4435441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（2）绩效目标总体情况：我单位2024年已完成对道路灾害预警雷达系统质保金的支付。完成率100%。</w:t>
      </w:r>
    </w:p>
    <w:p w14:paraId="4FAA4BE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BB2D72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9.事业单位更新电脑设备经费</w:t>
      </w:r>
    </w:p>
    <w:p w14:paraId="31D5233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（1）年度目标：主要用于保障办公设备购置，提升员工办公效率。</w:t>
      </w:r>
    </w:p>
    <w:p w14:paraId="576014E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（2）绩效目标总体情况：购买电脑、打印机等办公设备，保证工作正常运转，提升办公环境。完成率100%。</w:t>
      </w:r>
    </w:p>
    <w:p w14:paraId="3524ED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04C66F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10.三环路积水点改造项目</w:t>
      </w:r>
    </w:p>
    <w:p w14:paraId="7BA8477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（1）年度目标：通过本项目的实施，消除三环路的防汛安全隐患，有效处理区域内降雨积水问题，保障了市民出行安全。</w:t>
      </w:r>
    </w:p>
    <w:p w14:paraId="105F5C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（2）绩效目标总体情况：2024年12月24日取得施工许可证，12月25日全面进场，12月30日已完成支出工程预付款2898.94万元。完成率92%。</w:t>
      </w:r>
    </w:p>
    <w:p w14:paraId="5E7A76D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（3）自评得分：92分。</w:t>
      </w:r>
    </w:p>
    <w:p w14:paraId="1010DBC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11.桥梁检测仪器采购资金</w:t>
      </w:r>
    </w:p>
    <w:p w14:paraId="09A6990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（1）年度目标：通过桥梁检测仪器采购，保障桥梁检测工作正常进行。</w:t>
      </w:r>
    </w:p>
    <w:p w14:paraId="560A660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（2）绩效目标总体情况：该项目2024年度未执行。完成率0%。</w:t>
      </w:r>
    </w:p>
    <w:p w14:paraId="2779F48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（3）自评得分：0分。</w:t>
      </w:r>
    </w:p>
    <w:p w14:paraId="3FAC736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12.桥梁巡检升降车采购资金</w:t>
      </w:r>
    </w:p>
    <w:p w14:paraId="6B8F481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（1）年度目标：通过桥梁巡检升降车采购，保障桥梁日常巡检工作正常进行。</w:t>
      </w:r>
    </w:p>
    <w:p w14:paraId="56E5F40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（2）绩效目标总体情况：2024年我单位已完成两辆桥梁巡检升降车的采购。完成率100%。</w:t>
      </w:r>
    </w:p>
    <w:p w14:paraId="2189DB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（3）自评得分：99.29分。</w:t>
      </w:r>
    </w:p>
    <w:p w14:paraId="69D776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13.掘路修复费</w:t>
      </w:r>
    </w:p>
    <w:p w14:paraId="571CD5B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（1）年度目标：完成道路挖掘修复，保证修复质量。</w:t>
      </w:r>
    </w:p>
    <w:p w14:paraId="496D7A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（2）绩效目标总体情况：完成预算金额，质量合格，                       实际修复面积17594平方米。完成率100%。</w:t>
      </w:r>
    </w:p>
    <w:p w14:paraId="03C1A91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（3）自评得分：99.97分。</w:t>
      </w:r>
    </w:p>
    <w:p w14:paraId="475642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14.城市道路桥梁设施维护费</w:t>
      </w:r>
    </w:p>
    <w:p w14:paraId="218DD8A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（1）年度目标：完成维护任务，保证质量，按时支付。</w:t>
      </w:r>
    </w:p>
    <w:p w14:paraId="5A486BF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（2）绩效目标总体情况：完成预算金额，质量合格，按时支付，实际完成道路26.79万平方米。完成100%。</w:t>
      </w:r>
    </w:p>
    <w:p w14:paraId="7F4D7C1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36966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15.道桥中心2023年及以前年度城建项目资金</w:t>
      </w:r>
    </w:p>
    <w:p w14:paraId="4C6770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（1）年度目标：通过完成拆除高架桥隔音屏安装护栏及挡墙粉刷任务，完成道桥设施整改任务，保证工作质量，推动城市高质量发展。</w:t>
      </w:r>
    </w:p>
    <w:p w14:paraId="6B96A6D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（2）绩效目标总体情况：高质量完成道桥设施整改任务，已完成资金的支付。完成率100%。</w:t>
      </w:r>
    </w:p>
    <w:p w14:paraId="1EEC3AF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11D8962">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F.石家庄市城市照明管护中心项目数8个。</w:t>
      </w:r>
    </w:p>
    <w:p w14:paraId="3E4141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本年度项目预算安排资金9695.7万元，执行数9683.24万元，执行率99.87%。总体绩效目标实现情况优秀。</w:t>
      </w:r>
    </w:p>
    <w:p w14:paraId="3706364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1E8D6CE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（1）年度目标：组织党员赴革命教育基地参观学习，提高党员政治觉悟，购置习近平重要论述、讲话等书籍，确保学习效果。</w:t>
      </w:r>
    </w:p>
    <w:p w14:paraId="5AAF960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（2）绩效目标总体情况：完成党组织活动经费项目工作目标，预算执行率100%。</w:t>
      </w:r>
    </w:p>
    <w:p w14:paraId="67F98FF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1AC3BA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2.办公设备购置资金</w:t>
      </w:r>
    </w:p>
    <w:p w14:paraId="33D274A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（1）年度目标：通过更新办公设备，改善工作条件。</w:t>
      </w:r>
    </w:p>
    <w:p w14:paraId="1432944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（2）绩效目标总体情况：完成办公设备购置工作目标，预算执行率100%。</w:t>
      </w:r>
    </w:p>
    <w:p w14:paraId="68EC199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A1C4A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3.机关公务用车租赁费</w:t>
      </w:r>
    </w:p>
    <w:p w14:paraId="27AA3FC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（1）年度目标：保障紧急公务出行和突发事件处理，保障日常行政办公和工作督导。</w:t>
      </w:r>
    </w:p>
    <w:p w14:paraId="1DAABD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（2）绩效目标总体情况：完成机关公务用车工作目标，预算执行率100%。</w:t>
      </w:r>
    </w:p>
    <w:p w14:paraId="48D1339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F6E9D2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4.照明设施维护经费</w:t>
      </w:r>
    </w:p>
    <w:p w14:paraId="48960BE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（1）年度目标：通过对照明设施维护维修，提升景观亮化质量，提升城市照明质量，保障设施安全，促进夜经济发展。</w:t>
      </w:r>
    </w:p>
    <w:p w14:paraId="29E6F8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（2）绩效目标总体情况：完成照明设施维护费项目工作目标，预算执行率100%。</w:t>
      </w:r>
    </w:p>
    <w:p w14:paraId="02231F7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2B89EC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5.事业单位更新电脑设备经费</w:t>
      </w:r>
    </w:p>
    <w:p w14:paraId="27BBA06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（1）年度目标：按计划完成办公设备购置。</w:t>
      </w:r>
    </w:p>
    <w:p w14:paraId="7E5062E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（2）绩效目标总体情况：完成事业单位更新电脑设备经费</w:t>
      </w:r>
    </w:p>
    <w:p w14:paraId="7A48D8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项目目标，预算执行率100%。</w:t>
      </w:r>
    </w:p>
    <w:p w14:paraId="51FE53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9213DD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6.街道照明设施提升工程</w:t>
      </w:r>
    </w:p>
    <w:p w14:paraId="31356C0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（1）年度目标：通过对光衰严重，照明设施不达标街道进行改造工作，兼顾节能与增亮，构建安全、舒适、智能、绿色的功能照明体系，进一步改善市民夜间出行环境。</w:t>
      </w:r>
    </w:p>
    <w:p w14:paraId="6805A61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（2）绩效目标总体情况：完成街道照明设施提升工程项目目标，预算执行率100%。</w:t>
      </w:r>
    </w:p>
    <w:p w14:paraId="5B671B5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（3）自评得分：99.6分。</w:t>
      </w:r>
    </w:p>
    <w:p w14:paraId="1E280A1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7.照明中心2023年及以前年度城建项目资金</w:t>
      </w:r>
    </w:p>
    <w:p w14:paraId="03882F6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（1）年度目标：改善夜间出行环境，促进城市夜间经济发展。</w:t>
      </w:r>
    </w:p>
    <w:p w14:paraId="4DC267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（2）绩效目标总体情况：完成照明管护中心2023年及以前年度城建项目资金项目目标，预算执行率100%。</w:t>
      </w:r>
    </w:p>
    <w:p w14:paraId="1E0396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14E41B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8.公益广告设置经费</w:t>
      </w:r>
    </w:p>
    <w:p w14:paraId="5946224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（1）年度目标：按照市委市政府相关要求，为进一步提升省会城市市容环境，提升城市文明形象，对主城区设置包括国庆期间悬挂国旗、国家文明城及卫生城等期间公益广告宣传。</w:t>
      </w:r>
    </w:p>
    <w:p w14:paraId="352457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（2）绩效目标总体情况：完成公益广告设置经费项目目标，预算执行率100%。</w:t>
      </w:r>
    </w:p>
    <w:p w14:paraId="73E71E1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8402461">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G.石家庄市危险废弃物处置场项目数3个。</w:t>
      </w:r>
    </w:p>
    <w:p w14:paraId="1561AD1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本年度项目预算安排资金66.81万元，执行数66.81万元，执行率100%。总体绩效目标实现情况优秀。</w:t>
      </w:r>
    </w:p>
    <w:p w14:paraId="258C7FB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739BF72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（1）年度目标：丰富党组织活动，观看红电影，开展红色教育，以提高党员政治理论水平，增强党员凝聚力和责任感，加强党组织建设。</w:t>
      </w:r>
    </w:p>
    <w:p w14:paraId="5562DB3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（2）绩效目标完成情况：召开支部委员会12次，支部党员大会14次，党课学习4次，开展主题党日3次，组织生活会2次，谈心谈话20人次。</w:t>
      </w:r>
    </w:p>
    <w:p w14:paraId="1091EF3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2B7F21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2.办公设备购置费</w:t>
      </w:r>
    </w:p>
    <w:p w14:paraId="1A78257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（1）年度目标：更新办公设备，提高办公效率，保障日常业务有序开展。</w:t>
      </w:r>
    </w:p>
    <w:p w14:paraId="7DF9B06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（2）绩效目标完成情况：购买电视机一台，主题活动观看教育影片，消防宣传影片，安全生产警示影片等，日常开会所用资料播放，观看人员满意。</w:t>
      </w:r>
    </w:p>
    <w:p w14:paraId="02ECB08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DB74D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3.废旧电池处置运行资金</w:t>
      </w:r>
    </w:p>
    <w:p w14:paraId="7CDA061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（1）年度目标：巡视回收网点，回收废旧电池，处置废旧电池，减少污染,减少有害物质污染，对场地进行维护，封存废旧电池，减少地下水及土壤污染，达到环保要求。</w:t>
      </w:r>
    </w:p>
    <w:p w14:paraId="048C503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回收废旧电池完成8吨，更换贴膜数量完成值15000张，制作封存箱数量50个。处置废旧电池合格率100%，回收的废旧电池在本年度内完成处置，废旧电池处置运行费预期指标66万元，实际完成指标66万元。</w:t>
      </w:r>
    </w:p>
    <w:p w14:paraId="6A757A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3E4E974">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H.石家庄市生活固体废弃物处置服务中心项目数3个。</w:t>
      </w:r>
    </w:p>
    <w:p w14:paraId="0B3C3CF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本年度项目预算安排资金18.71万元，执行数18.71万元，执行率100%。总体绩效目标实现情况优秀。</w:t>
      </w:r>
    </w:p>
    <w:p w14:paraId="32F4A8D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1.党组织活动经费项目</w:t>
      </w:r>
    </w:p>
    <w:p w14:paraId="6219224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（1）年度目标：通过支部组织党员活动，提高党员的思想觉悟，增加凝聚力。</w:t>
      </w:r>
    </w:p>
    <w:p w14:paraId="6CE5A13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（2）绩效目标总体情况：通过组织开展支部党员观摩学习培训活动，党员的政治素养提升明显，支部核心凝聚力增强，党务工作显著提升，党员对活动开展情况的满意率100%，绩效目标完成率100%。</w:t>
      </w:r>
    </w:p>
    <w:p w14:paraId="37A13D6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17196E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2.公务用车租赁费项目</w:t>
      </w:r>
    </w:p>
    <w:p w14:paraId="67E0CC2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（1）年度目标：保障机要通讯、业务工作出行用车顺畅。</w:t>
      </w:r>
    </w:p>
    <w:p w14:paraId="433C4C9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（2）绩效目标总体情况：按期租赁质量性能都合格的4辆公务车，租赁成本未超年初预算数，日常业务工作的用车保障率及安全运行率都是100%，提高了工作效率,使用职工的满意度100%，绩效目标完成率100%。</w:t>
      </w:r>
    </w:p>
    <w:p w14:paraId="5DAD473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E8A44F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3.办公设备购置项目</w:t>
      </w:r>
    </w:p>
    <w:p w14:paraId="7FCAEAC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（1）年度目标：购买办公设备及家具，满足办公需要。</w:t>
      </w:r>
    </w:p>
    <w:p w14:paraId="2E2F414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（2）绩效目标总体情况：按照年初预算完成办公设备及家具的购置，购买数量及质量均按照预期指标完成，质量验收合格率100%，既满足了办公需要、提高了工作效率，又优化了办公环境，绩效目标完成率100%。</w:t>
      </w:r>
    </w:p>
    <w:p w14:paraId="27C103F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3C32A1E4">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I.石家庄市卫生垃圾太行填埋场项目数4个。</w:t>
      </w:r>
    </w:p>
    <w:p w14:paraId="5122413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本年度项目预算安排资金850.01万元，执行数790.97万元，执行率93.05%。总体绩效目标实现情况优秀。</w:t>
      </w:r>
    </w:p>
    <w:p w14:paraId="2099897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497AEB9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（1）年度目标：通过组织党员学习培训，开展爱国主义教育活动，提高党员政治水平，增强党员凝聚力，保障党组织活动正常开展、党务工作顺利进行。</w:t>
      </w:r>
    </w:p>
    <w:p w14:paraId="39E370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组织全体党员进行学习培训4次，开展爱国主义教育和党史学习教育，增强了党员政治水平和党组织凝聚力；组织全体党员学习培训教育，培训合格率达到100%；每季度定期组织党员进行教育培训活动。绩效目标完成率100%。</w:t>
      </w:r>
    </w:p>
    <w:p w14:paraId="0A702D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（3）自评得分：99.53分。</w:t>
      </w:r>
    </w:p>
    <w:p w14:paraId="2D510F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2.办公设备购置费</w:t>
      </w:r>
    </w:p>
    <w:p w14:paraId="4C6BF36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（1）年度目标：通过购买办公设备，提高办公效率，保障日常办公活动正常进行，后勤保障工作顺利开展。</w:t>
      </w:r>
    </w:p>
    <w:p w14:paraId="40CD097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（2）绩效目标总体情况：购买办公桌一张；办公设备合格率达到100%；办公设备按财政要求支出进度及时采购，设备购置计划执行率达到100%；办公效率提高，日常办公活动正常开展。项目目标完成率100%。</w:t>
      </w:r>
    </w:p>
    <w:p w14:paraId="365725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E11DDF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3.生活垃圾卫生填埋运行费</w:t>
      </w:r>
    </w:p>
    <w:p w14:paraId="3BEB755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（1）年度目标：保障设备正常运转，垃圾渗滤液处理工作顺利开展。</w:t>
      </w:r>
    </w:p>
    <w:p w14:paraId="768D263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（2）绩效目标总体情况：垃圾渗沥液处理完成率达到100%；渗滤液处理达标率达到100%，产生的渗滤液全部处理达标排放；渗滤液及时处理，及时率达到100%，最大程度避免对环境的二次污染。项目目标完成率100%。</w:t>
      </w:r>
    </w:p>
    <w:p w14:paraId="22A451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（3）自评得分：99.3分。</w:t>
      </w:r>
    </w:p>
    <w:p w14:paraId="73C585C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4.事业单位更新电脑设备经费</w:t>
      </w:r>
    </w:p>
    <w:p w14:paraId="6AFE64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（1）年度目标：通过购买更新办公设备，提高办公效率，保障工作顺利开展。</w:t>
      </w:r>
    </w:p>
    <w:p w14:paraId="296ABF5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（2）绩效目标总体情况：购买电脑一台、打印机一台；办公设备合格率达到100%；设备按财政要求支出进度及时采购，设备到位及时率达到100%；办公效率提高，日常办公活动正常开展。项目目标完成率100%。</w:t>
      </w:r>
    </w:p>
    <w:p w14:paraId="6A275EF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3D7073F">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J.石家庄市总退水渠管理所项目数1个。</w:t>
      </w:r>
    </w:p>
    <w:p w14:paraId="52DD4D4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本年度项目预算安排资金162万元，执行数161.78万元，执行率99.86%。总体绩效目标实现情况优秀。</w:t>
      </w:r>
    </w:p>
    <w:p w14:paraId="7FF5F7C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1.总退水渠维护费</w:t>
      </w:r>
    </w:p>
    <w:p w14:paraId="56B02E8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（1）年度目标：按时完成维修养护计划任务。</w:t>
      </w:r>
    </w:p>
    <w:p w14:paraId="029BFBC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（2）绩效目标总体情况：完成了对总退水渠各项设施的维修养护，保证汛期安全度汛。绩效目标完成率100%。</w:t>
      </w:r>
    </w:p>
    <w:p w14:paraId="5E1CE25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2641CC1">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k.石家庄市二环路管护中心项目数10个。</w:t>
      </w:r>
    </w:p>
    <w:p w14:paraId="5317BC9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本年度项目预算安排资金12966.80万元，执行数12849.66万元，执行率99.10%。总体绩效目标实现情况优秀。</w:t>
      </w:r>
    </w:p>
    <w:p w14:paraId="3109A3C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5261A7C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组织党员开展“三会一课”学习，学习党的先进政策，领悟党的工作要求，把党的创新理念落实到具体工作中去；通过组织开展党员活动，增强党组织凝聚力，提升党建水平；购置学习笔记本等学习用品，确保学习效果；采购党员学习用书等，提高党员的政治觉悟与政治素养。</w:t>
      </w:r>
    </w:p>
    <w:p w14:paraId="4FAF7CF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绩效目标完成情况：全年6个支部共组织召开支部委员会72次、支部党员大会56次、党课学习24次、开展主题党日活动20次、组织生活会12次、党员志愿者服务活动18次、谈心谈话近 24人次、党员的思想政治水平得到提升，党员的凝聚力和责任感增强。</w:t>
      </w:r>
    </w:p>
    <w:p w14:paraId="7479A62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2D5483D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2.办公设备购置费</w:t>
      </w:r>
    </w:p>
    <w:p w14:paraId="7043927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年度目标：通过购置办公设备，改善工作条件，提高工作保密性，降低能耗，提高工作管理水平。</w:t>
      </w:r>
    </w:p>
    <w:p w14:paraId="13DD94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绩效目标完成情况：全年购置空调等电器设备4台、相机1台、涉密文件柜1个、档案管理软件1套、县处级办公桌椅3套。以上资产质量全部验收合格并及时到位，保障了单位工作的日常运转。</w:t>
      </w:r>
    </w:p>
    <w:p w14:paraId="7B34496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3129A9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3.公务用车租赁费</w:t>
      </w:r>
    </w:p>
    <w:p w14:paraId="1DBDA7B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年度目标：通过租赁公务用车，便于日常行政办公、应急保障和工作督导。</w:t>
      </w:r>
    </w:p>
    <w:p w14:paraId="058069A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绩效目标完成情况：全年租赁公务用车一辆，出车率100%，保障了日常办公及工作督导。</w:t>
      </w:r>
    </w:p>
    <w:p w14:paraId="316A753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2EE09BD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4.掘路修复经费</w:t>
      </w:r>
    </w:p>
    <w:p w14:paraId="1F4565F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年度目标：对辖区施工单位挖掘的城市道路进行恢复，提升道路设施的通行能力及通行环境。</w:t>
      </w:r>
    </w:p>
    <w:p w14:paraId="6420166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绩效目标完成情况：全年共修复挖掘道路面积1453㎡，项目符合规范要求，质量验收合格率100%。</w:t>
      </w:r>
    </w:p>
    <w:p w14:paraId="1C951AC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02E2985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5.二环路设施维护费</w:t>
      </w:r>
    </w:p>
    <w:p w14:paraId="322AEB1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年度目标：对二环路道路、桥梁、排水设施进行维修养护、绿化管护、清扫保洁，为市民提供“畅、洁、绿、美、新”的出行环境，为社会提供文明、优质、便捷、高效的服务。</w:t>
      </w:r>
    </w:p>
    <w:p w14:paraId="530C5C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绩效目标完成情况：全年维修道路8.6 万平方米， 维修便道8.5 千平方米，清掏收、检井13556 座，疏通雨、污水管道18.7万延米，安装防抛网200米，清扫道路148587.85万平方米，绿化养护77.91 万平方米，泵站正常运行9 座，融雪池正常运行1座，环卫工人休息用房正常使用29座。完成了保洁任务，路面干净整洁；完成了对二环路沿线道路、桥梁巡查，保证设施完好、道路平整、排水畅通；完成了绿化管护作业，保证道路两侧、中隔带绿化美观完好，极大改善了市民出行环境。</w:t>
      </w:r>
    </w:p>
    <w:p w14:paraId="34300C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8C7860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6.北二环路慢行系统改造</w:t>
      </w:r>
    </w:p>
    <w:p w14:paraId="0A4F0B9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年度目标：通过对二环路慢行系统进行改造，改善市民出行环境，市民出行更便利、更安全。</w:t>
      </w:r>
    </w:p>
    <w:p w14:paraId="3143CA1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绩效目标完成情况：完成了项目前期咨询、造价、绿化移植、设计招标等工作。</w:t>
      </w:r>
    </w:p>
    <w:p w14:paraId="180E3D0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自评得分：97.7分。</w:t>
      </w:r>
    </w:p>
    <w:p w14:paraId="31244D6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7.二环中心2023年及以前年度城建项目资金</w:t>
      </w:r>
    </w:p>
    <w:p w14:paraId="03ED52D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完成二环路出入口封堵、改造任务，消除安全隐患，为市民提供安全的出行环境；完成二环路沿线地道桥美化亮化任务，提升城市形象，为市民提供优美的出行环境；保质保量完成拆除高架桥隔音屏、安装桥梁护栏及高架桥挡墙粉刷等任务，提升城市形象，为市民提供优美的生活环境。</w:t>
      </w:r>
    </w:p>
    <w:p w14:paraId="4A93D6A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完成了28个二环路出入口封堵、改造任务，消除安全隐患，为市民提供安全的出行环境；完成了东二环裕华路、槐安路地道桥区域的亮化工作，提升城市形象，为市民提供优美的出行环境；拆除隔音屏8186.54㎡，安装桥梁护栏3513.62m，高架桥挡墙及桥梁粉刷共30409.42㎡（防撞护栏6723.22㎡，桥梁粉刷23686.2㎡），保质保量完成了拆除高架桥隔音屏、安装桥梁护栏及高架桥挡墙粉刷等任务，提升城市形象，为市民提供优美的生活环境。</w:t>
      </w:r>
    </w:p>
    <w:p w14:paraId="0C410FD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A3F15E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8.二环路铁路地道桥美化亮化工程</w:t>
      </w:r>
    </w:p>
    <w:p w14:paraId="6949DE2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年度目标：主要用于东二环裕华路、槐安路地道桥区域的亮化工作，为市民提供明亮、整洁的出行环境。</w:t>
      </w:r>
    </w:p>
    <w:p w14:paraId="634A1DB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绩效目标完成情况：完成了东二环裕华路、槐安路地道桥区域的亮化工作，为市民提供明亮、整洁的出行环境。</w:t>
      </w:r>
    </w:p>
    <w:p w14:paraId="108C3E6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3A6D0E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9.环卫作业车辆采购项目</w:t>
      </w:r>
    </w:p>
    <w:p w14:paraId="7EDCB06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年度目标：主要用于购买环卫作业车辆，保障清扫保洁工作正常运行。</w:t>
      </w:r>
    </w:p>
    <w:p w14:paraId="7A2ACA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绩效目标完成情况：采购环卫作业车辆70辆，通过购买环卫作业车辆，加大二环路道路清扫保洁力度，降低道路扬尘，确保道路干净整洁，改善城市环境，提升城市形象。</w:t>
      </w:r>
    </w:p>
    <w:p w14:paraId="42BBE29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自评得分：99.99分。</w:t>
      </w:r>
    </w:p>
    <w:p w14:paraId="3A64DBF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10.事业单位更新电脑设备经费</w:t>
      </w:r>
    </w:p>
    <w:p w14:paraId="23EDEC8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年度目标：主要用于购置电脑等设备，更好的保障单位工作的日常运转。</w:t>
      </w:r>
    </w:p>
    <w:p w14:paraId="21EC2DE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绩效目标完成情况：完成采购设备数量22台，质量全部验收合格并及时到位，保障了单位工作的日常运转。</w:t>
      </w:r>
    </w:p>
    <w:p w14:paraId="4376761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自评得分：100分。</w:t>
      </w:r>
    </w:p>
    <w:p w14:paraId="140E5C01">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L.石家庄市城市管理综合保障中心项目数6个。</w:t>
      </w:r>
    </w:p>
    <w:p w14:paraId="7168449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本年度项目预算安排资金953.87万元，执行数953.22万元，执行率99.93%。总体绩效目标实现情况优秀。</w:t>
      </w:r>
    </w:p>
    <w:p w14:paraId="5F2DF7D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1.执法业务费</w:t>
      </w:r>
    </w:p>
    <w:p w14:paraId="1978FB8F">
      <w:pPr>
        <w:adjustRightInd w:val="0"/>
        <w:snapToGrid w:val="0"/>
        <w:spacing w:line="560" w:lineRule="exact"/>
        <w:ind w:firstLine="640" w:firstLineChars="200"/>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（1）年度目标：支付户外广告拆除费，保障工作日常运转。</w:t>
      </w:r>
    </w:p>
    <w:p w14:paraId="1F8D9E0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（2）绩效目标总体情况：工作正常开展，绩效目标完成率80%。</w:t>
      </w:r>
    </w:p>
    <w:p w14:paraId="46EAE39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（3）自评得分：80分。</w:t>
      </w:r>
    </w:p>
    <w:p w14:paraId="3101E4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2.物业管理费</w:t>
      </w:r>
    </w:p>
    <w:p w14:paraId="05DC98F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（1）年度目标：及时缴纳办公场所物业费，保障单位人员正常办公。</w:t>
      </w:r>
    </w:p>
    <w:p w14:paraId="7190164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（2）绩效目标总体情况：已按时支付当年物业管理费，保证人员正常办公。绩效目标完成率99.94%。</w:t>
      </w:r>
    </w:p>
    <w:p w14:paraId="5B23F48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（3）自评得分：99.94分。</w:t>
      </w:r>
    </w:p>
    <w:p w14:paraId="6E60758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3.劳动聘用人员经费</w:t>
      </w:r>
    </w:p>
    <w:p w14:paraId="42B0EF5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（1）年度目标：聘用劳务派遣人员，完成城管执法协管工作，保障工作顺利开展。</w:t>
      </w:r>
    </w:p>
    <w:p w14:paraId="1BB57CB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（2）绩效目标总体情况：完已支付城管执法协管劳务费用。绩效目标完成率98%。</w:t>
      </w:r>
    </w:p>
    <w:p w14:paraId="5DE97C1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（3）自评得分：98分。</w:t>
      </w:r>
    </w:p>
    <w:p w14:paraId="53F3510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4.党组织活动经费</w:t>
      </w:r>
    </w:p>
    <w:p w14:paraId="0D6B5E7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（1）年度目标：按照党组织生活规定，组织开展党员学习活动，强化党员教育引导。组织参观学习等党员主题活动，提升党员带头作用，营造浓厚党建氛围。</w:t>
      </w:r>
    </w:p>
    <w:p w14:paraId="7D21405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（2）绩效目标总体情况：全年按计划开展党员活动，在加强党建的同时提高了党员思想理论水平。绩效目标完成率99.72%。</w:t>
      </w:r>
    </w:p>
    <w:p w14:paraId="0DF0773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（3）自评得分：99.72分。</w:t>
      </w:r>
    </w:p>
    <w:p w14:paraId="6B4DDC1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5.工作场地租赁费</w:t>
      </w:r>
    </w:p>
    <w:p w14:paraId="35BAD51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（1）年度目标：按时支付房租 ，保障正常办公。</w:t>
      </w:r>
    </w:p>
    <w:p w14:paraId="6D2991E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（2）绩效目标总体情况：保障正常办公用房。绩效目标完成率100%。</w:t>
      </w:r>
    </w:p>
    <w:p w14:paraId="4EC45C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FC4D0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6.办公设备购置费</w:t>
      </w:r>
    </w:p>
    <w:p w14:paraId="4CFD730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（1）年度目标：按工作计划购置办公设备，保障单位工作运转。</w:t>
      </w:r>
    </w:p>
    <w:p w14:paraId="2988C59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（2）绩效目标总体情况：完满足正常办公需要，保障单位日常运转。绩效目标完成率99.96%。</w:t>
      </w:r>
    </w:p>
    <w:p w14:paraId="3A32E1E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（3）自评得分：99.96分。</w:t>
      </w:r>
    </w:p>
    <w:p w14:paraId="65E5FDB7">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M.石家庄市燃气中心项目数8个。</w:t>
      </w:r>
    </w:p>
    <w:p w14:paraId="5FAA055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本年度项目预算安排资金145.8万元，执行数144.45万元，执行率99.07%。总体绩效目标实现情况优秀。</w:t>
      </w:r>
    </w:p>
    <w:p w14:paraId="231DE4B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1.党组织活动经费</w:t>
      </w:r>
    </w:p>
    <w:p w14:paraId="762C8F9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（1）年度目标：加强组织建设，提升党员政治理论水平。</w:t>
      </w:r>
    </w:p>
    <w:p w14:paraId="0893F39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（2）绩效目标总体情况：每月组织党员开展“三会一课”学习；组织12名党员开展进社区、观摩学习等主题党日活动，完成率100%。</w:t>
      </w:r>
    </w:p>
    <w:p w14:paraId="2DBC478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58837D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2.文件资料印刷费</w:t>
      </w:r>
    </w:p>
    <w:p w14:paraId="2B14E49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（1）年度目标：据工作职责，进行燃气安全宣传，提高市民安全意识。</w:t>
      </w:r>
    </w:p>
    <w:p w14:paraId="168895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（2）绩效目标总体情况：组织全市燃气行业开展安全用气线下宣传238场次，累计发放各类宣传材料8万余份，完成率100%。</w:t>
      </w:r>
    </w:p>
    <w:p w14:paraId="780598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16E072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3.专项邮电费</w:t>
      </w:r>
    </w:p>
    <w:p w14:paraId="3C0D87B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（1）年度目标：电话、网络在服务期内正常运行，保障办公 。</w:t>
      </w:r>
    </w:p>
    <w:p w14:paraId="291D89D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（2）绩效目标总体情况：电话、办公网络遇故障及时排除保障正常工作开展，完成率100%。</w:t>
      </w:r>
    </w:p>
    <w:p w14:paraId="10A08EC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4D0F49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4.业务咨询委托费</w:t>
      </w:r>
    </w:p>
    <w:p w14:paraId="01E4329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（1）年度目标：组织应急演练，开展专家咨询、律师咨询、财务咨询、审计、绩效评估等规避风险，提升安全技术指导。保障办公区清洁卫生，不断水断电，正常运行。</w:t>
      </w:r>
    </w:p>
    <w:p w14:paraId="7A0A571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（2）绩效目标总体情况：组织了10次应急演练、按工作计划开展了专家咨询、物业基本达标，保障了正常办公，完成率100%。</w:t>
      </w:r>
    </w:p>
    <w:p w14:paraId="3456B4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（3）自评得分：99.96分。</w:t>
      </w:r>
    </w:p>
    <w:p w14:paraId="2C4D791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5.劳动聘用人员劳务费用</w:t>
      </w:r>
    </w:p>
    <w:p w14:paraId="12B3F9B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（1）年度目标：聘用10名劳务派遣人员，保障办公。</w:t>
      </w:r>
    </w:p>
    <w:p w14:paraId="2F8227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（2）绩效目标总体情况：劳动聘用人员数量、质量均符合用工要求，按时保质完成交办工作，完成率100%。</w:t>
      </w:r>
    </w:p>
    <w:p w14:paraId="4CB3FF7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3D75C69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6.2024年劳动聘用人员经费</w:t>
      </w:r>
    </w:p>
    <w:p w14:paraId="413A0F6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（1）年度目标：聘用10名劳务派遣人员，保障办公。</w:t>
      </w:r>
    </w:p>
    <w:p w14:paraId="0DFDD36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（2）绩效目标总体情况：劳动聘用人员数量、质量均符合用工要求，按时保质完成交办工作，完成率100%。</w:t>
      </w:r>
    </w:p>
    <w:p w14:paraId="19B7A70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3582BC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7.第三方燃气风险辨识与安全大讲堂经费</w:t>
      </w:r>
    </w:p>
    <w:p w14:paraId="42E07BE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（1）年度目标：目标1.组织第三方对燃气风险进行辨识与管控措施，对燃气企业进行指导帮扶、安全培训、检查等工作。</w:t>
      </w:r>
    </w:p>
    <w:p w14:paraId="3A37B63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目标2.在广播电视台开办专题栏目，聘请专家定期开展燃气安全知识、法律、法规宣传普及，解答市民使用燃气安全问题疑惑，提高安全防范意识。</w:t>
      </w:r>
    </w:p>
    <w:p w14:paraId="0010725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组织了对市内四区所有日期场站风险辨识活动，并对发现的问题隐患按照要求完成整改，提高燃气从业人员应急处置及救援能力。开办20期安全大讲堂栏目，提高市民安全防范意识，完成率100%。</w:t>
      </w:r>
    </w:p>
    <w:p w14:paraId="2964A8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（3）自评得分：99.78分。</w:t>
      </w:r>
    </w:p>
    <w:p w14:paraId="5380CE9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8.事业单位更新电脑设备经费</w:t>
      </w:r>
    </w:p>
    <w:p w14:paraId="3AAE628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（1）年度目标：按计划完成办公设备购置。</w:t>
      </w:r>
    </w:p>
    <w:p w14:paraId="7BE66E0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（2）绩效目标总体情况：购置了1台电脑及1台打印机</w:t>
      </w:r>
      <w:bookmarkStart w:id="0" w:name="OLE_LINK14"/>
      <w:r>
        <w:rPr>
          <w:rFonts w:hint="eastAsia" w:ascii="仿宋" w:hAnsi="仿宋" w:eastAsia="仿宋"/>
          <w:sz w:val="32"/>
          <w:szCs w:val="32"/>
          <w:lang w:val="en-US" w:eastAsia="zh-CN"/>
        </w:rPr>
        <w:t>，完成率100%。</w:t>
      </w:r>
    </w:p>
    <w:bookmarkEnd w:id="0"/>
    <w:p w14:paraId="58E94A5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D8301A2">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N.石家庄市城市管理便民服务中心项目数7个。</w:t>
      </w:r>
    </w:p>
    <w:p w14:paraId="79E121F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本年度项目预算安排资金211.45万元，执行数211.09万元，执行率99.83%。总体绩效目标实现情况优秀。</w:t>
      </w:r>
    </w:p>
    <w:p w14:paraId="26053FD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1.事业单位更新电脑</w:t>
      </w:r>
    </w:p>
    <w:p w14:paraId="75A6659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（1）年度目标：按计划完成电脑设备更新。</w:t>
      </w:r>
    </w:p>
    <w:p w14:paraId="75C7A5E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（2）绩效目标总体情况：已购电脑设备5台。完成率100%。</w:t>
      </w:r>
    </w:p>
    <w:p w14:paraId="6551F16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3D7F11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2.办公设备购置</w:t>
      </w:r>
    </w:p>
    <w:p w14:paraId="5E1456A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（1）年度目标：购置碎纸机2台，制冷空调设备1台，贴标签机1台，装订机械1台，办公桌3张，办公椅3张，文件柜1台，茶水柜2张，为中心工作提供支撑。</w:t>
      </w:r>
    </w:p>
    <w:p w14:paraId="69625D6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（2）绩效目标总体情况：已购置碎纸机2台，制冷空调设备1台，贴标签机1台，装订机械1台，办公桌3张，办公椅3张，文件柜1台，茶水柜2张。完成率100%。</w:t>
      </w:r>
    </w:p>
    <w:p w14:paraId="45870C1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0739F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3.城管热线运行维护费</w:t>
      </w:r>
    </w:p>
    <w:p w14:paraId="2922F8A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（1）年度目标：保障设备正常运转，满足工作需求。</w:t>
      </w:r>
    </w:p>
    <w:p w14:paraId="0E13AAE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（2）绩效目标总体情况：基本完成。完成率99%。</w:t>
      </w:r>
    </w:p>
    <w:p w14:paraId="2A74A26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（3）自评得分：98.9分。</w:t>
      </w:r>
    </w:p>
    <w:p w14:paraId="4AC4DB3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4.文件资料印刷费</w:t>
      </w:r>
    </w:p>
    <w:p w14:paraId="19CC218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（1）年度目标：通过印刷城管便民工作资料，保障城管便民中心工作正常开展。</w:t>
      </w:r>
    </w:p>
    <w:p w14:paraId="0648B18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（2）绩效目标总体情况：全部完成，达到效果。完成率100%。</w:t>
      </w:r>
    </w:p>
    <w:p w14:paraId="6398B76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3C94F4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5.党组织活动经费</w:t>
      </w:r>
    </w:p>
    <w:p w14:paraId="46FAFD1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（1）年度目标：用于组织学习党的先进政策，领悟党的工作要求，提高党员的政治觉悟与政治素养,发挥党员模范带头作用。</w:t>
      </w:r>
    </w:p>
    <w:p w14:paraId="74E54B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（2）绩效目标总体情况：完成组织学习党的先进政策，领悟党的工作要求，提高党员的政治觉悟与政治素养,发挥党员模范带头作用。完成率98%。</w:t>
      </w:r>
    </w:p>
    <w:p w14:paraId="4D343D5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（3）自评得分：97.3分。</w:t>
      </w:r>
    </w:p>
    <w:p w14:paraId="535616B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6.业务培训费</w:t>
      </w:r>
    </w:p>
    <w:p w14:paraId="54568C6C">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（1）年度目标：通过组织开展形式多样的培训，进一步加强培训工作，培养造就高素质人才队伍，推动社会发展，加强能力建设。</w:t>
      </w:r>
    </w:p>
    <w:p w14:paraId="053A7E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培训共118人参加，以提高综合能力为主线，内容涵盖了热线办理、沟通技巧、舆情处置、心理辅导、岗位工作安全、健康安全知识、心理调试及服务意识等方面内容，通过案例讲解、学员互动、实际操作等多种学习形式提高工作能力。完成率100%。</w:t>
      </w:r>
    </w:p>
    <w:p w14:paraId="66FFB7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476EE1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7.劳动聘用人员经费</w:t>
      </w:r>
    </w:p>
    <w:p w14:paraId="1CDF0DC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（1）年度目标：保障城管便民热线劳动聘用工作人员工资、保险及服务费。</w:t>
      </w:r>
    </w:p>
    <w:p w14:paraId="7293C56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（2）绩效目标总体情况：劳动聘用人员30人，出勤率100%，按期支付工资、保险及服务费，按时处理群众反映事项，工作成效显著。完成率100%。</w:t>
      </w:r>
    </w:p>
    <w:p w14:paraId="0F60159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2B4D23E2">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O.石家庄市供热事务中心项目数13个。</w:t>
      </w:r>
    </w:p>
    <w:p w14:paraId="33FA10F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本年度项目预算安排资金47836.47万元，执行数47799.43万元，执行率99.92%。总体绩效目标实现情况优秀。</w:t>
      </w:r>
    </w:p>
    <w:p w14:paraId="368CE3E0">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1.党组织活动经费</w:t>
      </w:r>
    </w:p>
    <w:p w14:paraId="03F00DF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绩效目标：主要用于理论学习会议组织、宣传材料（条幅、宣传册、宣传栏、党徽、袖章等各类党建宣传用品）、实践教育活动。</w:t>
      </w:r>
    </w:p>
    <w:p w14:paraId="4C99577D">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绩效指标：组织党员学习培训，开展党务活动。完成率100%</w:t>
      </w:r>
    </w:p>
    <w:p w14:paraId="7415083C">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自评得分99.4分。</w:t>
      </w:r>
    </w:p>
    <w:p w14:paraId="0090146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2.业务咨询委托费</w:t>
      </w:r>
    </w:p>
    <w:p w14:paraId="255DB47C">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绩效目标：通过委托服务，完成单位日常宣传，专项项目专人咨询。</w:t>
      </w:r>
    </w:p>
    <w:p w14:paraId="76959B3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绩效指标：大多数人能够熟悉政策，得到市民的认可，完成专项水平得到提升。完成率100%。</w:t>
      </w:r>
    </w:p>
    <w:p w14:paraId="3B6D5EEF">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自评得分94分。</w:t>
      </w:r>
    </w:p>
    <w:p w14:paraId="6A95327C">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3.专项邮电费</w:t>
      </w:r>
    </w:p>
    <w:p w14:paraId="263D260A">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绩效目标：用于办公电话、办公光纤、投诉热线电话、平台电费、设施维护。</w:t>
      </w:r>
    </w:p>
    <w:p w14:paraId="51FE307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绩效指标：投诉电话全数接听，准确解决供热问题。完成率100%。</w:t>
      </w:r>
    </w:p>
    <w:p w14:paraId="5CBD9309">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5B04EE6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4.物业管理费</w:t>
      </w:r>
    </w:p>
    <w:p w14:paraId="47AE7151">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绩效目标：投诉热线人员准确解答群众供热问题。</w:t>
      </w:r>
    </w:p>
    <w:p w14:paraId="52D708EA">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绩效指标：定期维护物业。完成率100%。</w:t>
      </w:r>
    </w:p>
    <w:p w14:paraId="1D97835E">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自评得分98.6分。</w:t>
      </w:r>
    </w:p>
    <w:p w14:paraId="27223F7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5.主城区安装居民室温采集系统经费</w:t>
      </w:r>
    </w:p>
    <w:p w14:paraId="42B4F45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绩效目标：主城区安装居民室温采集系统保证金。</w:t>
      </w:r>
    </w:p>
    <w:p w14:paraId="78349AA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绩效指标：及时掌控全市供热运行情况，提高热用户满意度。完成率100%。</w:t>
      </w:r>
    </w:p>
    <w:p w14:paraId="097B13BA">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037F93E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6.劳动聘用人员经费</w:t>
      </w:r>
    </w:p>
    <w:p w14:paraId="42EF3399">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绩效目标：按时支付劳动聘用人员工资保险。</w:t>
      </w:r>
    </w:p>
    <w:p w14:paraId="6858F2A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绩效指标：由专门公司负责劳务派遣人员工资保险缴纳工作，及时发放工资。完成率100%。</w:t>
      </w:r>
    </w:p>
    <w:p w14:paraId="5E59350C">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5952ED01">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7.2024劳动聘用人员经费</w:t>
      </w:r>
    </w:p>
    <w:p w14:paraId="335A3C3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绩效目标：按时支付劳动聘用人员工资保险。</w:t>
      </w:r>
    </w:p>
    <w:p w14:paraId="2E0FE595">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绩效指标：由专门公司负责劳务派遣人员工资保险缴纳工作，及时发放工资。完成率100%。</w:t>
      </w:r>
    </w:p>
    <w:p w14:paraId="4D0D987A">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自评得分99.8分。</w:t>
      </w:r>
    </w:p>
    <w:p w14:paraId="4BE4B69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8.石家庄市城市集中供热专项规划编制费</w:t>
      </w:r>
    </w:p>
    <w:p w14:paraId="206035B4">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绩效目标：用于支付石家庄市城市集中供热专项规划编制费。</w:t>
      </w:r>
    </w:p>
    <w:p w14:paraId="2CB85E15">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绩效指标：完成编制主城区供热专项规划。完成率100%。</w:t>
      </w:r>
    </w:p>
    <w:p w14:paraId="1BC57514">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07015B9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9.供热智慧管理平台扩容项目质保金</w:t>
      </w:r>
    </w:p>
    <w:p w14:paraId="57AD97AC">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绩效目标：支付智慧管理平台扩容质保金。</w:t>
      </w:r>
    </w:p>
    <w:p w14:paraId="05EAA890">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绩效指标：提高民生保障水平。完成率100%。</w:t>
      </w:r>
    </w:p>
    <w:p w14:paraId="7AE31311">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4C59C25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10.主城区供热质量第三方监督</w:t>
      </w:r>
    </w:p>
    <w:p w14:paraId="2C46847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绩效目标：聘请第三方机构对市内热源厂、热力站、冬病夏治重点小区运行情况监督检查，对重点问题进行研判，提供建议，每天形成数据报告，保障居民供热的温度达标。</w:t>
      </w:r>
    </w:p>
    <w:p w14:paraId="37429278">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绩效指标：对6大主要热源厂（站）运行参数监督；对热力站及热用户供热运行情况进行核查监督。完成率100%。</w:t>
      </w:r>
    </w:p>
    <w:p w14:paraId="2DB06414">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自评得分97.8分。</w:t>
      </w:r>
    </w:p>
    <w:p w14:paraId="70785E9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11.供热补贴资金</w:t>
      </w:r>
    </w:p>
    <w:p w14:paraId="09FA4632">
      <w:pPr>
        <w:adjustRightInd w:val="0"/>
        <w:snapToGrid w:val="0"/>
        <w:spacing w:line="56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本项目包含供热补贴经费、供热补贴资金、2022-2023年石热九期燃机机组居民部分供热补贴资金、2022-2023年采暖季石热九期燃机机组居民部分供热补贴资金4个项目。</w:t>
      </w:r>
    </w:p>
    <w:p w14:paraId="748FC22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绩效目标：通过纯居民天然气采暖锅炉运行差价补贴支出，确保供热区域热价稳定、统一，供热企业微利运行。</w:t>
      </w:r>
    </w:p>
    <w:p w14:paraId="416AD3C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绩效指标：保障供热项目正常供热，居民用热价格不涨，生活成本不增加。完成率100%。</w:t>
      </w:r>
    </w:p>
    <w:p w14:paraId="71685523">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0530283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12.2023年采暖季石热九期燃机机组居民部分供热补贴资金</w:t>
      </w:r>
    </w:p>
    <w:p w14:paraId="0E02DAF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绩效目标：通过华电石热九期天然气机组项目供热补贴专项资金的支出，弥补企业亏损，确保石热九期天然气机组供热项目正常运行。</w:t>
      </w:r>
    </w:p>
    <w:p w14:paraId="572EB8F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绩效指标：按时完成补贴资金的拨付，保障供热项目正常供热，弥补因天然气供热成本过高引起的亏损，减轻企业负担。完成率100%。</w:t>
      </w:r>
    </w:p>
    <w:p w14:paraId="0E7CB89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7B0F7B21">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13.原热一区域替代锅炉占地经费</w:t>
      </w:r>
    </w:p>
    <w:p w14:paraId="0078E0C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绩效目标：通过支付原热一北区天然气锅炉供热替代区域锅炉占地费，确保原热一北区天然气锅炉供热项目正常运行。</w:t>
      </w:r>
    </w:p>
    <w:p w14:paraId="54BFF2E4">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绩效指标：按时完成锅炉房占地费资金的拨付，保障供热。完成率100%。</w:t>
      </w:r>
    </w:p>
    <w:p w14:paraId="38624E47">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自评得分100分。</w:t>
      </w:r>
    </w:p>
    <w:p w14:paraId="4988709E">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P.石家庄市排水管护中心项目数23个。</w:t>
      </w:r>
    </w:p>
    <w:p w14:paraId="7953327D">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本年度项目预算安排资金9074.92万元，执行数9032.98万元，执行率99.54%。总体绩效目标实现情况优秀。</w:t>
      </w:r>
    </w:p>
    <w:p w14:paraId="0BA6390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 电梯运维费</w:t>
      </w:r>
    </w:p>
    <w:p w14:paraId="4F40575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（1）年度目标：保障电梯正常运行；不发生因欠费停机情况。</w:t>
      </w:r>
    </w:p>
    <w:p w14:paraId="72D2E19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（2）绩效目标完成情况：电梯正常运行，未发生因欠费停机情况。</w:t>
      </w:r>
    </w:p>
    <w:p w14:paraId="61D1DC7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CA9B56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 办公设备购置资金</w:t>
      </w:r>
    </w:p>
    <w:p w14:paraId="6E5DD9D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（1）年度目标：通过配置和更新办公设备，改善工作条件，提高工作效率。</w:t>
      </w:r>
    </w:p>
    <w:p w14:paraId="3109BBF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（2）绩效目标完成情况：通过配置更新办公设备，改善了工作条件，提高了办公效率。</w:t>
      </w:r>
    </w:p>
    <w:p w14:paraId="1B13053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B5D1C7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 事业单位更新电脑设备经费</w:t>
      </w:r>
    </w:p>
    <w:p w14:paraId="72F1E9D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（1）年度目标：按计划完成设备购置。</w:t>
      </w:r>
    </w:p>
    <w:p w14:paraId="66154ED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（2）绩效目标完成情况：按计划完成了设备购置。</w:t>
      </w:r>
    </w:p>
    <w:p w14:paraId="55B718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38F6AB0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 党组织活动经费</w:t>
      </w:r>
    </w:p>
    <w:p w14:paraId="1FBD793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（1）年度目标：提高党建工作科学化水平，通过开展系列活动，提高党员思想理论水平</w:t>
      </w:r>
    </w:p>
    <w:p w14:paraId="2D4E235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（2）绩效目标完成情况：按照时间节点完成各项活动，提高了党员思想理论水平与党建工作科学化水平。</w:t>
      </w:r>
    </w:p>
    <w:p w14:paraId="5E75679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1A3221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 排水设施维护费</w:t>
      </w:r>
    </w:p>
    <w:p w14:paraId="6BE0E69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（1）年度目标：通过对排水设施维修及预防性养护,增强设施功能,减少污水溢冒,保持排水设施完好,发挥排水功能，为市民营造安全的出行环境。</w:t>
      </w:r>
    </w:p>
    <w:p w14:paraId="3B0F6B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（2）绩效目标完成情况：运用对排水设施维修及预防性养护月度考核方式,增强设施功能,减少污水溢冒,保持排水设施完好,发挥排水功能，为市民营造安全的出行环境。</w:t>
      </w:r>
    </w:p>
    <w:p w14:paraId="4ECA55F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1A0861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 城区防汛监控系统运行费</w:t>
      </w:r>
    </w:p>
    <w:p w14:paraId="0E7A25E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（1）年度目标：通过对主城区内已接收泵站地道桥监控运维及零件修复，保障各泵站地道桥监控运行良好，助推城区防汛工作开展。</w:t>
      </w:r>
    </w:p>
    <w:p w14:paraId="11255D3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（2）绩效目标完成情况：完成46路地道桥监控摄像头的检修擦拭工作，保障视频线路通畅。</w:t>
      </w:r>
    </w:p>
    <w:p w14:paraId="7B26811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E2F5DF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 特大暴雨防汛费</w:t>
      </w:r>
    </w:p>
    <w:p w14:paraId="6DFD8B6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（1）年度目标：防止城区内涝，确保防汛工作高效有序运行，最大程度减少人员伤亡和财产损失，维护人民群众生命财产安全，保障城区安全度汛。</w:t>
      </w:r>
    </w:p>
    <w:p w14:paraId="5C6B30A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（2）绩效目标完成情况：有效地防止了城区内涝，防汛工作高效有序运行，无人员伤亡和财产损失，维护了人民群众生命财产安全，保障城区安全度汛。</w:t>
      </w:r>
    </w:p>
    <w:p w14:paraId="613246E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0766A0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 民心河维护费</w:t>
      </w:r>
    </w:p>
    <w:p w14:paraId="5D2BF98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（1）年度目标：通过对民心河河道的维护，达到汛期及时泄洪排涝，保证城区安全度汛。增强设施功能，保持水体优良，河道水质达到一级A景观用水标准，做到“水清、河畅、景美”。</w:t>
      </w:r>
    </w:p>
    <w:p w14:paraId="2EA552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（2）绩效目标完成情况：民心河河道及附属设施维护良好，汛期及时泄洪排涝，保证了城区安全度汛。水体优良，河道水质达到一级A景观用水标准，做到了“水清、河畅、景美”。</w:t>
      </w:r>
    </w:p>
    <w:p w14:paraId="72EF45E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248AC66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9. 南栗明渠通水费</w:t>
      </w:r>
    </w:p>
    <w:p w14:paraId="1D94B5D2">
      <w:pPr>
        <w:adjustRightInd w:val="0"/>
        <w:snapToGrid w:val="0"/>
        <w:spacing w:line="560" w:lineRule="exact"/>
        <w:ind w:firstLine="640" w:firstLineChars="200"/>
        <w:rPr>
          <w:rFonts w:hint="eastAsia" w:ascii="仿宋" w:hAnsi="仿宋" w:eastAsia="仿宋"/>
          <w:sz w:val="32"/>
          <w:szCs w:val="32"/>
          <w:lang w:val="en-US" w:eastAsia="zh-CN"/>
        </w:rPr>
      </w:pPr>
      <w:bookmarkStart w:id="1" w:name="OLE_LINK13"/>
      <w:bookmarkStart w:id="2" w:name="OLE_LINK12"/>
      <w:r>
        <w:rPr>
          <w:rFonts w:hint="eastAsia" w:ascii="仿宋" w:hAnsi="仿宋" w:eastAsia="仿宋"/>
          <w:sz w:val="32"/>
          <w:szCs w:val="32"/>
          <w:lang w:val="en-US" w:eastAsia="zh-CN"/>
        </w:rPr>
        <w:t xml:space="preserve">（1）年度目标：保障南栗明渠日常补水，补水设施检修、维护。   </w:t>
      </w:r>
    </w:p>
    <w:p w14:paraId="0E6381C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（2）绩效目标完成情况：南栗明渠通水正常，补水设施维护正常。</w:t>
      </w:r>
    </w:p>
    <w:bookmarkEnd w:id="1"/>
    <w:bookmarkEnd w:id="2"/>
    <w:p w14:paraId="16A03BA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312992F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10. 南栗明渠通水经费</w:t>
      </w:r>
    </w:p>
    <w:p w14:paraId="21F1645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（1）年度目标：保障南栗明渠日常补水，补水设施检修、维护。   </w:t>
      </w:r>
    </w:p>
    <w:p w14:paraId="59D7E19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（2）绩效目标完成情况：南栗明渠通水正常，补水设施维护正常。</w:t>
      </w:r>
    </w:p>
    <w:p w14:paraId="54093A4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（3）自评得分：99.98分</w:t>
      </w:r>
    </w:p>
    <w:p w14:paraId="58AEDFC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11. 城市排水（雨水）防涝综合规划编制费</w:t>
      </w:r>
    </w:p>
    <w:p w14:paraId="701C5CF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（1）年度目标：项目成果满足相关法规、规范、标准以及国家、省、市相关政策的要求。</w:t>
      </w:r>
    </w:p>
    <w:p w14:paraId="2C914CC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（2）绩效目标完成情况：项目成果满足相关法规、规范、标准以及国家、省、市相关政策的要求。</w:t>
      </w:r>
    </w:p>
    <w:p w14:paraId="3D5B936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B22203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 地道桥雨水泵站规划编制费</w:t>
      </w:r>
    </w:p>
    <w:p w14:paraId="485E12A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（1）年度目标：项目成果满足相关法规、规范、标准以及国家、省、市相关政策的要求。</w:t>
      </w:r>
    </w:p>
    <w:p w14:paraId="2E7323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（2）绩效目标完成情况：项目成果满足相关法规、规范、标准以及国家、省、市相关政策的要求。</w:t>
      </w:r>
    </w:p>
    <w:p w14:paraId="4107D30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7383D9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13. 智慧排水系统运行费</w:t>
      </w:r>
    </w:p>
    <w:p w14:paraId="1A9D239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（1）年度目标：完成智慧排水管理信息系统数据的部分更新。</w:t>
      </w:r>
    </w:p>
    <w:p w14:paraId="4EF6558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（2）绩效目标完成情况：完成54.46公里排水管网竣工图纸的数字化更新。</w:t>
      </w:r>
    </w:p>
    <w:p w14:paraId="0DBC2FF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2D9D03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14. 排水监测站监测运行费</w:t>
      </w:r>
    </w:p>
    <w:p w14:paraId="0B32AB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1）年度目标：1、接受排水管理处委托，对排水监理所提供的向城市管网排放污水的排水户进行水质监督监测。重点排水户每季度监测一次，非重点排水户每年监测一次。对排水监理所提供的排水户名单监测覆盖率100%。 2、及时向监理所提供检测报告，对达标排放污水的排水户提供排水许可证年检依据；对超标排放污水的排水户，根据排水监理所要求进行复测。   </w:t>
      </w:r>
    </w:p>
    <w:p w14:paraId="3404D5E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1、接受排水管理处委托，完成了对排水监理所提供的向城市管网排放污水的排水户进行的水质监督监测。对重点排水户完成了每季度监测一次，非重点排水户每年监测一次的目标。对排水监理所提供的排水户名单监测覆盖率达到了100% 。2、及时向监理所提供了检测报告，对达标排放污水的排水户提供了排水许可证年检依据；对超标排放污水的排水户，根据排水监理所要求进行了复测。</w:t>
      </w:r>
    </w:p>
    <w:p w14:paraId="66496DB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316AB4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15. 排水仪器设备及车辆购置经费</w:t>
      </w:r>
    </w:p>
    <w:p w14:paraId="5E0B30B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（1）年度目标：通过购置排水仪器设备及车辆，确保城区排水设施正常运转，城区安全度汛。</w:t>
      </w:r>
    </w:p>
    <w:p w14:paraId="67CC607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（2）绩效目标完成情况：通过购置排水仪器设备及车辆，确保了城区排水设施正常运转，有效保障了人民群众出行安全。    </w:t>
      </w:r>
    </w:p>
    <w:p w14:paraId="29BD962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788648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16. 排水收费所工作经费</w:t>
      </w:r>
    </w:p>
    <w:p w14:paraId="0D227E9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（1）年度目标：更新办公设备及家具，加强执法建设，锻造高质量综合执法队伍，更好地保障工作运转。</w:t>
      </w:r>
    </w:p>
    <w:p w14:paraId="7D7C424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（2）绩效目标完成情况：已完成办公设备及家具的新购，执法队伍整体得到提升，更好地保障了工作的正常运转。</w:t>
      </w:r>
    </w:p>
    <w:p w14:paraId="0C6E5F6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（3）自评得分：99.96分</w:t>
      </w:r>
    </w:p>
    <w:p w14:paraId="1501208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17. 执法业务费</w:t>
      </w:r>
    </w:p>
    <w:p w14:paraId="14107DD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军事化体能训练，提高执法业务水平，提升执法队伍形象和凝聚力。通过开展宣传活动，让市民了解我市排水政策，提升法律意识，自觉维护我市排水设施。通过各项执法业务的开展，保障工作平稳、有序、高效运行。</w:t>
      </w:r>
    </w:p>
    <w:p w14:paraId="3A26BD4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（2）绩效目标完成情况：组织军事化体能训练1次，有效提高了执法业务水平和执法队伍形象。组织开展宣传活动2次，有效宣传排水知识，提升了市民法律意识。各项排水工作平稳、有序、高效运行。</w:t>
      </w:r>
    </w:p>
    <w:p w14:paraId="72C0C61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6EB6E6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18. 执法专用设备购置经费</w:t>
      </w:r>
    </w:p>
    <w:p w14:paraId="3BAABF2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（1）年度目标：通过购置执法专用设备，满足工作需要，提升业务保障能力。</w:t>
      </w:r>
    </w:p>
    <w:p w14:paraId="52FDC59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（2）绩效目标完成情况：进一步满足了执法工作需要，并提升了业务保障能力。</w:t>
      </w:r>
    </w:p>
    <w:p w14:paraId="6503193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0106B6F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19. 业务咨询委托费</w:t>
      </w:r>
    </w:p>
    <w:p w14:paraId="6AB7A3D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（1）年度目标：持续推进城管队伍规范化管理、标准化建设，通过委托第三方咨询机构提供咨询服务以提高排水执法专业水平。</w:t>
      </w:r>
    </w:p>
    <w:p w14:paraId="6345BC7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（2）绩效目标完成情况：通过委托第三方咨询机构提供咨询服务，提高了排水执法专业水平，并推动了排水执法规范化管理和标准化建设。</w:t>
      </w:r>
    </w:p>
    <w:p w14:paraId="58A0CB1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64DD8D2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 摔伤人员及损坏车辆赔偿费</w:t>
      </w:r>
    </w:p>
    <w:p w14:paraId="06DFA7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（1）年度目标：通过对因市政设施损坏，导致伤人、伤车等事故的调查、研判，及时赔偿当事人，减少当事人的损失，提升市民幸福感。</w:t>
      </w:r>
    </w:p>
    <w:p w14:paraId="378B316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（2）绩效目标完成情况：严格按照法院判决和各项票据据实赔付，办结各项伤人、伤车案件，有效维护市民正当权益。</w:t>
      </w:r>
    </w:p>
    <w:p w14:paraId="0280CA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（3）自评得分：97.54分</w:t>
      </w:r>
    </w:p>
    <w:p w14:paraId="5F03C80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21. 劳动聘用人员经费</w:t>
      </w:r>
    </w:p>
    <w:p w14:paraId="40A789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（1）年度目标：通过劳务派遣方式解决现有人员不足，满足实际工作需要，保障人员稳定性，更好地完成我单位的职能和工作任务。</w:t>
      </w:r>
    </w:p>
    <w:p w14:paraId="530EDE1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（2）绩效目标完成情况：通过劳务派遣方式解决了现有人员不足，满足了工作需要，保障了人员稳定性，更好地完成了我单位的职能和工作任务。  </w:t>
      </w:r>
    </w:p>
    <w:p w14:paraId="14762CC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B1C787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22. 2024年劳动聘用人员经费</w:t>
      </w:r>
    </w:p>
    <w:p w14:paraId="13C9A5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（1）年度目标：通过劳务派遣方式解决现有人员不足，满足实际工作需要，保障人员稳定性，更好地完成我单位的职能和工作任务。</w:t>
      </w:r>
    </w:p>
    <w:p w14:paraId="72D4068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（2）绩效目标完成情况：通过劳务派遣方式解决了现有人员不足，满足了工作需要，保障了人员稳定性，更好地完成了我单位的职能和工作任务。  </w:t>
      </w:r>
    </w:p>
    <w:p w14:paraId="4412C51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（3）自评得分：97.3分</w:t>
      </w:r>
    </w:p>
    <w:p w14:paraId="3AE68B5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23.排水中心2023年及以前年度城建项目资金</w:t>
      </w:r>
    </w:p>
    <w:p w14:paraId="59D693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（1）年度目标：新建太平河至民心河西线、北线引水管道，使民心河补水能力大幅提升。</w:t>
      </w:r>
    </w:p>
    <w:p w14:paraId="5F1D7BF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（2）绩效目标完成情况：新建了太平河至民心河西线、北线的引水管道，使民心河的补水能力大幅提升。  </w:t>
      </w:r>
    </w:p>
    <w:p w14:paraId="67993BD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1A525423">
      <w:pPr>
        <w:pStyle w:val="2"/>
        <w:rPr>
          <w:rFonts w:hint="eastAsia"/>
          <w:lang w:val="en-US" w:eastAsia="zh-CN"/>
        </w:rPr>
      </w:pPr>
    </w:p>
    <w:p w14:paraId="5A898805">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Q.石家庄市市政建设服务中心项目数7个。</w:t>
      </w:r>
    </w:p>
    <w:p w14:paraId="04F33538">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本年度项目预算安排资金4978.89万元，执行数1968.81万元，执行率39.54%。总体绩效目标实现情况优秀。</w:t>
      </w:r>
    </w:p>
    <w:p w14:paraId="4A5D978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1.办公设备购置</w:t>
      </w:r>
    </w:p>
    <w:p w14:paraId="2A70DA6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年度目标：按计划完成办公设备购置。</w:t>
      </w:r>
    </w:p>
    <w:p w14:paraId="14FAB72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绩效目标总体情况：已完成3台空调采购，总体完成率100%。</w:t>
      </w:r>
    </w:p>
    <w:p w14:paraId="7009A6B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66FE83A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2.党组织活动经费</w:t>
      </w:r>
    </w:p>
    <w:p w14:paraId="2FACD16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年度目标：通过开展党组织活动，加强理想信念，营造良好的党建氛围。</w:t>
      </w:r>
    </w:p>
    <w:p w14:paraId="361DBCE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绩效目标总体情况：已开展知识竞赛、观看主题电影和组织党员培训活动，总体完成率100%。</w:t>
      </w:r>
    </w:p>
    <w:p w14:paraId="4017A54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15433D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3.质量监督抽测经费</w:t>
      </w:r>
    </w:p>
    <w:p w14:paraId="5B0788E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年度目标：按照国家标准和具体工程量，对工程实体质量进行抽测，保证工程项目质量符合国家标准。</w:t>
      </w:r>
    </w:p>
    <w:p w14:paraId="60D6460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绩效目标总体情况：已完成对工程实体质量的抽测，保证工程项目质量符合国家标准，总体完成率100%。</w:t>
      </w:r>
    </w:p>
    <w:p w14:paraId="0B9120B8">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62875EA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4.事业单位更新电脑设备经费</w:t>
      </w:r>
    </w:p>
    <w:p w14:paraId="6158E96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年度目标：按计划完成办公设备购置。</w:t>
      </w:r>
    </w:p>
    <w:p w14:paraId="66D43DF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绩效目标总体情况：已按照计划购置1台打印机和1台台式电脑，总体完成率100%。</w:t>
      </w:r>
    </w:p>
    <w:p w14:paraId="37337A0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5C9B4B4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5.和平东路(建设大街—翟营大街)区域改造提升工程</w:t>
      </w:r>
    </w:p>
    <w:p w14:paraId="2A239DF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年度目标：通过开展和平东路(建设大街—翟营大街)区域改造提升工程，促进相关区域交通状况提升。</w:t>
      </w:r>
    </w:p>
    <w:p w14:paraId="29CF191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绩效目标总体情况：已完成对机动车道、非机动车道局部补强整体罩面，完成对人行道、路缘石及树池框翻修，总体完成率100%。</w:t>
      </w:r>
    </w:p>
    <w:p w14:paraId="5079A1F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1BAB80C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6.中山路提升改造工程检测费</w:t>
      </w:r>
    </w:p>
    <w:p w14:paraId="0ABDC9E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年度目标：通过中山路提升改造工程，提升改造中山路道路交通状况。</w:t>
      </w:r>
    </w:p>
    <w:p w14:paraId="4DE5A42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绩效目标总体情况：已完成中山路提升改造工程，总体完成率100%。</w:t>
      </w:r>
    </w:p>
    <w:p w14:paraId="065E294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预算执行率100%，自评得分100分。</w:t>
      </w:r>
    </w:p>
    <w:p w14:paraId="6DB2660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7.建管中心2023年及以前年度城建项目资金</w:t>
      </w:r>
    </w:p>
    <w:p w14:paraId="4A5BC8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年度目标：通过对道路设施、排水设施等项目进行提升改造，改善城市交通环境，提高城市排水能力，提升城市整体形象。</w:t>
      </w:r>
    </w:p>
    <w:p w14:paraId="6979047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绩效目标总体情况：部分完成对道路设施、排水设施等项目的改造提升，总体完成率11.34%。</w:t>
      </w:r>
    </w:p>
    <w:p w14:paraId="2B4065B5">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预算执行率11.34%，自评得分：70分。</w:t>
      </w:r>
    </w:p>
    <w:p w14:paraId="139AEDAA">
      <w:p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R.石家庄火车站站前地区管理委员会项目数5个。</w:t>
      </w:r>
    </w:p>
    <w:p w14:paraId="43AFE31B">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本年度项目预算安排资金2763.27万元，执行数2761.31万元，执行率99.93%。总体绩效目标实现情况优秀。</w:t>
      </w:r>
    </w:p>
    <w:p w14:paraId="69A0286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1.党组织活动经费</w:t>
      </w:r>
    </w:p>
    <w:p w14:paraId="7F3FD1E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（1）年度目标：保障党组织能够正常开展组织生活和党的各项学习、实践活动。</w:t>
      </w:r>
    </w:p>
    <w:p w14:paraId="5FCA6CA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（2）绩效目标完成情况：基本按进度完成年度工作目标要求。  </w:t>
      </w:r>
    </w:p>
    <w:p w14:paraId="6C8907E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50776F7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2.办公设备购置费</w:t>
      </w:r>
    </w:p>
    <w:p w14:paraId="7D7AB46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（1）年度目标：购置办公设备，保障正常办公。</w:t>
      </w:r>
    </w:p>
    <w:p w14:paraId="1C0BF2D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（2）绩效目标完成情况：按要求完成办公设备购置。</w:t>
      </w:r>
    </w:p>
    <w:p w14:paraId="7FC1B28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（3）自评得分：99.5分。</w:t>
      </w:r>
    </w:p>
    <w:p w14:paraId="745E357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3.工作场地租赁费</w:t>
      </w:r>
    </w:p>
    <w:p w14:paraId="793AB4E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（1）年度目标：用于租用单位所属人员办公场所，保障正常办公秩序。</w:t>
      </w:r>
    </w:p>
    <w:p w14:paraId="2B7DB60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（2）绩效目标完成情况：按进度完成支付。  </w:t>
      </w:r>
    </w:p>
    <w:p w14:paraId="139585C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424DFDA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4.广场管护费</w:t>
      </w:r>
    </w:p>
    <w:p w14:paraId="7C7C0E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向社会购买保洁服务，保障石家庄站、东站、北站站前区域内的广场、道路、绿地等环境卫生整洁无杂物，旅客和市民有良好的出行环境。通过广场日常管护，确保广场地面及各类设施完好，根据工作需要对广场相关设施进行优化更新，打造整洁有序、温馨靓丽的火车站周边环境。</w:t>
      </w:r>
    </w:p>
    <w:p w14:paraId="3DFCAA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（2）绩效目标完成情况：基本完成年度工作目标要求。  </w:t>
      </w:r>
    </w:p>
    <w:p w14:paraId="060B548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（3）自评得分：100分。</w:t>
      </w:r>
    </w:p>
    <w:p w14:paraId="769ECF9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5.保安服务费用</w:t>
      </w:r>
    </w:p>
    <w:p w14:paraId="076EF68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（1）年度目标：通过保安人员的值勤巡逻和管理，确保石家庄站、东站、北站站前区域内社会治安稳定，交通和市容秩序良好。</w:t>
      </w:r>
    </w:p>
    <w:p w14:paraId="7BEBF9FB">
      <w:pPr>
        <w:pStyle w:val="2"/>
        <w:rPr>
          <w:rFonts w:hint="eastAsia"/>
          <w:lang w:val="en-US" w:eastAsia="zh-CN"/>
        </w:rPr>
      </w:pPr>
    </w:p>
    <w:p w14:paraId="18FC863D">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（2）绩效目标完成情况：基本完成年度工作目标要求。  </w:t>
      </w:r>
    </w:p>
    <w:p w14:paraId="3FE8F6B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（3）自评得分：99.99分。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A927E67">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lang w:val="en-US" w:eastAsia="zh-CN"/>
        </w:rPr>
        <w:t>2024年，城管局部门204个项目，预算金额555167.85万元，预算支出405440.41万元，预算执行率为73.03%，</w:t>
      </w:r>
      <w:r>
        <w:rPr>
          <w:rFonts w:hint="eastAsia" w:ascii="仿宋" w:hAnsi="仿宋" w:eastAsia="仿宋"/>
          <w:sz w:val="32"/>
          <w:szCs w:val="32"/>
          <w:highlight w:val="none"/>
          <w:lang w:val="en-US" w:eastAsia="zh-CN"/>
        </w:rPr>
        <w:t>部门整体支出综合绩效评价得分95.76分，等级为“优秀”。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7AB24FF2">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1.部分项目支出绩效评价指标体系不完善，项目台账资料不齐全，档案管理不规范，给考核评价及评分工作带来一定困难。</w:t>
      </w:r>
    </w:p>
    <w:p w14:paraId="45B487D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2.部分单位相关制度不够完善，需要落实项目责任制，牵头科室及责任人要定期对项目进行追踪，对资金拨付及使用情况进行督促落实，确保项目落地见效。</w:t>
      </w:r>
    </w:p>
    <w:p w14:paraId="2E4FD2EB">
      <w:pPr>
        <w:spacing w:line="560" w:lineRule="exact"/>
        <w:ind w:firstLine="640" w:firstLineChars="200"/>
        <w:rPr>
          <w:rFonts w:ascii="楷体" w:hAnsi="楷体" w:eastAsia="楷体"/>
          <w:bCs/>
          <w:sz w:val="32"/>
          <w:szCs w:val="32"/>
          <w:highlight w:val="none"/>
        </w:rPr>
      </w:pPr>
      <w:r>
        <w:rPr>
          <w:rFonts w:hint="eastAsia" w:ascii="楷体" w:hAnsi="楷体" w:eastAsia="楷体"/>
          <w:bCs/>
          <w:sz w:val="32"/>
          <w:szCs w:val="32"/>
          <w:highlight w:val="none"/>
        </w:rPr>
        <w:t>（二）针对问题提出具体的改进措施或建议</w:t>
      </w:r>
    </w:p>
    <w:p w14:paraId="45F65886">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1.建立和完善项目支出绩效评价指标体系，建全项目台账</w:t>
      </w:r>
    </w:p>
    <w:p w14:paraId="0A27E630">
      <w:pPr>
        <w:adjustRightInd w:val="0"/>
        <w:snapToGrid w:val="0"/>
        <w:spacing w:line="560" w:lineRule="exact"/>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资料，规范档案管理。</w:t>
      </w:r>
    </w:p>
    <w:p w14:paraId="4F0EDD7C">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2.严格审核程序。各单位要按照本单位财务管理相关规定，严格执行审批程序，做到专款专用，按国家财经法规和财务管理制度的规定依法使用资金。</w:t>
      </w:r>
    </w:p>
    <w:p w14:paraId="47B955CE">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3.强化申报工作指导。各下属单位均设立牵头科室和具体负责科室，明确责任到科室到人，有针对性地开展指导工作。</w:t>
      </w:r>
    </w:p>
    <w:p w14:paraId="65862311">
      <w:pPr>
        <w:adjustRightInd w:val="0"/>
        <w:snapToGrid w:val="0"/>
        <w:spacing w:line="560" w:lineRule="exact"/>
        <w:ind w:firstLine="640" w:firstLineChars="200"/>
        <w:rPr>
          <w:rFonts w:hint="eastAsia" w:ascii="仿宋" w:hAnsi="仿宋" w:eastAsia="仿宋"/>
          <w:sz w:val="32"/>
          <w:szCs w:val="32"/>
          <w:highlight w:val="yellow"/>
          <w:lang w:val="en-US" w:eastAsia="zh-CN"/>
        </w:rPr>
      </w:pPr>
      <w:r>
        <w:rPr>
          <w:rFonts w:hint="eastAsia" w:ascii="仿宋" w:hAnsi="仿宋" w:eastAsia="仿宋"/>
          <w:sz w:val="32"/>
          <w:szCs w:val="32"/>
          <w:highlight w:val="none"/>
          <w:lang w:val="en-US" w:eastAsia="zh-CN"/>
        </w:rPr>
        <w:t>4.积极开展年初项目预算申报工作，项目资金下达后积极筹备所在项目的政府采购和招投标工作，并保证项目按期完成。</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6820B6"/>
    <w:multiLevelType w:val="singleLevel"/>
    <w:tmpl w:val="DC6820B6"/>
    <w:lvl w:ilvl="0" w:tentative="0">
      <w:start w:val="3"/>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4B7BBD0A"/>
    <w:multiLevelType w:val="multilevel"/>
    <w:tmpl w:val="4B7BBD0A"/>
    <w:lvl w:ilvl="0" w:tentative="0">
      <w:start w:val="1"/>
      <w:numFmt w:val="chineseCounting"/>
      <w:pStyle w:val="3"/>
      <w:suff w:val="nothing"/>
      <w:lvlText w:val="第%1章 "/>
      <w:lvlJc w:val="left"/>
      <w:pPr>
        <w:ind w:left="432" w:hanging="432"/>
      </w:pPr>
      <w:rPr>
        <w:rFonts w:hint="eastAsia"/>
      </w:rPr>
    </w:lvl>
    <w:lvl w:ilvl="1" w:tentative="0">
      <w:start w:val="1"/>
      <w:numFmt w:val="decimal"/>
      <w:pStyle w:val="4"/>
      <w:isLgl/>
      <w:lvlText w:val="%1.%2."/>
      <w:lvlJc w:val="left"/>
      <w:pPr>
        <w:ind w:left="575" w:hanging="575"/>
      </w:pPr>
      <w:rPr>
        <w:rFonts w:hint="eastAsia"/>
      </w:rPr>
    </w:lvl>
    <w:lvl w:ilvl="2" w:tentative="0">
      <w:start w:val="1"/>
      <w:numFmt w:val="decimal"/>
      <w:isLgl/>
      <w:lvlText w:val="%1.%2.%3."/>
      <w:lvlJc w:val="left"/>
      <w:pPr>
        <w:ind w:left="720" w:hanging="720"/>
      </w:pPr>
      <w:rPr>
        <w:rFonts w:hint="eastAsia"/>
      </w:rPr>
    </w:lvl>
    <w:lvl w:ilvl="3" w:tentative="0">
      <w:start w:val="1"/>
      <w:numFmt w:val="decimal"/>
      <w:isLgl/>
      <w:lvlText w:val="%1.%2.%3.%4."/>
      <w:lvlJc w:val="left"/>
      <w:pPr>
        <w:ind w:left="864" w:hanging="864"/>
      </w:pPr>
      <w:rPr>
        <w:rFonts w:hint="eastAsia"/>
      </w:rPr>
    </w:lvl>
    <w:lvl w:ilvl="4" w:tentative="0">
      <w:start w:val="1"/>
      <w:numFmt w:val="decimal"/>
      <w:isLgl/>
      <w:lvlText w:val="%1.%2.%3.%4.%5."/>
      <w:lvlJc w:val="left"/>
      <w:pPr>
        <w:ind w:left="1008" w:hanging="1008"/>
      </w:pPr>
      <w:rPr>
        <w:rFonts w:hint="eastAsia"/>
      </w:rPr>
    </w:lvl>
    <w:lvl w:ilvl="5" w:tentative="0">
      <w:start w:val="1"/>
      <w:numFmt w:val="decimal"/>
      <w:isLgl/>
      <w:lvlText w:val="%1.%2.%3.%4.%5.%6."/>
      <w:lvlJc w:val="left"/>
      <w:pPr>
        <w:ind w:left="1151" w:hanging="1151"/>
      </w:pPr>
      <w:rPr>
        <w:rFonts w:hint="eastAsia"/>
      </w:rPr>
    </w:lvl>
    <w:lvl w:ilvl="6" w:tentative="0">
      <w:start w:val="1"/>
      <w:numFmt w:val="decimal"/>
      <w:isLgl/>
      <w:lvlText w:val="%1.%2.%3.%4.%5.%6.%7."/>
      <w:lvlJc w:val="left"/>
      <w:pPr>
        <w:ind w:left="1296" w:hanging="1296"/>
      </w:pPr>
      <w:rPr>
        <w:rFonts w:hint="eastAsia"/>
      </w:rPr>
    </w:lvl>
    <w:lvl w:ilvl="7" w:tentative="0">
      <w:start w:val="1"/>
      <w:numFmt w:val="decimal"/>
      <w:isLgl/>
      <w:lvlText w:val="%1.%2.%3.%4.%5.%6.%7.%8."/>
      <w:lvlJc w:val="left"/>
      <w:pPr>
        <w:ind w:left="1440" w:hanging="1440"/>
      </w:pPr>
      <w:rPr>
        <w:rFonts w:hint="eastAsia"/>
      </w:rPr>
    </w:lvl>
    <w:lvl w:ilvl="8" w:tentative="0">
      <w:start w:val="1"/>
      <w:numFmt w:val="decimal"/>
      <w:isLgl/>
      <w:lvlText w:val="%1.%2.%3.%4.%5.%6.%7.%8.%9."/>
      <w:lvlJc w:val="left"/>
      <w:pPr>
        <w:ind w:left="1583" w:hanging="1583"/>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5FF6F06E"/>
    <w:multiLevelType w:val="multilevel"/>
    <w:tmpl w:val="5FF6F06E"/>
    <w:lvl w:ilvl="0" w:tentative="0">
      <w:start w:val="1"/>
      <w:numFmt w:val="chineseCounting"/>
      <w:suff w:val="nothing"/>
      <w:lvlText w:val="第%1章 "/>
      <w:lvlJc w:val="left"/>
      <w:pPr>
        <w:ind w:left="432" w:hanging="432"/>
      </w:pPr>
      <w:rPr>
        <w:rFonts w:hint="eastAsia"/>
      </w:rPr>
    </w:lvl>
    <w:lvl w:ilvl="1" w:tentative="0">
      <w:start w:val="1"/>
      <w:numFmt w:val="decimal"/>
      <w:isLgl/>
      <w:lvlText w:val="%1.%2."/>
      <w:lvlJc w:val="left"/>
      <w:pPr>
        <w:ind w:left="575" w:hanging="575"/>
      </w:pPr>
      <w:rPr>
        <w:rFonts w:hint="eastAsia"/>
      </w:rPr>
    </w:lvl>
    <w:lvl w:ilvl="2" w:tentative="0">
      <w:start w:val="1"/>
      <w:numFmt w:val="decimal"/>
      <w:pStyle w:val="5"/>
      <w:isLgl/>
      <w:lvlText w:val="%1.%2.%3."/>
      <w:lvlJc w:val="left"/>
      <w:pPr>
        <w:ind w:left="420" w:leftChars="0" w:hanging="420" w:firstLineChars="0"/>
      </w:pPr>
      <w:rPr>
        <w:rFonts w:hint="eastAsia"/>
      </w:rPr>
    </w:lvl>
    <w:lvl w:ilvl="3" w:tentative="0">
      <w:start w:val="1"/>
      <w:numFmt w:val="decimal"/>
      <w:isLgl/>
      <w:lvlText w:val="%1.%2.%3.%4."/>
      <w:lvlJc w:val="left"/>
      <w:pPr>
        <w:ind w:left="864" w:hanging="864"/>
      </w:pPr>
      <w:rPr>
        <w:rFonts w:hint="eastAsia"/>
      </w:rPr>
    </w:lvl>
    <w:lvl w:ilvl="4" w:tentative="0">
      <w:start w:val="1"/>
      <w:numFmt w:val="decimal"/>
      <w:isLgl/>
      <w:lvlText w:val="%1.%2.%3.%4.%5."/>
      <w:lvlJc w:val="left"/>
      <w:pPr>
        <w:ind w:left="1008" w:hanging="1008"/>
      </w:pPr>
      <w:rPr>
        <w:rFonts w:hint="eastAsia"/>
      </w:rPr>
    </w:lvl>
    <w:lvl w:ilvl="5" w:tentative="0">
      <w:start w:val="1"/>
      <w:numFmt w:val="decimal"/>
      <w:isLgl/>
      <w:lvlText w:val="%1.%2.%3.%4.%5.%6."/>
      <w:lvlJc w:val="left"/>
      <w:pPr>
        <w:ind w:left="1151" w:hanging="1151"/>
      </w:pPr>
      <w:rPr>
        <w:rFonts w:hint="eastAsia"/>
      </w:rPr>
    </w:lvl>
    <w:lvl w:ilvl="6" w:tentative="0">
      <w:start w:val="1"/>
      <w:numFmt w:val="decimal"/>
      <w:isLgl/>
      <w:lvlText w:val="%1.%2.%3.%4.%5.%6.%7."/>
      <w:lvlJc w:val="left"/>
      <w:pPr>
        <w:ind w:left="1296" w:hanging="1296"/>
      </w:pPr>
      <w:rPr>
        <w:rFonts w:hint="eastAsia"/>
      </w:rPr>
    </w:lvl>
    <w:lvl w:ilvl="7" w:tentative="0">
      <w:start w:val="1"/>
      <w:numFmt w:val="decimal"/>
      <w:isLgl/>
      <w:lvlText w:val="%1.%2.%3.%4.%5.%6.%7.%8."/>
      <w:lvlJc w:val="left"/>
      <w:pPr>
        <w:ind w:left="1440" w:hanging="1440"/>
      </w:pPr>
      <w:rPr>
        <w:rFonts w:hint="eastAsia"/>
      </w:rPr>
    </w:lvl>
    <w:lvl w:ilvl="8" w:tentative="0">
      <w:start w:val="1"/>
      <w:numFmt w:val="decimal"/>
      <w:isLgl/>
      <w:lvlText w:val="%1.%2.%3.%4.%5.%6.%7.%8.%9."/>
      <w:lvlJc w:val="left"/>
      <w:pPr>
        <w:ind w:left="1583" w:hanging="1583"/>
      </w:pPr>
      <w:rPr>
        <w:rFonts w:hint="eastAsia"/>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172A27"/>
    <w:rsid w:val="000B0260"/>
    <w:rsid w:val="001F187B"/>
    <w:rsid w:val="00454D16"/>
    <w:rsid w:val="007E6C1F"/>
    <w:rsid w:val="00956A93"/>
    <w:rsid w:val="009E575C"/>
    <w:rsid w:val="00AF167E"/>
    <w:rsid w:val="00AF566A"/>
    <w:rsid w:val="00B478EA"/>
    <w:rsid w:val="00B6553A"/>
    <w:rsid w:val="00BC6576"/>
    <w:rsid w:val="00CE06BA"/>
    <w:rsid w:val="00F441CC"/>
    <w:rsid w:val="01A050EF"/>
    <w:rsid w:val="01B104CA"/>
    <w:rsid w:val="02106AB0"/>
    <w:rsid w:val="02B43A28"/>
    <w:rsid w:val="046F331E"/>
    <w:rsid w:val="0534627A"/>
    <w:rsid w:val="07956271"/>
    <w:rsid w:val="09721397"/>
    <w:rsid w:val="09D718D9"/>
    <w:rsid w:val="0BB63BED"/>
    <w:rsid w:val="0EB97A43"/>
    <w:rsid w:val="0EBD2122"/>
    <w:rsid w:val="0F214EAE"/>
    <w:rsid w:val="0F5F2145"/>
    <w:rsid w:val="100E1242"/>
    <w:rsid w:val="11B71E6A"/>
    <w:rsid w:val="12371A02"/>
    <w:rsid w:val="191841CA"/>
    <w:rsid w:val="1A882AFB"/>
    <w:rsid w:val="1AAF0063"/>
    <w:rsid w:val="1BC82E20"/>
    <w:rsid w:val="1BE140DE"/>
    <w:rsid w:val="1E542E40"/>
    <w:rsid w:val="248C197D"/>
    <w:rsid w:val="252959AF"/>
    <w:rsid w:val="26272B27"/>
    <w:rsid w:val="26600825"/>
    <w:rsid w:val="277A6671"/>
    <w:rsid w:val="292D35B7"/>
    <w:rsid w:val="2AEB5512"/>
    <w:rsid w:val="2AEB5C7C"/>
    <w:rsid w:val="2BC71801"/>
    <w:rsid w:val="32710E60"/>
    <w:rsid w:val="33EB6CFF"/>
    <w:rsid w:val="35A12947"/>
    <w:rsid w:val="37387040"/>
    <w:rsid w:val="3AC32A72"/>
    <w:rsid w:val="3B625C0A"/>
    <w:rsid w:val="3CEE1963"/>
    <w:rsid w:val="403E6278"/>
    <w:rsid w:val="406C2D7C"/>
    <w:rsid w:val="40E1035D"/>
    <w:rsid w:val="436B78D3"/>
    <w:rsid w:val="44EF1E27"/>
    <w:rsid w:val="4C9C27FE"/>
    <w:rsid w:val="4FB21C77"/>
    <w:rsid w:val="502E7BE6"/>
    <w:rsid w:val="512260B4"/>
    <w:rsid w:val="51A96276"/>
    <w:rsid w:val="52BD6ACB"/>
    <w:rsid w:val="55537534"/>
    <w:rsid w:val="561A74F1"/>
    <w:rsid w:val="569A03D0"/>
    <w:rsid w:val="56FE311A"/>
    <w:rsid w:val="58507AB9"/>
    <w:rsid w:val="58B17416"/>
    <w:rsid w:val="597244E8"/>
    <w:rsid w:val="5A6B088A"/>
    <w:rsid w:val="5E6C3504"/>
    <w:rsid w:val="5EB71C30"/>
    <w:rsid w:val="60E0197E"/>
    <w:rsid w:val="6146326F"/>
    <w:rsid w:val="62A6693C"/>
    <w:rsid w:val="636C6183"/>
    <w:rsid w:val="66AF0CE5"/>
    <w:rsid w:val="66ED3945"/>
    <w:rsid w:val="68AC2130"/>
    <w:rsid w:val="69335FB7"/>
    <w:rsid w:val="6AAE5995"/>
    <w:rsid w:val="6AC537CF"/>
    <w:rsid w:val="6B2A6BD9"/>
    <w:rsid w:val="6E5B14A6"/>
    <w:rsid w:val="70C8281B"/>
    <w:rsid w:val="711B255E"/>
    <w:rsid w:val="719B3703"/>
    <w:rsid w:val="734D4915"/>
    <w:rsid w:val="76384090"/>
    <w:rsid w:val="7B3152AC"/>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numPr>
        <w:ilvl w:val="0"/>
        <w:numId w:val="1"/>
      </w:numPr>
      <w:spacing w:before="340" w:beforeLines="0" w:beforeAutospacing="0" w:after="330" w:afterLines="0" w:afterAutospacing="0" w:line="576" w:lineRule="auto"/>
      <w:ind w:left="432" w:hanging="432" w:firstLineChars="0"/>
      <w:outlineLvl w:val="0"/>
    </w:pPr>
    <w:rPr>
      <w:b/>
      <w:kern w:val="44"/>
      <w:sz w:val="44"/>
    </w:rPr>
  </w:style>
  <w:style w:type="paragraph" w:styleId="4">
    <w:name w:val="heading 2"/>
    <w:basedOn w:val="1"/>
    <w:next w:val="1"/>
    <w:semiHidden/>
    <w:unhideWhenUsed/>
    <w:qFormat/>
    <w:uiPriority w:val="0"/>
    <w:pPr>
      <w:keepNext/>
      <w:keepLines/>
      <w:numPr>
        <w:ilvl w:val="1"/>
        <w:numId w:val="1"/>
      </w:numPr>
      <w:spacing w:before="260" w:after="260" w:line="288" w:lineRule="auto"/>
      <w:ind w:left="575" w:hanging="575" w:firstLineChars="0"/>
      <w:outlineLvl w:val="1"/>
    </w:pPr>
    <w:rPr>
      <w:rFonts w:ascii="Times New Roman" w:hAnsi="Times New Roman" w:eastAsia="黑体" w:cstheme="majorBidi"/>
      <w:b/>
      <w:bCs/>
      <w:sz w:val="30"/>
      <w:szCs w:val="32"/>
    </w:rPr>
  </w:style>
  <w:style w:type="paragraph" w:styleId="5">
    <w:name w:val="heading 3"/>
    <w:basedOn w:val="1"/>
    <w:next w:val="1"/>
    <w:semiHidden/>
    <w:unhideWhenUsed/>
    <w:qFormat/>
    <w:uiPriority w:val="0"/>
    <w:pPr>
      <w:keepNext/>
      <w:keepLines/>
      <w:numPr>
        <w:ilvl w:val="2"/>
        <w:numId w:val="2"/>
      </w:numPr>
      <w:adjustRightInd w:val="0"/>
      <w:snapToGrid w:val="0"/>
      <w:spacing w:before="50" w:beforeLines="50" w:after="50" w:afterLines="50" w:line="288" w:lineRule="auto"/>
      <w:ind w:left="0" w:firstLine="560" w:firstLineChars="200"/>
      <w:outlineLvl w:val="2"/>
    </w:pPr>
    <w:rPr>
      <w:rFonts w:ascii="Times New Roman" w:hAnsi="Times New Roman"/>
      <w:b/>
      <w:bCs/>
      <w:szCs w:val="32"/>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20"/>
    </w:pPr>
    <w:rPr>
      <w:rFonts w:ascii="Times New Roman" w:hAnsi="Times New Roman"/>
      <w:i/>
      <w:iCs/>
      <w:sz w:val="20"/>
    </w:rPr>
  </w:style>
  <w:style w:type="paragraph" w:styleId="6">
    <w:name w:val="annotation text"/>
    <w:basedOn w:val="1"/>
    <w:qFormat/>
    <w:uiPriority w:val="0"/>
    <w:pPr>
      <w:jc w:val="left"/>
    </w:pPr>
  </w:style>
  <w:style w:type="paragraph" w:styleId="7">
    <w:name w:val="Body Text Indent"/>
    <w:basedOn w:val="1"/>
    <w:next w:val="8"/>
    <w:qFormat/>
    <w:uiPriority w:val="0"/>
    <w:pPr>
      <w:spacing w:after="120"/>
      <w:ind w:left="420" w:leftChars="200"/>
    </w:pPr>
  </w:style>
  <w:style w:type="paragraph" w:styleId="8">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9">
    <w:name w:val="Block Text"/>
    <w:basedOn w:val="1"/>
    <w:qFormat/>
    <w:uiPriority w:val="0"/>
    <w:pPr>
      <w:spacing w:after="120"/>
      <w:ind w:left="700" w:leftChars="700" w:right="700" w:rightChars="7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2"/>
    <w:basedOn w:val="7"/>
    <w:qFormat/>
    <w:uiPriority w:val="0"/>
    <w:pPr>
      <w:adjustRightInd w:val="0"/>
      <w:snapToGrid w:val="0"/>
      <w:ind w:leftChars="0" w:firstLine="210"/>
      <w:textAlignment w:val="baseline"/>
    </w:pPr>
    <w:rPr>
      <w:sz w:val="24"/>
      <w:lang w:bidi="he-IL"/>
    </w:rPr>
  </w:style>
  <w:style w:type="paragraph" w:customStyle="1" w:styleId="16">
    <w:name w:val="表格"/>
    <w:basedOn w:val="17"/>
    <w:autoRedefine/>
    <w:qFormat/>
    <w:uiPriority w:val="0"/>
    <w:pPr>
      <w:ind w:left="0" w:leftChars="0" w:firstLine="0" w:firstLineChars="0"/>
    </w:pPr>
    <w:rPr>
      <w:rFonts w:ascii="Times New Roman" w:hAnsi="Times New Roman"/>
    </w:rPr>
  </w:style>
  <w:style w:type="paragraph" w:customStyle="1" w:styleId="17">
    <w:name w:val="Body Text Indent1"/>
    <w:basedOn w:val="1"/>
    <w:autoRedefine/>
    <w:qFormat/>
    <w:uiPriority w:val="0"/>
    <w:pPr>
      <w:ind w:left="420" w:leftChars="200"/>
    </w:pPr>
  </w:style>
  <w:style w:type="paragraph" w:customStyle="1" w:styleId="18">
    <w:name w:val="Normal Indent1"/>
    <w:basedOn w:val="1"/>
    <w:next w:val="8"/>
    <w:qFormat/>
    <w:uiPriority w:val="0"/>
    <w:pPr>
      <w:ind w:firstLine="420" w:firstLineChars="200"/>
    </w:pPr>
    <w:rPr>
      <w:rFonts w:eastAsia="仿宋_GB2312"/>
      <w:sz w:val="30"/>
    </w:rPr>
  </w:style>
  <w:style w:type="paragraph" w:customStyle="1" w:styleId="19">
    <w:name w:val="Body Text First Indent 21"/>
    <w:qFormat/>
    <w:uiPriority w:val="0"/>
    <w:pPr>
      <w:widowControl w:val="0"/>
      <w:ind w:left="420" w:leftChars="200" w:firstLine="420" w:firstLineChars="200"/>
      <w:jc w:val="both"/>
    </w:pPr>
    <w:rPr>
      <w:rFonts w:ascii="Calibri" w:hAnsi="Calibri" w:eastAsia="宋体" w:cs="黑体"/>
      <w:kern w:val="2"/>
      <w:sz w:val="21"/>
      <w:szCs w:val="22"/>
      <w:lang w:val="en-US" w:eastAsia="zh-CN" w:bidi="ar-SA"/>
    </w:rPr>
  </w:style>
  <w:style w:type="paragraph" w:customStyle="1" w:styleId="20">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styleId="21">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76</Pages>
  <Words>1515</Words>
  <Characters>1531</Characters>
  <Lines>4</Lines>
  <Paragraphs>1</Paragraphs>
  <TotalTime>104</TotalTime>
  <ScaleCrop>false</ScaleCrop>
  <LinksUpToDate>false</LinksUpToDate>
  <CharactersWithSpaces>1536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彤彤</cp:lastModifiedBy>
  <cp:lastPrinted>2024-03-06T07:40:00Z</cp:lastPrinted>
  <dcterms:modified xsi:type="dcterms:W3CDTF">2025-09-16T08:42:28Z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2FDE8449A22E4A75A7A850F99DDF48EB_13</vt:lpwstr>
  </property>
  <property fmtid="{D5CDD505-2E9C-101B-9397-08002B2CF9AE}" pid="4" name="KSOTemplateDocerSaveRecord">
    <vt:lpwstr>eyJoZGlkIjoiZWQ0ODZjMjI0ZTUyYzAwNzEzOTNiOTY5ZjA3MWRiOWQiLCJ1c2VySWQiOiIyNjc0NTkxNDQifQ==</vt:lpwstr>
  </property>
</Properties>
</file>