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348021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：石家庄市邮政快递业安全服务中心</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0EF5717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石家庄市邮政快递业安全服务中心</w:t>
      </w:r>
    </w:p>
    <w:p w14:paraId="6A6AF78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4789D8F2">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石家庄市邮政快递业安全服务中心</w:t>
      </w:r>
    </w:p>
    <w:p w14:paraId="7ED2B8D9">
      <w:pPr>
        <w:widowControl/>
        <w:spacing w:before="0" w:beforeLines="0" w:beforeAutospacing="0" w:after="0" w:afterLines="0" w:afterAutospacing="0" w:line="360" w:lineRule="auto"/>
        <w:jc w:val="center"/>
        <w:rPr>
          <w:rFonts w:ascii="Times New Roman" w:eastAsia="楷体_GB2312"/>
          <w:sz w:val="44"/>
          <w:szCs w:val="44"/>
        </w:rPr>
      </w:pPr>
      <w:bookmarkStart w:id="0" w:name="_GoBack"/>
      <w:bookmarkEnd w:id="0"/>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62D0737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463692A">
      <w:pPr>
        <w:widowControl/>
        <w:spacing w:after="160" w:line="580" w:lineRule="exact"/>
        <w:ind w:firstLine="640" w:firstLineChars="200"/>
        <w:rPr>
          <w:rFonts w:ascii="Times New Roman" w:hAnsi="Times New Roman" w:eastAsia="黑体" w:cs="Times New Roman"/>
          <w:sz w:val="32"/>
          <w:szCs w:val="32"/>
        </w:rPr>
      </w:pPr>
    </w:p>
    <w:p w14:paraId="59262ED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23C115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480E48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4B34F9E3">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46F538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49AF65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379CB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DEBE5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D73E6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CF935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955F4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E9486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69272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6817CF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5549F1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5A085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5AC5C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F9CF9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F4C8E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CAF36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B3FE5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DFB3B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612EC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44B63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CB4DB7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E6B806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2E3BAB6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0F506B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673210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7AC51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石家庄市邮政快递业安全服务中心</w:t>
            </w:r>
          </w:p>
        </w:tc>
        <w:tc>
          <w:tcPr>
            <w:tcW w:w="2445" w:type="dxa"/>
          </w:tcPr>
          <w:p w14:paraId="2E443189">
            <w:pPr>
              <w:spacing w:line="560" w:lineRule="exact"/>
              <w:jc w:val="center"/>
              <w:rPr>
                <w:rFonts w:ascii="仿宋_GB2312" w:hAnsi="Calibri" w:eastAsia="仿宋_GB2312" w:cs="ArialUnicodeMS"/>
                <w:kern w:val="0"/>
                <w:sz w:val="28"/>
                <w:szCs w:val="28"/>
              </w:rPr>
            </w:pP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5AD30B2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部门（单位）：石家庄市邮政快递业安全服务中心</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部门（单位）：石家庄市邮政快递业安全服务中心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128.74</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128.74</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8E1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AF64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21405</w:t>
            </w:r>
          </w:p>
        </w:tc>
        <w:tc>
          <w:tcPr>
            <w:tcW w:w="1160" w:type="dxa"/>
            <w:tcBorders>
              <w:top w:val="nil"/>
              <w:left w:val="nil"/>
              <w:bottom w:val="single" w:color="000000" w:sz="4" w:space="0"/>
              <w:right w:val="single" w:color="000000" w:sz="4" w:space="0"/>
            </w:tcBorders>
            <w:noWrap/>
            <w:vAlign w:val="center"/>
          </w:tcPr>
          <w:p w14:paraId="0D7022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邮政业支出</w:t>
            </w:r>
          </w:p>
        </w:tc>
        <w:tc>
          <w:tcPr>
            <w:tcW w:w="1037" w:type="dxa"/>
            <w:tcBorders>
              <w:top w:val="nil"/>
              <w:left w:val="nil"/>
              <w:bottom w:val="single" w:color="000000" w:sz="4" w:space="0"/>
              <w:right w:val="single" w:color="000000" w:sz="4" w:space="0"/>
            </w:tcBorders>
            <w:noWrap/>
            <w:vAlign w:val="center"/>
          </w:tcPr>
          <w:p w14:paraId="64248A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037" w:type="dxa"/>
            <w:tcBorders>
              <w:top w:val="nil"/>
              <w:left w:val="nil"/>
              <w:bottom w:val="single" w:color="000000" w:sz="4" w:space="0"/>
              <w:right w:val="single" w:color="000000" w:sz="4" w:space="0"/>
            </w:tcBorders>
            <w:noWrap/>
            <w:vAlign w:val="center"/>
          </w:tcPr>
          <w:p w14:paraId="47ADFF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037" w:type="dxa"/>
            <w:tcBorders>
              <w:top w:val="nil"/>
              <w:left w:val="nil"/>
              <w:bottom w:val="single" w:color="000000" w:sz="4" w:space="0"/>
              <w:right w:val="single" w:color="000000" w:sz="4" w:space="0"/>
            </w:tcBorders>
            <w:noWrap/>
            <w:vAlign w:val="center"/>
          </w:tcPr>
          <w:p w14:paraId="791ABE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7895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1EB3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0BC3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395E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0A4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18E1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2140504</w:t>
            </w:r>
          </w:p>
        </w:tc>
        <w:tc>
          <w:tcPr>
            <w:tcW w:w="1160" w:type="dxa"/>
            <w:tcBorders>
              <w:top w:val="nil"/>
              <w:left w:val="nil"/>
              <w:bottom w:val="single" w:color="000000" w:sz="4" w:space="0"/>
              <w:right w:val="single" w:color="000000" w:sz="4" w:space="0"/>
            </w:tcBorders>
            <w:noWrap/>
            <w:vAlign w:val="center"/>
          </w:tcPr>
          <w:p w14:paraId="059EB02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行业监管</w:t>
            </w:r>
          </w:p>
        </w:tc>
        <w:tc>
          <w:tcPr>
            <w:tcW w:w="1037" w:type="dxa"/>
            <w:tcBorders>
              <w:top w:val="nil"/>
              <w:left w:val="nil"/>
              <w:bottom w:val="single" w:color="000000" w:sz="4" w:space="0"/>
              <w:right w:val="single" w:color="000000" w:sz="4" w:space="0"/>
            </w:tcBorders>
            <w:noWrap/>
            <w:vAlign w:val="center"/>
          </w:tcPr>
          <w:p w14:paraId="2D9F6C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037" w:type="dxa"/>
            <w:tcBorders>
              <w:top w:val="nil"/>
              <w:left w:val="nil"/>
              <w:bottom w:val="single" w:color="000000" w:sz="4" w:space="0"/>
              <w:right w:val="single" w:color="000000" w:sz="4" w:space="0"/>
            </w:tcBorders>
            <w:noWrap/>
            <w:vAlign w:val="center"/>
          </w:tcPr>
          <w:p w14:paraId="7ED2D3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128.74</w:t>
            </w:r>
          </w:p>
        </w:tc>
        <w:tc>
          <w:tcPr>
            <w:tcW w:w="1037" w:type="dxa"/>
            <w:tcBorders>
              <w:top w:val="nil"/>
              <w:left w:val="nil"/>
              <w:bottom w:val="single" w:color="000000" w:sz="4" w:space="0"/>
              <w:right w:val="single" w:color="000000" w:sz="4" w:space="0"/>
            </w:tcBorders>
            <w:noWrap/>
            <w:vAlign w:val="center"/>
          </w:tcPr>
          <w:p w14:paraId="68A3B8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8F8F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872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CEA4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1D61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部门（单位）：石家庄市邮政快递业安全服务中心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119.78</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7CBC5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B9970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w:t>
            </w:r>
          </w:p>
        </w:tc>
        <w:tc>
          <w:tcPr>
            <w:tcW w:w="635" w:type="pct"/>
            <w:tcBorders>
              <w:top w:val="nil"/>
              <w:left w:val="nil"/>
              <w:bottom w:val="single" w:color="000000" w:sz="4" w:space="0"/>
              <w:right w:val="single" w:color="000000" w:sz="4" w:space="0"/>
            </w:tcBorders>
            <w:noWrap/>
            <w:vAlign w:val="center"/>
          </w:tcPr>
          <w:p w14:paraId="57A025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邮政业支出</w:t>
            </w:r>
          </w:p>
        </w:tc>
        <w:tc>
          <w:tcPr>
            <w:tcW w:w="603" w:type="pct"/>
            <w:tcBorders>
              <w:top w:val="nil"/>
              <w:left w:val="nil"/>
              <w:bottom w:val="single" w:color="000000" w:sz="4" w:space="0"/>
              <w:right w:val="single" w:color="000000" w:sz="4" w:space="0"/>
            </w:tcBorders>
            <w:noWrap/>
            <w:vAlign w:val="center"/>
          </w:tcPr>
          <w:p w14:paraId="00A078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602" w:type="pct"/>
            <w:gridSpan w:val="2"/>
            <w:tcBorders>
              <w:top w:val="nil"/>
              <w:left w:val="nil"/>
              <w:bottom w:val="single" w:color="000000" w:sz="4" w:space="0"/>
              <w:right w:val="single" w:color="000000" w:sz="4" w:space="0"/>
            </w:tcBorders>
            <w:noWrap/>
            <w:vAlign w:val="center"/>
          </w:tcPr>
          <w:p w14:paraId="39FD69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602" w:type="pct"/>
            <w:tcBorders>
              <w:top w:val="nil"/>
              <w:left w:val="nil"/>
              <w:bottom w:val="single" w:color="000000" w:sz="4" w:space="0"/>
              <w:right w:val="single" w:color="000000" w:sz="4" w:space="0"/>
            </w:tcBorders>
            <w:noWrap/>
            <w:vAlign w:val="center"/>
          </w:tcPr>
          <w:p w14:paraId="780F66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c>
          <w:tcPr>
            <w:tcW w:w="602" w:type="pct"/>
            <w:gridSpan w:val="2"/>
            <w:tcBorders>
              <w:top w:val="nil"/>
              <w:left w:val="nil"/>
              <w:bottom w:val="single" w:color="000000" w:sz="4" w:space="0"/>
              <w:right w:val="single" w:color="000000" w:sz="4" w:space="0"/>
            </w:tcBorders>
            <w:noWrap/>
            <w:vAlign w:val="center"/>
          </w:tcPr>
          <w:p w14:paraId="403941C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1C57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60C4C8">
            <w:pPr>
              <w:jc w:val="right"/>
              <w:rPr>
                <w:rFonts w:hint="default" w:ascii="Times New Roman" w:hAnsi="Times New Roman" w:eastAsia="宋体" w:cs="Times New Roman"/>
                <w:i w:val="0"/>
                <w:iCs w:val="0"/>
                <w:color w:val="000000"/>
                <w:sz w:val="20"/>
                <w:szCs w:val="20"/>
                <w:highlight w:val="none"/>
                <w:u w:val="none"/>
              </w:rPr>
            </w:pPr>
          </w:p>
        </w:tc>
      </w:tr>
      <w:tr w14:paraId="70160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6342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2140504</w:t>
            </w:r>
          </w:p>
        </w:tc>
        <w:tc>
          <w:tcPr>
            <w:tcW w:w="635" w:type="pct"/>
            <w:tcBorders>
              <w:top w:val="nil"/>
              <w:left w:val="nil"/>
              <w:bottom w:val="single" w:color="000000" w:sz="4" w:space="0"/>
              <w:right w:val="single" w:color="000000" w:sz="4" w:space="0"/>
            </w:tcBorders>
            <w:noWrap/>
            <w:vAlign w:val="center"/>
          </w:tcPr>
          <w:p w14:paraId="1619EA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行业监管</w:t>
            </w:r>
          </w:p>
        </w:tc>
        <w:tc>
          <w:tcPr>
            <w:tcW w:w="603" w:type="pct"/>
            <w:tcBorders>
              <w:top w:val="nil"/>
              <w:left w:val="nil"/>
              <w:bottom w:val="single" w:color="000000" w:sz="4" w:space="0"/>
              <w:right w:val="single" w:color="000000" w:sz="4" w:space="0"/>
            </w:tcBorders>
            <w:noWrap/>
            <w:vAlign w:val="center"/>
          </w:tcPr>
          <w:p w14:paraId="72C9A2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602" w:type="pct"/>
            <w:gridSpan w:val="2"/>
            <w:tcBorders>
              <w:top w:val="nil"/>
              <w:left w:val="nil"/>
              <w:bottom w:val="single" w:color="000000" w:sz="4" w:space="0"/>
              <w:right w:val="single" w:color="000000" w:sz="4" w:space="0"/>
            </w:tcBorders>
            <w:noWrap/>
            <w:vAlign w:val="center"/>
          </w:tcPr>
          <w:p w14:paraId="773EE4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602" w:type="pct"/>
            <w:tcBorders>
              <w:top w:val="nil"/>
              <w:left w:val="nil"/>
              <w:bottom w:val="single" w:color="000000" w:sz="4" w:space="0"/>
              <w:right w:val="single" w:color="000000" w:sz="4" w:space="0"/>
            </w:tcBorders>
            <w:noWrap/>
            <w:vAlign w:val="center"/>
          </w:tcPr>
          <w:p w14:paraId="0241F0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c>
          <w:tcPr>
            <w:tcW w:w="602" w:type="pct"/>
            <w:gridSpan w:val="2"/>
            <w:tcBorders>
              <w:top w:val="nil"/>
              <w:left w:val="nil"/>
              <w:bottom w:val="single" w:color="000000" w:sz="4" w:space="0"/>
              <w:right w:val="single" w:color="000000" w:sz="4" w:space="0"/>
            </w:tcBorders>
            <w:noWrap/>
            <w:vAlign w:val="center"/>
          </w:tcPr>
          <w:p w14:paraId="164A82A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01528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0F63A7">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部门（单位）：石家庄市邮政快递业安全服务中心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128.74</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90"/>
        <w:gridCol w:w="2033"/>
        <w:gridCol w:w="1093"/>
        <w:gridCol w:w="844"/>
        <w:gridCol w:w="904"/>
        <w:gridCol w:w="378"/>
        <w:gridCol w:w="1458"/>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编制部门（单位）：石家庄市邮政快递业安全服务中心</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119.78</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r>
      <w:tr w14:paraId="32AAE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A01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w:t>
            </w:r>
          </w:p>
        </w:tc>
        <w:tc>
          <w:tcPr>
            <w:tcW w:w="756" w:type="pct"/>
            <w:tcBorders>
              <w:top w:val="single" w:color="auto" w:sz="4" w:space="0"/>
              <w:left w:val="single" w:color="auto" w:sz="4" w:space="0"/>
              <w:bottom w:val="single" w:color="auto" w:sz="4" w:space="0"/>
              <w:right w:val="single" w:color="auto" w:sz="4" w:space="0"/>
            </w:tcBorders>
            <w:noWrap/>
            <w:vAlign w:val="center"/>
          </w:tcPr>
          <w:p w14:paraId="6F589B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邮政业支出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AFAF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5575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1218" w:type="pct"/>
            <w:tcBorders>
              <w:top w:val="single" w:color="auto" w:sz="4" w:space="0"/>
              <w:left w:val="single" w:color="auto" w:sz="4" w:space="0"/>
              <w:bottom w:val="single" w:color="auto" w:sz="4" w:space="0"/>
              <w:right w:val="single" w:color="auto" w:sz="4" w:space="0"/>
            </w:tcBorders>
            <w:noWrap/>
            <w:vAlign w:val="center"/>
          </w:tcPr>
          <w:p w14:paraId="2661E4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r>
      <w:tr w14:paraId="4163E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98F7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2140504</w:t>
            </w:r>
          </w:p>
        </w:tc>
        <w:tc>
          <w:tcPr>
            <w:tcW w:w="756" w:type="pct"/>
            <w:tcBorders>
              <w:top w:val="single" w:color="auto" w:sz="4" w:space="0"/>
              <w:left w:val="single" w:color="auto" w:sz="4" w:space="0"/>
              <w:bottom w:val="single" w:color="auto" w:sz="4" w:space="0"/>
              <w:right w:val="single" w:color="auto" w:sz="4" w:space="0"/>
            </w:tcBorders>
            <w:noWrap/>
            <w:vAlign w:val="center"/>
          </w:tcPr>
          <w:p w14:paraId="03F95D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行业监管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AB0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128.74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9600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119.78</w:t>
            </w:r>
          </w:p>
        </w:tc>
        <w:tc>
          <w:tcPr>
            <w:tcW w:w="1218" w:type="pct"/>
            <w:tcBorders>
              <w:top w:val="single" w:color="auto" w:sz="4" w:space="0"/>
              <w:left w:val="single" w:color="auto" w:sz="4" w:space="0"/>
              <w:bottom w:val="single" w:color="auto" w:sz="4" w:space="0"/>
              <w:right w:val="single" w:color="auto" w:sz="4" w:space="0"/>
            </w:tcBorders>
            <w:noWrap/>
            <w:vAlign w:val="center"/>
          </w:tcPr>
          <w:p w14:paraId="02CB5B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8.96</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部门（单位）：石家庄市邮政快递业安全服务中心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109.28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4.24</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21.97</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4.71</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19.38</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29.40</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12.30</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5.68</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3.57</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11.55</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0.72</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6.26</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6.26</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0.72</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0.38</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3.14</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115.54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4.24</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部门（单位）：石家庄市邮政快递业安全服务中心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部门（单位）：石家庄市邮政快递业安全服务中心</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部门（单位）：石家庄市邮政快递业安全服务中心</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E73B8E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4531D58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6C312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本单位2024年度收、支总计（含结转和结余）均为128.74万元。与2023年度决算相比，收支各增加23.85万元，增长22.7%，主要原因是。</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F3EA61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B5051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128.74万元，其中：财政拨款收入128.74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10C5453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6BB733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本单位2024年度本年支出合计128.74万元，其中：基本支出119.78万元，占93.0%；项目支出8.96万元，占7.0%；上缴上级支出0.00万元，占0.0%；经营支出0.00万元，占0.0%；对附属单位补助支出0.00万元，占0.0%。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D7DD60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45770C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A9317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本单位2024年度财政拨款收、支总计（含结转和结余）均为128.74万元。与2023年度相比，财政拨款收支各增加23.85万元，增长22.7%，主要原因是。</w:t>
      </w:r>
    </w:p>
    <w:p w14:paraId="39D63B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本单位2024年度财政拨款本年收入128.74万元,比上年增加23.85万元，增长22.7%，主要原因是；本年支出128.74万元，比上年增加23.85万元，增长22.7%，主要原因是。具体情况如下：</w:t>
      </w:r>
    </w:p>
    <w:p w14:paraId="389A80E2">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1.一般公共预算财政拨款本年收入128.74万元,比上年增加23.85万元，增长22.7%，主要原因是；本年支出128.74万元，比上年增加23.85万元，增长22.7%，主要原因是。</w:t>
      </w:r>
    </w:p>
    <w:p w14:paraId="71B4B4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2.政府性基金预算财政拨款本年收入0.00万元，比上年增加0.00万元，增长0.00%，主要原因是；本年支出0.00万元，比上年增加0.00万元，增长0.00%，主要原因是。</w:t>
      </w:r>
    </w:p>
    <w:p w14:paraId="6D8684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3.国有资本经营预算财政拨款本年收入0.00万元，比上年增加0.00万元，增长0.00%，主要原因是；本年支出0.00万元，比上年增加0.00万元，增长0.00%，主要原因是。</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7BF7B2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70A7E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128.74万元，完成年初预算的115.1%，比年初预算增加16.93万元，决算数大于预算数主要原因是；本年支出128.74万元，完成年初预算的115.1%，比年初预算增加16.93万元，决算数大于预算数主要原因是。具体情况如下：</w:t>
      </w:r>
    </w:p>
    <w:p w14:paraId="4835F7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1.一般公共预算财政拨款本年收入完成年初预算的115.1%，比年初预算增加16.93万元，主要原因是；支出完成年初预算的115.1%，比年初预算增加16.93万元，主要原因是。</w:t>
      </w:r>
    </w:p>
    <w:p w14:paraId="573022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2.政府性基金预算财政拨款本年收入完成年初预算的0.0%，比年初预算增加0.00万元，主要原因是；支出完成年初预算的0.0%，比年初预算增加0.00万元，主要原因是。</w:t>
      </w:r>
    </w:p>
    <w:p w14:paraId="095C59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3.国有资本经营预算财政拨款本年收入完成年初预算的0.0%，比年初预算增加0.00万元，主要原因是；支出完成年初预算的0.0%，比年初预算增加0.00万元，主要原因是。</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AEF52C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D87BE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2024年度财政拨款支出128.74万元，主要用于以下方面：</w:t>
      </w:r>
    </w:p>
    <w:p w14:paraId="0F19913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0D093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128.74万元，占100.0%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160796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0C6CE0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00BA8F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FF743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177919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4E157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2024年度财政拨款基本支出119.78万元，其中：</w:t>
      </w:r>
    </w:p>
    <w:p w14:paraId="37B38D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115.54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297F7E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4.24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6D9055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2C7E6C0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C868F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本单位2024年度“三公”经费财政拨款支出预算为0.00万元，支出决算为0.00万元，完成预算的0.0%，较预算增加0.00万元，增长0.0%，主要原因是；较2023年度决算增加0.00万元，增长0.00%，主要原因是。</w:t>
      </w:r>
    </w:p>
    <w:p w14:paraId="64BAF75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12EDB0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4ABEA3A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本单位2024年度公务用车购置及运行维护费预算为0.00万元，支出决算0.00万元，完成预算的0.0%,较预算增加0.00万元，增长0.0%,主要原因是；较上年增加0.00万元，增长0.00%,主要原因是。其中：</w:t>
      </w:r>
    </w:p>
    <w:p w14:paraId="410A149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本单位2024年度公务用车购置量0辆，发生“公务用车购置”经费支出0.00万元。公务用车购置费支出较预算增加0.00万元，增长0.0%,主要原因是；较上年增加0.00万元，增长0.00%,主要原因是。</w:t>
      </w:r>
    </w:p>
    <w:p w14:paraId="7ADB1C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本单位2024年度单位公务用车保有量0辆，发生运行维护费支出0.00万元。公车运行维护费支出较预算增加0.00万元，增长0.0%,主要原因是；较上年增加0.00万元，增长0.00%，主要原因是。</w:t>
      </w:r>
    </w:p>
    <w:p w14:paraId="13F889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14:paraId="1845C61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6BF13A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w:t>
      </w:r>
    </w:p>
    <w:p w14:paraId="4822B3E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665EF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482DBFF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1B5B1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1辆，主要是。其中，副部（省）级及以上领导用车0辆，主要负责人用车0辆，机要通信用车1辆，应急保障用车0辆，执法执勤用车0辆，特种专业技术用车0辆，离退休干部用车0辆，其他用车0辆，其他用车主要是。单位价值100万元（含）以上设备（不含车辆）0台（套）。</w:t>
      </w:r>
    </w:p>
    <w:p w14:paraId="03B1B1E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F1D0A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E086D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万元（决算金额）。其中，一般公共预算项目个，涉及资金万元，占一般公共预算项目支出总额的%；政府性基金预算项目个，涉及资金万元，占政府性基金预算项目支出总额的%；国有资本经营预算项目个，涉及资金万元，占国有资本经营预算项目支出总额的%。</w:t>
      </w:r>
    </w:p>
    <w:p w14:paraId="2D332E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组织对等个项目开展了部门重点评价，涉及一般公共预算支出万元，政府性基金预算支出万元，国有资本经营预算支出万元，从评价情况来看，。</w:t>
      </w:r>
    </w:p>
    <w:p w14:paraId="22D12E1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50248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本单位在今年部门决算公开中反映等个项目绩效自评结果。</w:t>
      </w:r>
    </w:p>
    <w:p w14:paraId="3E744A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项目绩效自评情况：根据年初设定的绩效目标，项目绩效自评得分为分（绩效自评表附后）。全年预算数为万元，执行数为万元，完成预算的%。项目绩效目标完成情况：一是；二是。发现的主要问题及原因是：一是；二是。下一步改进措施：一是；二是。</w:t>
      </w:r>
    </w:p>
    <w:p w14:paraId="50FCE68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228F8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A294B40">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BCB86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6E2716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643E1C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62CC05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18928F9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539DF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1B99C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61D870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93289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E63297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9B048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D5FF2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BF9C85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F0560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2DE7CD0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26EFD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78F52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6E2B18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4BC4C3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7F001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7FF8BD6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40376F5-2B47-4F18-8F57-969C48CB4805}"/>
  </w:font>
  <w:font w:name="黑体">
    <w:panose1 w:val="02010609060101010101"/>
    <w:charset w:val="86"/>
    <w:family w:val="auto"/>
    <w:pitch w:val="default"/>
    <w:sig w:usb0="800002BF" w:usb1="38CF7CFA" w:usb2="00000016" w:usb3="00000000" w:csb0="00040001" w:csb1="00000000"/>
    <w:embedRegular r:id="rId2" w:fontKey="{1F1CA2DF-0A81-4D1F-9831-83F12198925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55234F38-8FFD-4B0A-9FFA-F7B12E5D11C5}"/>
  </w:font>
  <w:font w:name="仿宋">
    <w:panose1 w:val="02010609060101010101"/>
    <w:charset w:val="86"/>
    <w:family w:val="modern"/>
    <w:pitch w:val="default"/>
    <w:sig w:usb0="800002BF" w:usb1="38CF7CFA" w:usb2="00000016" w:usb3="00000000" w:csb0="00040001" w:csb1="00000000"/>
    <w:embedRegular r:id="rId4" w:fontKey="{AA0D589C-C8A8-4BA2-9B17-AD45E972DB5A}"/>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E948B65D-B6BA-4FA3-A85D-991843822147}"/>
  </w:font>
  <w:font w:name="方正小标宋_GBK">
    <w:panose1 w:val="02000000000000000000"/>
    <w:charset w:val="86"/>
    <w:family w:val="script"/>
    <w:pitch w:val="default"/>
    <w:sig w:usb0="A00002BF" w:usb1="38CF7CFA" w:usb2="00082016" w:usb3="00000000" w:csb0="00040001" w:csb1="00000000"/>
    <w:embedRegular r:id="rId6" w:fontKey="{84AD0872-3D5B-4DC5-82F5-2A0AFD399CA3}"/>
  </w:font>
  <w:font w:name="仿宋_GB2312">
    <w:panose1 w:val="02010609030101010101"/>
    <w:charset w:val="86"/>
    <w:family w:val="auto"/>
    <w:pitch w:val="default"/>
    <w:sig w:usb0="00000001" w:usb1="080E0000" w:usb2="00000000" w:usb3="00000000" w:csb0="00040000" w:csb1="00000000"/>
    <w:embedRegular r:id="rId7" w:fontKey="{B4C42A75-DDBD-4B6A-B6E3-8C3719170138}"/>
  </w:font>
  <w:font w:name="ArialUnicodeMS">
    <w:altName w:val="Malgun Gothic"/>
    <w:panose1 w:val="00000000000000000000"/>
    <w:charset w:val="81"/>
    <w:family w:val="auto"/>
    <w:pitch w:val="default"/>
    <w:sig w:usb0="00000000" w:usb1="00000000" w:usb2="00000010" w:usb3="00000000" w:csb0="00080001" w:csb1="00000000"/>
    <w:embedRegular r:id="rId8" w:fontKey="{06CAA5BF-7400-4957-B796-85C28C2B4302}"/>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84162617-C33C-46F5-BC5F-FDC5D483F03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C44B50"/>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104.89</c:v>
                </c:pt>
                <c:pt idx="1">
                  <c:v>128.74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1287393.95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1197786.95</c:v>
                </c:pt>
                <c:pt idx="1">
                  <c:v>89607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104.89</c:v>
                </c:pt>
                <c:pt idx="1">
                  <c:v>104.89</c:v>
                </c:pt>
                <c:pt idx="2">
                  <c:v>104.89</c:v>
                </c:pt>
                <c:pt idx="3">
                  <c:v>104.89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128.74</c:v>
                </c:pt>
                <c:pt idx="1">
                  <c:v>128.74</c:v>
                </c:pt>
                <c:pt idx="2">
                  <c:v>128.74</c:v>
                </c:pt>
                <c:pt idx="3">
                  <c:v>128.74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111.81</c:v>
                </c:pt>
                <c:pt idx="1">
                  <c:v>111.81</c:v>
                </c:pt>
                <c:pt idx="2">
                  <c:v>111.81</c:v>
                </c:pt>
                <c:pt idx="3">
                  <c:v>111.81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128.74</c:v>
                </c:pt>
                <c:pt idx="1">
                  <c:v>128.74</c:v>
                </c:pt>
                <c:pt idx="2">
                  <c:v>128.74</c:v>
                </c:pt>
                <c:pt idx="3">
                  <c:v>128.74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0</c:v>
                </c:pt>
                <c:pt idx="8">
                  <c:v>0</c:v>
                </c:pt>
                <c:pt idx="9">
                  <c:v>0</c:v>
                </c:pt>
                <c:pt idx="10">
                  <c:v>0</c:v>
                </c:pt>
                <c:pt idx="11">
                  <c:v>0</c:v>
                </c:pt>
                <c:pt idx="12">
                  <c:v>128.74</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35</Pages>
  <Words>1761</Words>
  <Characters>2047</Characters>
  <Lines>86</Lines>
  <Paragraphs>24</Paragraphs>
  <TotalTime>19</TotalTime>
  <ScaleCrop>false</ScaleCrop>
  <LinksUpToDate>false</LinksUpToDate>
  <CharactersWithSpaces>2372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郭91</cp:lastModifiedBy>
  <cp:lastPrinted>2023-08-04T01:00:00Z</cp:lastPrinted>
  <dcterms:modified xsi:type="dcterms:W3CDTF">2025-09-08T07:21:07Z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eyJoZGlkIjoiNDA1MDcxYWZjZTk1MmVhY2M2Nzc0YzFmN2IyODc1ZDgiLCJ1c2VySWQiOiIzNzA2MzM5NjQifQ==</vt:lpwstr>
  </property>
</Properties>
</file>