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348013</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：石家庄市交通运输综合行政执法支队</w:t>
      </w:r>
    </w:p>
    <w:p w14:paraId="7476BAFF">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24BD76C4">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石家庄市交通运输综合行政执法支队</w:t>
      </w:r>
    </w:p>
    <w:p w14:paraId="1B7D5E75">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67DB8398">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石家庄市交通运输综合行政执法支队</w:t>
      </w:r>
    </w:p>
    <w:p w14:paraId="40ABF047">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864BDA7">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24F23AA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0463692A">
      <w:pPr>
        <w:widowControl/>
        <w:spacing w:after="160" w:line="580" w:lineRule="exact"/>
        <w:ind w:firstLine="640" w:firstLineChars="200"/>
        <w:rPr>
          <w:rFonts w:ascii="Times New Roman" w:hAnsi="Times New Roman" w:eastAsia="黑体" w:cs="Times New Roman"/>
          <w:sz w:val="32"/>
          <w:szCs w:val="32"/>
        </w:rPr>
      </w:pPr>
    </w:p>
    <w:p w14:paraId="5AE6862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58BEA1B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5B7E7CF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4F281FC">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2F93733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04B05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677CAF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6392E8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037E8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70BBF1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13CF1B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CB2B1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BE3871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1C6B67C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0CF84A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083ACA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B8596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CA5B4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95FEC6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0A001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2097CF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21DCA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E63AC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097F9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E5CA30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567A1BE5">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B96024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658D33A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315BEAAC">
      <w:pPr>
        <w:autoSpaceDE w:val="0"/>
        <w:autoSpaceDN w:val="0"/>
        <w:adjustRightInd w:val="0"/>
        <w:spacing w:line="580" w:lineRule="exact"/>
        <w:ind w:firstLine="640" w:firstLineChars="200"/>
        <w:jc w:val="left"/>
        <w:rPr>
          <w:rFonts w:ascii="Times New Roman" w:eastAsia="仿宋_GB2312"/>
          <w:sz w:val="32"/>
          <w:szCs w:val="32"/>
        </w:rPr>
      </w:pPr>
      <w:r>
        <w:rPr>
          <w:rFonts w:hint="eastAsia" w:ascii="Times New Roman" w:hAnsi="Times New Roman" w:eastAsia="仿宋_GB2312" w:cs="Times New Roman"/>
          <w:kern w:val="2"/>
          <w:sz w:val="32"/>
          <w:szCs w:val="32"/>
          <w:lang w:val="zh-CN" w:eastAsia="zh-CN"/>
        </w:rPr>
        <w:t>石家庄市交通运输综合行政执法支队将原公路路政、道路运政、港政航政等方面的行政执法等职能进行整合成立，实现了交通运输领域“一支队伍管执法”。主要职责调整为：负责长安区、桥西区、新华区、裕华区、正定机场、高新区、综合保税区及市本级所管辖公路（含市管高速公路）、水域的交通运输综合行政执法工作；负责组织协调查处跨县（市、区）重大执法案件以及具有重要影响的复杂案件；可按照程序调用县（市、区）交通运输综合行政执法队伍人员力量。</w:t>
      </w:r>
    </w:p>
    <w:p w14:paraId="40CA669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03F38D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石家庄市交通运输综合行政执法支队</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财政性资金基本保证</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2CD5D7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部门（单位）：石家庄市交通运输综合行政执法支队</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9,799.37</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1,045.43</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290.68</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8,125.55</w:t>
            </w: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346.71</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9,799.37</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9,808.37</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w:t>
            </w: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9,808.37</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9,808.37</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部门（单位）：石家庄市交通运输综合行政执法支队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9,799.37</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9,799.37</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1,045.43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1,045.43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652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8E74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21B14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5EB8A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1,045.43</w:t>
            </w:r>
          </w:p>
        </w:tc>
        <w:tc>
          <w:tcPr>
            <w:tcW w:w="1037" w:type="dxa"/>
            <w:tcBorders>
              <w:top w:val="nil"/>
              <w:left w:val="nil"/>
              <w:bottom w:val="single" w:color="000000" w:sz="4" w:space="0"/>
              <w:right w:val="single" w:color="000000" w:sz="4" w:space="0"/>
            </w:tcBorders>
            <w:noWrap/>
            <w:vAlign w:val="center"/>
          </w:tcPr>
          <w:p w14:paraId="20BECF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1,045.43</w:t>
            </w:r>
          </w:p>
        </w:tc>
        <w:tc>
          <w:tcPr>
            <w:tcW w:w="1037" w:type="dxa"/>
            <w:tcBorders>
              <w:top w:val="nil"/>
              <w:left w:val="nil"/>
              <w:bottom w:val="single" w:color="000000" w:sz="4" w:space="0"/>
              <w:right w:val="single" w:color="000000" w:sz="4" w:space="0"/>
            </w:tcBorders>
            <w:noWrap/>
            <w:vAlign w:val="center"/>
          </w:tcPr>
          <w:p w14:paraId="72F144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41C6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24B7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E707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3EF9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2D4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28E6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14:paraId="2AD857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14:paraId="004F3E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552.70</w:t>
            </w:r>
          </w:p>
        </w:tc>
        <w:tc>
          <w:tcPr>
            <w:tcW w:w="1037" w:type="dxa"/>
            <w:tcBorders>
              <w:top w:val="nil"/>
              <w:left w:val="nil"/>
              <w:bottom w:val="single" w:color="000000" w:sz="4" w:space="0"/>
              <w:right w:val="single" w:color="000000" w:sz="4" w:space="0"/>
            </w:tcBorders>
            <w:noWrap/>
            <w:vAlign w:val="center"/>
          </w:tcPr>
          <w:p w14:paraId="49605D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552.70</w:t>
            </w:r>
          </w:p>
        </w:tc>
        <w:tc>
          <w:tcPr>
            <w:tcW w:w="1037" w:type="dxa"/>
            <w:tcBorders>
              <w:top w:val="nil"/>
              <w:left w:val="nil"/>
              <w:bottom w:val="single" w:color="000000" w:sz="4" w:space="0"/>
              <w:right w:val="single" w:color="000000" w:sz="4" w:space="0"/>
            </w:tcBorders>
            <w:noWrap/>
            <w:vAlign w:val="center"/>
          </w:tcPr>
          <w:p w14:paraId="00A2DC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150A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634D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ED73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6758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BC1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EAD4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0A30A0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5998C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403.50</w:t>
            </w:r>
          </w:p>
        </w:tc>
        <w:tc>
          <w:tcPr>
            <w:tcW w:w="1037" w:type="dxa"/>
            <w:tcBorders>
              <w:top w:val="nil"/>
              <w:left w:val="nil"/>
              <w:bottom w:val="single" w:color="000000" w:sz="4" w:space="0"/>
              <w:right w:val="single" w:color="000000" w:sz="4" w:space="0"/>
            </w:tcBorders>
            <w:noWrap/>
            <w:vAlign w:val="center"/>
          </w:tcPr>
          <w:p w14:paraId="57B3F8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403.50</w:t>
            </w:r>
          </w:p>
        </w:tc>
        <w:tc>
          <w:tcPr>
            <w:tcW w:w="1037" w:type="dxa"/>
            <w:tcBorders>
              <w:top w:val="nil"/>
              <w:left w:val="nil"/>
              <w:bottom w:val="single" w:color="000000" w:sz="4" w:space="0"/>
              <w:right w:val="single" w:color="000000" w:sz="4" w:space="0"/>
            </w:tcBorders>
            <w:noWrap/>
            <w:vAlign w:val="center"/>
          </w:tcPr>
          <w:p w14:paraId="0CFAE0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F257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69F6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DD18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2044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306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9706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24136F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4463D0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89.24</w:t>
            </w:r>
          </w:p>
        </w:tc>
        <w:tc>
          <w:tcPr>
            <w:tcW w:w="1037" w:type="dxa"/>
            <w:tcBorders>
              <w:top w:val="nil"/>
              <w:left w:val="nil"/>
              <w:bottom w:val="single" w:color="000000" w:sz="4" w:space="0"/>
              <w:right w:val="single" w:color="000000" w:sz="4" w:space="0"/>
            </w:tcBorders>
            <w:noWrap/>
            <w:vAlign w:val="center"/>
          </w:tcPr>
          <w:p w14:paraId="2628D5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89.24</w:t>
            </w:r>
          </w:p>
        </w:tc>
        <w:tc>
          <w:tcPr>
            <w:tcW w:w="1037" w:type="dxa"/>
            <w:tcBorders>
              <w:top w:val="nil"/>
              <w:left w:val="nil"/>
              <w:bottom w:val="single" w:color="000000" w:sz="4" w:space="0"/>
              <w:right w:val="single" w:color="000000" w:sz="4" w:space="0"/>
            </w:tcBorders>
            <w:noWrap/>
            <w:vAlign w:val="center"/>
          </w:tcPr>
          <w:p w14:paraId="42A2ED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EC5E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23E6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2E71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6EDA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825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C444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647B48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06A8A7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281.68</w:t>
            </w:r>
          </w:p>
        </w:tc>
        <w:tc>
          <w:tcPr>
            <w:tcW w:w="1037" w:type="dxa"/>
            <w:tcBorders>
              <w:top w:val="nil"/>
              <w:left w:val="nil"/>
              <w:bottom w:val="single" w:color="000000" w:sz="4" w:space="0"/>
              <w:right w:val="single" w:color="000000" w:sz="4" w:space="0"/>
            </w:tcBorders>
            <w:noWrap/>
            <w:vAlign w:val="center"/>
          </w:tcPr>
          <w:p w14:paraId="16A4B5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281.68</w:t>
            </w:r>
          </w:p>
        </w:tc>
        <w:tc>
          <w:tcPr>
            <w:tcW w:w="1037" w:type="dxa"/>
            <w:tcBorders>
              <w:top w:val="nil"/>
              <w:left w:val="nil"/>
              <w:bottom w:val="single" w:color="000000" w:sz="4" w:space="0"/>
              <w:right w:val="single" w:color="000000" w:sz="4" w:space="0"/>
            </w:tcBorders>
            <w:noWrap/>
            <w:vAlign w:val="center"/>
          </w:tcPr>
          <w:p w14:paraId="6E68C7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5BDC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6259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90C9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8C02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A46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32D90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2FCD97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946D0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281.68</w:t>
            </w:r>
          </w:p>
        </w:tc>
        <w:tc>
          <w:tcPr>
            <w:tcW w:w="1037" w:type="dxa"/>
            <w:tcBorders>
              <w:top w:val="nil"/>
              <w:left w:val="nil"/>
              <w:bottom w:val="single" w:color="000000" w:sz="4" w:space="0"/>
              <w:right w:val="single" w:color="000000" w:sz="4" w:space="0"/>
            </w:tcBorders>
            <w:noWrap/>
            <w:vAlign w:val="center"/>
          </w:tcPr>
          <w:p w14:paraId="3F5071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281.68</w:t>
            </w:r>
          </w:p>
        </w:tc>
        <w:tc>
          <w:tcPr>
            <w:tcW w:w="1037" w:type="dxa"/>
            <w:tcBorders>
              <w:top w:val="nil"/>
              <w:left w:val="nil"/>
              <w:bottom w:val="single" w:color="000000" w:sz="4" w:space="0"/>
              <w:right w:val="single" w:color="000000" w:sz="4" w:space="0"/>
            </w:tcBorders>
            <w:noWrap/>
            <w:vAlign w:val="center"/>
          </w:tcPr>
          <w:p w14:paraId="0A8C5C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DBCF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DD33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60B9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860F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329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FC0E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3F92024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6C1C60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150.66</w:t>
            </w:r>
          </w:p>
        </w:tc>
        <w:tc>
          <w:tcPr>
            <w:tcW w:w="1037" w:type="dxa"/>
            <w:tcBorders>
              <w:top w:val="nil"/>
              <w:left w:val="nil"/>
              <w:bottom w:val="single" w:color="000000" w:sz="4" w:space="0"/>
              <w:right w:val="single" w:color="000000" w:sz="4" w:space="0"/>
            </w:tcBorders>
            <w:noWrap/>
            <w:vAlign w:val="center"/>
          </w:tcPr>
          <w:p w14:paraId="52FF3F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150.66</w:t>
            </w:r>
          </w:p>
        </w:tc>
        <w:tc>
          <w:tcPr>
            <w:tcW w:w="1037" w:type="dxa"/>
            <w:tcBorders>
              <w:top w:val="nil"/>
              <w:left w:val="nil"/>
              <w:bottom w:val="single" w:color="000000" w:sz="4" w:space="0"/>
              <w:right w:val="single" w:color="000000" w:sz="4" w:space="0"/>
            </w:tcBorders>
            <w:noWrap/>
            <w:vAlign w:val="center"/>
          </w:tcPr>
          <w:p w14:paraId="643A7E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961F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2D52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A498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2D53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412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6387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2101199</w:t>
            </w:r>
          </w:p>
        </w:tc>
        <w:tc>
          <w:tcPr>
            <w:tcW w:w="1160" w:type="dxa"/>
            <w:tcBorders>
              <w:top w:val="nil"/>
              <w:left w:val="nil"/>
              <w:bottom w:val="single" w:color="000000" w:sz="4" w:space="0"/>
              <w:right w:val="single" w:color="000000" w:sz="4" w:space="0"/>
            </w:tcBorders>
            <w:noWrap/>
            <w:vAlign w:val="center"/>
          </w:tcPr>
          <w:p w14:paraId="6ABD4B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其他行政事业单位医疗支出</w:t>
            </w:r>
          </w:p>
        </w:tc>
        <w:tc>
          <w:tcPr>
            <w:tcW w:w="1037" w:type="dxa"/>
            <w:tcBorders>
              <w:top w:val="nil"/>
              <w:left w:val="nil"/>
              <w:bottom w:val="single" w:color="000000" w:sz="4" w:space="0"/>
              <w:right w:val="single" w:color="000000" w:sz="4" w:space="0"/>
            </w:tcBorders>
            <w:noWrap/>
            <w:vAlign w:val="center"/>
          </w:tcPr>
          <w:p w14:paraId="48148F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131.02</w:t>
            </w:r>
          </w:p>
        </w:tc>
        <w:tc>
          <w:tcPr>
            <w:tcW w:w="1037" w:type="dxa"/>
            <w:tcBorders>
              <w:top w:val="nil"/>
              <w:left w:val="nil"/>
              <w:bottom w:val="single" w:color="000000" w:sz="4" w:space="0"/>
              <w:right w:val="single" w:color="000000" w:sz="4" w:space="0"/>
            </w:tcBorders>
            <w:noWrap/>
            <w:vAlign w:val="center"/>
          </w:tcPr>
          <w:p w14:paraId="2D62B2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131.02</w:t>
            </w:r>
          </w:p>
        </w:tc>
        <w:tc>
          <w:tcPr>
            <w:tcW w:w="1037" w:type="dxa"/>
            <w:tcBorders>
              <w:top w:val="nil"/>
              <w:left w:val="nil"/>
              <w:bottom w:val="single" w:color="000000" w:sz="4" w:space="0"/>
              <w:right w:val="single" w:color="000000" w:sz="4" w:space="0"/>
            </w:tcBorders>
            <w:noWrap/>
            <w:vAlign w:val="center"/>
          </w:tcPr>
          <w:p w14:paraId="065BB2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5186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2C6F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62A14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A108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6EFB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33DF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w:t>
            </w:r>
          </w:p>
        </w:tc>
        <w:tc>
          <w:tcPr>
            <w:tcW w:w="1160" w:type="dxa"/>
            <w:tcBorders>
              <w:top w:val="nil"/>
              <w:left w:val="nil"/>
              <w:bottom w:val="single" w:color="000000" w:sz="4" w:space="0"/>
              <w:right w:val="single" w:color="000000" w:sz="4" w:space="0"/>
            </w:tcBorders>
            <w:noWrap/>
            <w:vAlign w:val="center"/>
          </w:tcPr>
          <w:p w14:paraId="7FE3EE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交通运输支出</w:t>
            </w:r>
          </w:p>
        </w:tc>
        <w:tc>
          <w:tcPr>
            <w:tcW w:w="1037" w:type="dxa"/>
            <w:tcBorders>
              <w:top w:val="nil"/>
              <w:left w:val="nil"/>
              <w:bottom w:val="single" w:color="000000" w:sz="4" w:space="0"/>
              <w:right w:val="single" w:color="000000" w:sz="4" w:space="0"/>
            </w:tcBorders>
            <w:noWrap/>
            <w:vAlign w:val="center"/>
          </w:tcPr>
          <w:p w14:paraId="0E5BEC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8,125.55</w:t>
            </w:r>
          </w:p>
        </w:tc>
        <w:tc>
          <w:tcPr>
            <w:tcW w:w="1037" w:type="dxa"/>
            <w:tcBorders>
              <w:top w:val="nil"/>
              <w:left w:val="nil"/>
              <w:bottom w:val="single" w:color="000000" w:sz="4" w:space="0"/>
              <w:right w:val="single" w:color="000000" w:sz="4" w:space="0"/>
            </w:tcBorders>
            <w:noWrap/>
            <w:vAlign w:val="center"/>
          </w:tcPr>
          <w:p w14:paraId="39D98B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8,125.55</w:t>
            </w:r>
          </w:p>
        </w:tc>
        <w:tc>
          <w:tcPr>
            <w:tcW w:w="1037" w:type="dxa"/>
            <w:tcBorders>
              <w:top w:val="nil"/>
              <w:left w:val="nil"/>
              <w:bottom w:val="single" w:color="000000" w:sz="4" w:space="0"/>
              <w:right w:val="single" w:color="000000" w:sz="4" w:space="0"/>
            </w:tcBorders>
            <w:noWrap/>
            <w:vAlign w:val="center"/>
          </w:tcPr>
          <w:p w14:paraId="525559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2720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26C3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695C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7725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0C4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3499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w:t>
            </w:r>
          </w:p>
        </w:tc>
        <w:tc>
          <w:tcPr>
            <w:tcW w:w="1160" w:type="dxa"/>
            <w:tcBorders>
              <w:top w:val="nil"/>
              <w:left w:val="nil"/>
              <w:bottom w:val="single" w:color="000000" w:sz="4" w:space="0"/>
              <w:right w:val="single" w:color="000000" w:sz="4" w:space="0"/>
            </w:tcBorders>
            <w:noWrap/>
            <w:vAlign w:val="center"/>
          </w:tcPr>
          <w:p w14:paraId="7080B6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公路水路运输</w:t>
            </w:r>
          </w:p>
        </w:tc>
        <w:tc>
          <w:tcPr>
            <w:tcW w:w="1037" w:type="dxa"/>
            <w:tcBorders>
              <w:top w:val="nil"/>
              <w:left w:val="nil"/>
              <w:bottom w:val="single" w:color="000000" w:sz="4" w:space="0"/>
              <w:right w:val="single" w:color="000000" w:sz="4" w:space="0"/>
            </w:tcBorders>
            <w:noWrap/>
            <w:vAlign w:val="center"/>
          </w:tcPr>
          <w:p w14:paraId="72C008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4,906.78</w:t>
            </w:r>
          </w:p>
        </w:tc>
        <w:tc>
          <w:tcPr>
            <w:tcW w:w="1037" w:type="dxa"/>
            <w:tcBorders>
              <w:top w:val="nil"/>
              <w:left w:val="nil"/>
              <w:bottom w:val="single" w:color="000000" w:sz="4" w:space="0"/>
              <w:right w:val="single" w:color="000000" w:sz="4" w:space="0"/>
            </w:tcBorders>
            <w:noWrap/>
            <w:vAlign w:val="center"/>
          </w:tcPr>
          <w:p w14:paraId="36B28B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4,906.78</w:t>
            </w:r>
          </w:p>
        </w:tc>
        <w:tc>
          <w:tcPr>
            <w:tcW w:w="1037" w:type="dxa"/>
            <w:tcBorders>
              <w:top w:val="nil"/>
              <w:left w:val="nil"/>
              <w:bottom w:val="single" w:color="000000" w:sz="4" w:space="0"/>
              <w:right w:val="single" w:color="000000" w:sz="4" w:space="0"/>
            </w:tcBorders>
            <w:noWrap/>
            <w:vAlign w:val="center"/>
          </w:tcPr>
          <w:p w14:paraId="68676D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C501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03F7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522D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515C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277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2F8D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2140106</w:t>
            </w:r>
          </w:p>
        </w:tc>
        <w:tc>
          <w:tcPr>
            <w:tcW w:w="1160" w:type="dxa"/>
            <w:tcBorders>
              <w:top w:val="nil"/>
              <w:left w:val="nil"/>
              <w:bottom w:val="single" w:color="000000" w:sz="4" w:space="0"/>
              <w:right w:val="single" w:color="000000" w:sz="4" w:space="0"/>
            </w:tcBorders>
            <w:noWrap/>
            <w:vAlign w:val="center"/>
          </w:tcPr>
          <w:p w14:paraId="03F3218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公路养护</w:t>
            </w:r>
          </w:p>
        </w:tc>
        <w:tc>
          <w:tcPr>
            <w:tcW w:w="1037" w:type="dxa"/>
            <w:tcBorders>
              <w:top w:val="nil"/>
              <w:left w:val="nil"/>
              <w:bottom w:val="single" w:color="000000" w:sz="4" w:space="0"/>
              <w:right w:val="single" w:color="000000" w:sz="4" w:space="0"/>
            </w:tcBorders>
            <w:noWrap/>
            <w:vAlign w:val="center"/>
          </w:tcPr>
          <w:p w14:paraId="1E4E0A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40.00</w:t>
            </w:r>
          </w:p>
        </w:tc>
        <w:tc>
          <w:tcPr>
            <w:tcW w:w="1037" w:type="dxa"/>
            <w:tcBorders>
              <w:top w:val="nil"/>
              <w:left w:val="nil"/>
              <w:bottom w:val="single" w:color="000000" w:sz="4" w:space="0"/>
              <w:right w:val="single" w:color="000000" w:sz="4" w:space="0"/>
            </w:tcBorders>
            <w:noWrap/>
            <w:vAlign w:val="center"/>
          </w:tcPr>
          <w:p w14:paraId="66373D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40.00</w:t>
            </w:r>
          </w:p>
        </w:tc>
        <w:tc>
          <w:tcPr>
            <w:tcW w:w="1037" w:type="dxa"/>
            <w:tcBorders>
              <w:top w:val="nil"/>
              <w:left w:val="nil"/>
              <w:bottom w:val="single" w:color="000000" w:sz="4" w:space="0"/>
              <w:right w:val="single" w:color="000000" w:sz="4" w:space="0"/>
            </w:tcBorders>
            <w:noWrap/>
            <w:vAlign w:val="center"/>
          </w:tcPr>
          <w:p w14:paraId="050594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B377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E79F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E3812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4288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E7D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16FD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2140112</w:t>
            </w:r>
          </w:p>
        </w:tc>
        <w:tc>
          <w:tcPr>
            <w:tcW w:w="1160" w:type="dxa"/>
            <w:tcBorders>
              <w:top w:val="nil"/>
              <w:left w:val="nil"/>
              <w:bottom w:val="single" w:color="000000" w:sz="4" w:space="0"/>
              <w:right w:val="single" w:color="000000" w:sz="4" w:space="0"/>
            </w:tcBorders>
            <w:noWrap/>
            <w:vAlign w:val="center"/>
          </w:tcPr>
          <w:p w14:paraId="50D74A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公路运输管理</w:t>
            </w:r>
          </w:p>
        </w:tc>
        <w:tc>
          <w:tcPr>
            <w:tcW w:w="1037" w:type="dxa"/>
            <w:tcBorders>
              <w:top w:val="nil"/>
              <w:left w:val="nil"/>
              <w:bottom w:val="single" w:color="000000" w:sz="4" w:space="0"/>
              <w:right w:val="single" w:color="000000" w:sz="4" w:space="0"/>
            </w:tcBorders>
            <w:noWrap/>
            <w:vAlign w:val="center"/>
          </w:tcPr>
          <w:p w14:paraId="684D5A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1,385.81</w:t>
            </w:r>
          </w:p>
        </w:tc>
        <w:tc>
          <w:tcPr>
            <w:tcW w:w="1037" w:type="dxa"/>
            <w:tcBorders>
              <w:top w:val="nil"/>
              <w:left w:val="nil"/>
              <w:bottom w:val="single" w:color="000000" w:sz="4" w:space="0"/>
              <w:right w:val="single" w:color="000000" w:sz="4" w:space="0"/>
            </w:tcBorders>
            <w:noWrap/>
            <w:vAlign w:val="center"/>
          </w:tcPr>
          <w:p w14:paraId="34FF7D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1,385.81</w:t>
            </w:r>
          </w:p>
        </w:tc>
        <w:tc>
          <w:tcPr>
            <w:tcW w:w="1037" w:type="dxa"/>
            <w:tcBorders>
              <w:top w:val="nil"/>
              <w:left w:val="nil"/>
              <w:bottom w:val="single" w:color="000000" w:sz="4" w:space="0"/>
              <w:right w:val="single" w:color="000000" w:sz="4" w:space="0"/>
            </w:tcBorders>
            <w:noWrap/>
            <w:vAlign w:val="center"/>
          </w:tcPr>
          <w:p w14:paraId="06E8AD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6300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D9B6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D00C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A7BB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42C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B72B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2140199</w:t>
            </w:r>
          </w:p>
        </w:tc>
        <w:tc>
          <w:tcPr>
            <w:tcW w:w="1160" w:type="dxa"/>
            <w:tcBorders>
              <w:top w:val="nil"/>
              <w:left w:val="nil"/>
              <w:bottom w:val="single" w:color="000000" w:sz="4" w:space="0"/>
              <w:right w:val="single" w:color="000000" w:sz="4" w:space="0"/>
            </w:tcBorders>
            <w:noWrap/>
            <w:vAlign w:val="center"/>
          </w:tcPr>
          <w:p w14:paraId="6107F4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其他公路水路运输支出</w:t>
            </w:r>
          </w:p>
        </w:tc>
        <w:tc>
          <w:tcPr>
            <w:tcW w:w="1037" w:type="dxa"/>
            <w:tcBorders>
              <w:top w:val="nil"/>
              <w:left w:val="nil"/>
              <w:bottom w:val="single" w:color="000000" w:sz="4" w:space="0"/>
              <w:right w:val="single" w:color="000000" w:sz="4" w:space="0"/>
            </w:tcBorders>
            <w:noWrap/>
            <w:vAlign w:val="center"/>
          </w:tcPr>
          <w:p w14:paraId="53BA54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3,480.96</w:t>
            </w:r>
          </w:p>
        </w:tc>
        <w:tc>
          <w:tcPr>
            <w:tcW w:w="1037" w:type="dxa"/>
            <w:tcBorders>
              <w:top w:val="nil"/>
              <w:left w:val="nil"/>
              <w:bottom w:val="single" w:color="000000" w:sz="4" w:space="0"/>
              <w:right w:val="single" w:color="000000" w:sz="4" w:space="0"/>
            </w:tcBorders>
            <w:noWrap/>
            <w:vAlign w:val="center"/>
          </w:tcPr>
          <w:p w14:paraId="29E93A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3,480.96</w:t>
            </w:r>
          </w:p>
        </w:tc>
        <w:tc>
          <w:tcPr>
            <w:tcW w:w="1037" w:type="dxa"/>
            <w:tcBorders>
              <w:top w:val="nil"/>
              <w:left w:val="nil"/>
              <w:bottom w:val="single" w:color="000000" w:sz="4" w:space="0"/>
              <w:right w:val="single" w:color="000000" w:sz="4" w:space="0"/>
            </w:tcBorders>
            <w:noWrap/>
            <w:vAlign w:val="center"/>
          </w:tcPr>
          <w:p w14:paraId="6DB093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97BE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B487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F3CE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A19E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57E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FC5B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w:t>
            </w:r>
          </w:p>
        </w:tc>
        <w:tc>
          <w:tcPr>
            <w:tcW w:w="1160" w:type="dxa"/>
            <w:tcBorders>
              <w:top w:val="nil"/>
              <w:left w:val="nil"/>
              <w:bottom w:val="single" w:color="000000" w:sz="4" w:space="0"/>
              <w:right w:val="single" w:color="000000" w:sz="4" w:space="0"/>
            </w:tcBorders>
            <w:noWrap/>
            <w:vAlign w:val="center"/>
          </w:tcPr>
          <w:p w14:paraId="75D0F0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其他交通运输支出</w:t>
            </w:r>
          </w:p>
        </w:tc>
        <w:tc>
          <w:tcPr>
            <w:tcW w:w="1037" w:type="dxa"/>
            <w:tcBorders>
              <w:top w:val="nil"/>
              <w:left w:val="nil"/>
              <w:bottom w:val="single" w:color="000000" w:sz="4" w:space="0"/>
              <w:right w:val="single" w:color="000000" w:sz="4" w:space="0"/>
            </w:tcBorders>
            <w:noWrap/>
            <w:vAlign w:val="center"/>
          </w:tcPr>
          <w:p w14:paraId="1D4E4C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3,218.77</w:t>
            </w:r>
          </w:p>
        </w:tc>
        <w:tc>
          <w:tcPr>
            <w:tcW w:w="1037" w:type="dxa"/>
            <w:tcBorders>
              <w:top w:val="nil"/>
              <w:left w:val="nil"/>
              <w:bottom w:val="single" w:color="000000" w:sz="4" w:space="0"/>
              <w:right w:val="single" w:color="000000" w:sz="4" w:space="0"/>
            </w:tcBorders>
            <w:noWrap/>
            <w:vAlign w:val="center"/>
          </w:tcPr>
          <w:p w14:paraId="6DE265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3,218.77</w:t>
            </w:r>
          </w:p>
        </w:tc>
        <w:tc>
          <w:tcPr>
            <w:tcW w:w="1037" w:type="dxa"/>
            <w:tcBorders>
              <w:top w:val="nil"/>
              <w:left w:val="nil"/>
              <w:bottom w:val="single" w:color="000000" w:sz="4" w:space="0"/>
              <w:right w:val="single" w:color="000000" w:sz="4" w:space="0"/>
            </w:tcBorders>
            <w:noWrap/>
            <w:vAlign w:val="center"/>
          </w:tcPr>
          <w:p w14:paraId="7B71C9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A57A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DCF2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51ED5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3780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4F2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E238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2149901</w:t>
            </w:r>
          </w:p>
        </w:tc>
        <w:tc>
          <w:tcPr>
            <w:tcW w:w="1160" w:type="dxa"/>
            <w:tcBorders>
              <w:top w:val="nil"/>
              <w:left w:val="nil"/>
              <w:bottom w:val="single" w:color="000000" w:sz="4" w:space="0"/>
              <w:right w:val="single" w:color="000000" w:sz="4" w:space="0"/>
            </w:tcBorders>
            <w:noWrap/>
            <w:vAlign w:val="center"/>
          </w:tcPr>
          <w:p w14:paraId="469CE4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公共交通运营补助</w:t>
            </w:r>
          </w:p>
        </w:tc>
        <w:tc>
          <w:tcPr>
            <w:tcW w:w="1037" w:type="dxa"/>
            <w:tcBorders>
              <w:top w:val="nil"/>
              <w:left w:val="nil"/>
              <w:bottom w:val="single" w:color="000000" w:sz="4" w:space="0"/>
              <w:right w:val="single" w:color="000000" w:sz="4" w:space="0"/>
            </w:tcBorders>
            <w:noWrap/>
            <w:vAlign w:val="center"/>
          </w:tcPr>
          <w:p w14:paraId="073EF6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3,218.77</w:t>
            </w:r>
          </w:p>
        </w:tc>
        <w:tc>
          <w:tcPr>
            <w:tcW w:w="1037" w:type="dxa"/>
            <w:tcBorders>
              <w:top w:val="nil"/>
              <w:left w:val="nil"/>
              <w:bottom w:val="single" w:color="000000" w:sz="4" w:space="0"/>
              <w:right w:val="single" w:color="000000" w:sz="4" w:space="0"/>
            </w:tcBorders>
            <w:noWrap/>
            <w:vAlign w:val="center"/>
          </w:tcPr>
          <w:p w14:paraId="03C711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3,218.77</w:t>
            </w:r>
          </w:p>
        </w:tc>
        <w:tc>
          <w:tcPr>
            <w:tcW w:w="1037" w:type="dxa"/>
            <w:tcBorders>
              <w:top w:val="nil"/>
              <w:left w:val="nil"/>
              <w:bottom w:val="single" w:color="000000" w:sz="4" w:space="0"/>
              <w:right w:val="single" w:color="000000" w:sz="4" w:space="0"/>
            </w:tcBorders>
            <w:noWrap/>
            <w:vAlign w:val="center"/>
          </w:tcPr>
          <w:p w14:paraId="30EA81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1148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1141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A67B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DA26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F51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4CEE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E866E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03B7D0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346.71</w:t>
            </w:r>
          </w:p>
        </w:tc>
        <w:tc>
          <w:tcPr>
            <w:tcW w:w="1037" w:type="dxa"/>
            <w:tcBorders>
              <w:top w:val="nil"/>
              <w:left w:val="nil"/>
              <w:bottom w:val="single" w:color="000000" w:sz="4" w:space="0"/>
              <w:right w:val="single" w:color="000000" w:sz="4" w:space="0"/>
            </w:tcBorders>
            <w:noWrap/>
            <w:vAlign w:val="center"/>
          </w:tcPr>
          <w:p w14:paraId="41D2B7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346.71</w:t>
            </w:r>
          </w:p>
        </w:tc>
        <w:tc>
          <w:tcPr>
            <w:tcW w:w="1037" w:type="dxa"/>
            <w:tcBorders>
              <w:top w:val="nil"/>
              <w:left w:val="nil"/>
              <w:bottom w:val="single" w:color="000000" w:sz="4" w:space="0"/>
              <w:right w:val="single" w:color="000000" w:sz="4" w:space="0"/>
            </w:tcBorders>
            <w:noWrap/>
            <w:vAlign w:val="center"/>
          </w:tcPr>
          <w:p w14:paraId="227585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B12D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F3D2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7D99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4B4A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F19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B138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0B31C2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5AB035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346.71</w:t>
            </w:r>
          </w:p>
        </w:tc>
        <w:tc>
          <w:tcPr>
            <w:tcW w:w="1037" w:type="dxa"/>
            <w:tcBorders>
              <w:top w:val="nil"/>
              <w:left w:val="nil"/>
              <w:bottom w:val="single" w:color="000000" w:sz="4" w:space="0"/>
              <w:right w:val="single" w:color="000000" w:sz="4" w:space="0"/>
            </w:tcBorders>
            <w:noWrap/>
            <w:vAlign w:val="center"/>
          </w:tcPr>
          <w:p w14:paraId="0FB0F9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346.71</w:t>
            </w:r>
          </w:p>
        </w:tc>
        <w:tc>
          <w:tcPr>
            <w:tcW w:w="1037" w:type="dxa"/>
            <w:tcBorders>
              <w:top w:val="nil"/>
              <w:left w:val="nil"/>
              <w:bottom w:val="single" w:color="000000" w:sz="4" w:space="0"/>
              <w:right w:val="single" w:color="000000" w:sz="4" w:space="0"/>
            </w:tcBorders>
            <w:noWrap/>
            <w:vAlign w:val="center"/>
          </w:tcPr>
          <w:p w14:paraId="40274B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0ACA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BF29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6001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4AF0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960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CBE2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5AA47A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6DF6CE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346.71</w:t>
            </w:r>
          </w:p>
        </w:tc>
        <w:tc>
          <w:tcPr>
            <w:tcW w:w="1037" w:type="dxa"/>
            <w:tcBorders>
              <w:top w:val="nil"/>
              <w:left w:val="nil"/>
              <w:bottom w:val="single" w:color="000000" w:sz="4" w:space="0"/>
              <w:right w:val="single" w:color="000000" w:sz="4" w:space="0"/>
            </w:tcBorders>
            <w:noWrap/>
            <w:vAlign w:val="center"/>
          </w:tcPr>
          <w:p w14:paraId="540196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346.71</w:t>
            </w:r>
          </w:p>
        </w:tc>
        <w:tc>
          <w:tcPr>
            <w:tcW w:w="1037" w:type="dxa"/>
            <w:tcBorders>
              <w:top w:val="nil"/>
              <w:left w:val="nil"/>
              <w:bottom w:val="single" w:color="000000" w:sz="4" w:space="0"/>
              <w:right w:val="single" w:color="000000" w:sz="4" w:space="0"/>
            </w:tcBorders>
            <w:noWrap/>
            <w:vAlign w:val="center"/>
          </w:tcPr>
          <w:p w14:paraId="18969B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E514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D172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FF8C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B218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部门（单位）：石家庄市交通运输综合行政执法支队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9,808.37</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5,154.79</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4,653.58</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1,045.43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1,045.43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5A0A3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5BA90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25BB23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5D7E13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1,045.43</w:t>
            </w:r>
          </w:p>
        </w:tc>
        <w:tc>
          <w:tcPr>
            <w:tcW w:w="602" w:type="pct"/>
            <w:gridSpan w:val="2"/>
            <w:tcBorders>
              <w:top w:val="nil"/>
              <w:left w:val="nil"/>
              <w:bottom w:val="single" w:color="000000" w:sz="4" w:space="0"/>
              <w:right w:val="single" w:color="000000" w:sz="4" w:space="0"/>
            </w:tcBorders>
            <w:noWrap/>
            <w:vAlign w:val="center"/>
          </w:tcPr>
          <w:p w14:paraId="21095A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1,045.43</w:t>
            </w:r>
          </w:p>
        </w:tc>
        <w:tc>
          <w:tcPr>
            <w:tcW w:w="602" w:type="pct"/>
            <w:tcBorders>
              <w:top w:val="nil"/>
              <w:left w:val="nil"/>
              <w:bottom w:val="single" w:color="000000" w:sz="4" w:space="0"/>
              <w:right w:val="single" w:color="000000" w:sz="4" w:space="0"/>
            </w:tcBorders>
            <w:noWrap/>
            <w:vAlign w:val="center"/>
          </w:tcPr>
          <w:p w14:paraId="4E6C9BC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6848C1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81BD4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551E3E1">
            <w:pPr>
              <w:jc w:val="right"/>
              <w:rPr>
                <w:rFonts w:hint="default" w:ascii="Times New Roman" w:hAnsi="Times New Roman" w:eastAsia="宋体" w:cs="Times New Roman"/>
                <w:i w:val="0"/>
                <w:iCs w:val="0"/>
                <w:color w:val="000000"/>
                <w:sz w:val="20"/>
                <w:szCs w:val="20"/>
                <w:highlight w:val="none"/>
                <w:u w:val="none"/>
              </w:rPr>
            </w:pPr>
          </w:p>
        </w:tc>
      </w:tr>
      <w:tr w14:paraId="1CE5A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E4DD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14:paraId="264C77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14:paraId="6ABE3B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552.70</w:t>
            </w:r>
          </w:p>
        </w:tc>
        <w:tc>
          <w:tcPr>
            <w:tcW w:w="602" w:type="pct"/>
            <w:gridSpan w:val="2"/>
            <w:tcBorders>
              <w:top w:val="nil"/>
              <w:left w:val="nil"/>
              <w:bottom w:val="single" w:color="000000" w:sz="4" w:space="0"/>
              <w:right w:val="single" w:color="000000" w:sz="4" w:space="0"/>
            </w:tcBorders>
            <w:noWrap/>
            <w:vAlign w:val="center"/>
          </w:tcPr>
          <w:p w14:paraId="7C29A6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552.70</w:t>
            </w:r>
          </w:p>
        </w:tc>
        <w:tc>
          <w:tcPr>
            <w:tcW w:w="602" w:type="pct"/>
            <w:tcBorders>
              <w:top w:val="nil"/>
              <w:left w:val="nil"/>
              <w:bottom w:val="single" w:color="000000" w:sz="4" w:space="0"/>
              <w:right w:val="single" w:color="000000" w:sz="4" w:space="0"/>
            </w:tcBorders>
            <w:noWrap/>
            <w:vAlign w:val="center"/>
          </w:tcPr>
          <w:p w14:paraId="30FA255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005DE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7188D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C191FF">
            <w:pPr>
              <w:jc w:val="right"/>
              <w:rPr>
                <w:rFonts w:hint="default" w:ascii="Times New Roman" w:hAnsi="Times New Roman" w:eastAsia="宋体" w:cs="Times New Roman"/>
                <w:i w:val="0"/>
                <w:iCs w:val="0"/>
                <w:color w:val="000000"/>
                <w:sz w:val="20"/>
                <w:szCs w:val="20"/>
                <w:highlight w:val="none"/>
                <w:u w:val="none"/>
              </w:rPr>
            </w:pPr>
          </w:p>
        </w:tc>
      </w:tr>
      <w:tr w14:paraId="009D6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EC86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731E3A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64080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403.50</w:t>
            </w:r>
          </w:p>
        </w:tc>
        <w:tc>
          <w:tcPr>
            <w:tcW w:w="602" w:type="pct"/>
            <w:gridSpan w:val="2"/>
            <w:tcBorders>
              <w:top w:val="nil"/>
              <w:left w:val="nil"/>
              <w:bottom w:val="single" w:color="000000" w:sz="4" w:space="0"/>
              <w:right w:val="single" w:color="000000" w:sz="4" w:space="0"/>
            </w:tcBorders>
            <w:noWrap/>
            <w:vAlign w:val="center"/>
          </w:tcPr>
          <w:p w14:paraId="5BA1FA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403.50</w:t>
            </w:r>
          </w:p>
        </w:tc>
        <w:tc>
          <w:tcPr>
            <w:tcW w:w="602" w:type="pct"/>
            <w:tcBorders>
              <w:top w:val="nil"/>
              <w:left w:val="nil"/>
              <w:bottom w:val="single" w:color="000000" w:sz="4" w:space="0"/>
              <w:right w:val="single" w:color="000000" w:sz="4" w:space="0"/>
            </w:tcBorders>
            <w:noWrap/>
            <w:vAlign w:val="center"/>
          </w:tcPr>
          <w:p w14:paraId="088A393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5DCFF8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9B5C5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33172E">
            <w:pPr>
              <w:jc w:val="right"/>
              <w:rPr>
                <w:rFonts w:hint="default" w:ascii="Times New Roman" w:hAnsi="Times New Roman" w:eastAsia="宋体" w:cs="Times New Roman"/>
                <w:i w:val="0"/>
                <w:iCs w:val="0"/>
                <w:color w:val="000000"/>
                <w:sz w:val="20"/>
                <w:szCs w:val="20"/>
                <w:highlight w:val="none"/>
                <w:u w:val="none"/>
              </w:rPr>
            </w:pPr>
          </w:p>
        </w:tc>
      </w:tr>
      <w:tr w14:paraId="15618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E38D9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4D3E1E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06919C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89.24</w:t>
            </w:r>
          </w:p>
        </w:tc>
        <w:tc>
          <w:tcPr>
            <w:tcW w:w="602" w:type="pct"/>
            <w:gridSpan w:val="2"/>
            <w:tcBorders>
              <w:top w:val="nil"/>
              <w:left w:val="nil"/>
              <w:bottom w:val="single" w:color="000000" w:sz="4" w:space="0"/>
              <w:right w:val="single" w:color="000000" w:sz="4" w:space="0"/>
            </w:tcBorders>
            <w:noWrap/>
            <w:vAlign w:val="center"/>
          </w:tcPr>
          <w:p w14:paraId="26CEE4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89.24</w:t>
            </w:r>
          </w:p>
        </w:tc>
        <w:tc>
          <w:tcPr>
            <w:tcW w:w="602" w:type="pct"/>
            <w:tcBorders>
              <w:top w:val="nil"/>
              <w:left w:val="nil"/>
              <w:bottom w:val="single" w:color="000000" w:sz="4" w:space="0"/>
              <w:right w:val="single" w:color="000000" w:sz="4" w:space="0"/>
            </w:tcBorders>
            <w:noWrap/>
            <w:vAlign w:val="center"/>
          </w:tcPr>
          <w:p w14:paraId="6677237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A306CE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20D64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8CD719">
            <w:pPr>
              <w:jc w:val="right"/>
              <w:rPr>
                <w:rFonts w:hint="default" w:ascii="Times New Roman" w:hAnsi="Times New Roman" w:eastAsia="宋体" w:cs="Times New Roman"/>
                <w:i w:val="0"/>
                <w:iCs w:val="0"/>
                <w:color w:val="000000"/>
                <w:sz w:val="20"/>
                <w:szCs w:val="20"/>
                <w:highlight w:val="none"/>
                <w:u w:val="none"/>
              </w:rPr>
            </w:pPr>
          </w:p>
        </w:tc>
      </w:tr>
      <w:tr w14:paraId="15C0D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A9A8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E4B2B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24E99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290.68</w:t>
            </w:r>
          </w:p>
        </w:tc>
        <w:tc>
          <w:tcPr>
            <w:tcW w:w="602" w:type="pct"/>
            <w:gridSpan w:val="2"/>
            <w:tcBorders>
              <w:top w:val="nil"/>
              <w:left w:val="nil"/>
              <w:bottom w:val="single" w:color="000000" w:sz="4" w:space="0"/>
              <w:right w:val="single" w:color="000000" w:sz="4" w:space="0"/>
            </w:tcBorders>
            <w:noWrap/>
            <w:vAlign w:val="center"/>
          </w:tcPr>
          <w:p w14:paraId="14CEE6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281.68</w:t>
            </w:r>
          </w:p>
        </w:tc>
        <w:tc>
          <w:tcPr>
            <w:tcW w:w="602" w:type="pct"/>
            <w:tcBorders>
              <w:top w:val="nil"/>
              <w:left w:val="nil"/>
              <w:bottom w:val="single" w:color="000000" w:sz="4" w:space="0"/>
              <w:right w:val="single" w:color="000000" w:sz="4" w:space="0"/>
            </w:tcBorders>
            <w:noWrap/>
            <w:vAlign w:val="center"/>
          </w:tcPr>
          <w:p w14:paraId="05F195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2349DC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D997D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E873E3">
            <w:pPr>
              <w:jc w:val="right"/>
              <w:rPr>
                <w:rFonts w:hint="default" w:ascii="Times New Roman" w:hAnsi="Times New Roman" w:eastAsia="宋体" w:cs="Times New Roman"/>
                <w:i w:val="0"/>
                <w:iCs w:val="0"/>
                <w:color w:val="000000"/>
                <w:sz w:val="20"/>
                <w:szCs w:val="20"/>
                <w:highlight w:val="none"/>
                <w:u w:val="none"/>
              </w:rPr>
            </w:pPr>
          </w:p>
        </w:tc>
      </w:tr>
      <w:tr w14:paraId="782C7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8F92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w:t>
            </w:r>
          </w:p>
        </w:tc>
        <w:tc>
          <w:tcPr>
            <w:tcW w:w="635" w:type="pct"/>
            <w:tcBorders>
              <w:top w:val="nil"/>
              <w:left w:val="nil"/>
              <w:bottom w:val="single" w:color="000000" w:sz="4" w:space="0"/>
              <w:right w:val="single" w:color="000000" w:sz="4" w:space="0"/>
            </w:tcBorders>
            <w:noWrap/>
            <w:vAlign w:val="center"/>
          </w:tcPr>
          <w:p w14:paraId="1A35AE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公共卫生</w:t>
            </w:r>
          </w:p>
        </w:tc>
        <w:tc>
          <w:tcPr>
            <w:tcW w:w="603" w:type="pct"/>
            <w:tcBorders>
              <w:top w:val="nil"/>
              <w:left w:val="nil"/>
              <w:bottom w:val="single" w:color="000000" w:sz="4" w:space="0"/>
              <w:right w:val="single" w:color="000000" w:sz="4" w:space="0"/>
            </w:tcBorders>
            <w:noWrap/>
            <w:vAlign w:val="center"/>
          </w:tcPr>
          <w:p w14:paraId="0664A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3326988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926A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230972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C5CD1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3AE452">
            <w:pPr>
              <w:jc w:val="right"/>
              <w:rPr>
                <w:rFonts w:hint="default" w:ascii="Times New Roman" w:hAnsi="Times New Roman" w:eastAsia="宋体" w:cs="Times New Roman"/>
                <w:i w:val="0"/>
                <w:iCs w:val="0"/>
                <w:color w:val="000000"/>
                <w:sz w:val="20"/>
                <w:szCs w:val="20"/>
                <w:highlight w:val="none"/>
                <w:u w:val="none"/>
              </w:rPr>
            </w:pPr>
          </w:p>
        </w:tc>
      </w:tr>
      <w:tr w14:paraId="27D58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DA48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2100410</w:t>
            </w:r>
          </w:p>
        </w:tc>
        <w:tc>
          <w:tcPr>
            <w:tcW w:w="635" w:type="pct"/>
            <w:tcBorders>
              <w:top w:val="nil"/>
              <w:left w:val="nil"/>
              <w:bottom w:val="single" w:color="000000" w:sz="4" w:space="0"/>
              <w:right w:val="single" w:color="000000" w:sz="4" w:space="0"/>
            </w:tcBorders>
            <w:noWrap/>
            <w:vAlign w:val="center"/>
          </w:tcPr>
          <w:p w14:paraId="709C10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突发公共卫生事件应急处置</w:t>
            </w:r>
          </w:p>
        </w:tc>
        <w:tc>
          <w:tcPr>
            <w:tcW w:w="603" w:type="pct"/>
            <w:tcBorders>
              <w:top w:val="nil"/>
              <w:left w:val="nil"/>
              <w:bottom w:val="single" w:color="000000" w:sz="4" w:space="0"/>
              <w:right w:val="single" w:color="000000" w:sz="4" w:space="0"/>
            </w:tcBorders>
            <w:noWrap/>
            <w:vAlign w:val="center"/>
          </w:tcPr>
          <w:p w14:paraId="2EB19D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7D1244B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ADCA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267C2A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F30C7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2900EAC">
            <w:pPr>
              <w:jc w:val="right"/>
              <w:rPr>
                <w:rFonts w:hint="default" w:ascii="Times New Roman" w:hAnsi="Times New Roman" w:eastAsia="宋体" w:cs="Times New Roman"/>
                <w:i w:val="0"/>
                <w:iCs w:val="0"/>
                <w:color w:val="000000"/>
                <w:sz w:val="20"/>
                <w:szCs w:val="20"/>
                <w:highlight w:val="none"/>
                <w:u w:val="none"/>
              </w:rPr>
            </w:pPr>
          </w:p>
        </w:tc>
      </w:tr>
      <w:tr w14:paraId="1E014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4FFFC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EAB53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03FC90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281.68</w:t>
            </w:r>
          </w:p>
        </w:tc>
        <w:tc>
          <w:tcPr>
            <w:tcW w:w="602" w:type="pct"/>
            <w:gridSpan w:val="2"/>
            <w:tcBorders>
              <w:top w:val="nil"/>
              <w:left w:val="nil"/>
              <w:bottom w:val="single" w:color="000000" w:sz="4" w:space="0"/>
              <w:right w:val="single" w:color="000000" w:sz="4" w:space="0"/>
            </w:tcBorders>
            <w:noWrap/>
            <w:vAlign w:val="center"/>
          </w:tcPr>
          <w:p w14:paraId="1D7317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281.68</w:t>
            </w:r>
          </w:p>
        </w:tc>
        <w:tc>
          <w:tcPr>
            <w:tcW w:w="602" w:type="pct"/>
            <w:tcBorders>
              <w:top w:val="nil"/>
              <w:left w:val="nil"/>
              <w:bottom w:val="single" w:color="000000" w:sz="4" w:space="0"/>
              <w:right w:val="single" w:color="000000" w:sz="4" w:space="0"/>
            </w:tcBorders>
            <w:noWrap/>
            <w:vAlign w:val="center"/>
          </w:tcPr>
          <w:p w14:paraId="277BA58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6897BC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7E504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F22A4F">
            <w:pPr>
              <w:jc w:val="right"/>
              <w:rPr>
                <w:rFonts w:hint="default" w:ascii="Times New Roman" w:hAnsi="Times New Roman" w:eastAsia="宋体" w:cs="Times New Roman"/>
                <w:i w:val="0"/>
                <w:iCs w:val="0"/>
                <w:color w:val="000000"/>
                <w:sz w:val="20"/>
                <w:szCs w:val="20"/>
                <w:highlight w:val="none"/>
                <w:u w:val="none"/>
              </w:rPr>
            </w:pPr>
          </w:p>
        </w:tc>
      </w:tr>
      <w:tr w14:paraId="27634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09A7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5ACAB9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243625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150.66</w:t>
            </w:r>
          </w:p>
        </w:tc>
        <w:tc>
          <w:tcPr>
            <w:tcW w:w="602" w:type="pct"/>
            <w:gridSpan w:val="2"/>
            <w:tcBorders>
              <w:top w:val="nil"/>
              <w:left w:val="nil"/>
              <w:bottom w:val="single" w:color="000000" w:sz="4" w:space="0"/>
              <w:right w:val="single" w:color="000000" w:sz="4" w:space="0"/>
            </w:tcBorders>
            <w:noWrap/>
            <w:vAlign w:val="center"/>
          </w:tcPr>
          <w:p w14:paraId="321460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150.66</w:t>
            </w:r>
          </w:p>
        </w:tc>
        <w:tc>
          <w:tcPr>
            <w:tcW w:w="602" w:type="pct"/>
            <w:tcBorders>
              <w:top w:val="nil"/>
              <w:left w:val="nil"/>
              <w:bottom w:val="single" w:color="000000" w:sz="4" w:space="0"/>
              <w:right w:val="single" w:color="000000" w:sz="4" w:space="0"/>
            </w:tcBorders>
            <w:noWrap/>
            <w:vAlign w:val="center"/>
          </w:tcPr>
          <w:p w14:paraId="2724EF4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17C87D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48EEA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1FED32">
            <w:pPr>
              <w:jc w:val="right"/>
              <w:rPr>
                <w:rFonts w:hint="default" w:ascii="Times New Roman" w:hAnsi="Times New Roman" w:eastAsia="宋体" w:cs="Times New Roman"/>
                <w:i w:val="0"/>
                <w:iCs w:val="0"/>
                <w:color w:val="000000"/>
                <w:sz w:val="20"/>
                <w:szCs w:val="20"/>
                <w:highlight w:val="none"/>
                <w:u w:val="none"/>
              </w:rPr>
            </w:pPr>
          </w:p>
        </w:tc>
      </w:tr>
      <w:tr w14:paraId="4FC02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79F7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635" w:type="pct"/>
            <w:tcBorders>
              <w:top w:val="nil"/>
              <w:left w:val="nil"/>
              <w:bottom w:val="single" w:color="000000" w:sz="4" w:space="0"/>
              <w:right w:val="single" w:color="000000" w:sz="4" w:space="0"/>
            </w:tcBorders>
            <w:noWrap/>
            <w:vAlign w:val="center"/>
          </w:tcPr>
          <w:p w14:paraId="7E0987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603" w:type="pct"/>
            <w:tcBorders>
              <w:top w:val="nil"/>
              <w:left w:val="nil"/>
              <w:bottom w:val="single" w:color="000000" w:sz="4" w:space="0"/>
              <w:right w:val="single" w:color="000000" w:sz="4" w:space="0"/>
            </w:tcBorders>
            <w:noWrap/>
            <w:vAlign w:val="center"/>
          </w:tcPr>
          <w:p w14:paraId="7643B6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131.02</w:t>
            </w:r>
          </w:p>
        </w:tc>
        <w:tc>
          <w:tcPr>
            <w:tcW w:w="602" w:type="pct"/>
            <w:gridSpan w:val="2"/>
            <w:tcBorders>
              <w:top w:val="nil"/>
              <w:left w:val="nil"/>
              <w:bottom w:val="single" w:color="000000" w:sz="4" w:space="0"/>
              <w:right w:val="single" w:color="000000" w:sz="4" w:space="0"/>
            </w:tcBorders>
            <w:noWrap/>
            <w:vAlign w:val="center"/>
          </w:tcPr>
          <w:p w14:paraId="37D4C1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131.02</w:t>
            </w:r>
          </w:p>
        </w:tc>
        <w:tc>
          <w:tcPr>
            <w:tcW w:w="602" w:type="pct"/>
            <w:tcBorders>
              <w:top w:val="nil"/>
              <w:left w:val="nil"/>
              <w:bottom w:val="single" w:color="000000" w:sz="4" w:space="0"/>
              <w:right w:val="single" w:color="000000" w:sz="4" w:space="0"/>
            </w:tcBorders>
            <w:noWrap/>
            <w:vAlign w:val="center"/>
          </w:tcPr>
          <w:p w14:paraId="09E79B2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6920F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7B235C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5314E35">
            <w:pPr>
              <w:jc w:val="right"/>
              <w:rPr>
                <w:rFonts w:hint="default" w:ascii="Times New Roman" w:hAnsi="Times New Roman" w:eastAsia="宋体" w:cs="Times New Roman"/>
                <w:i w:val="0"/>
                <w:iCs w:val="0"/>
                <w:color w:val="000000"/>
                <w:sz w:val="20"/>
                <w:szCs w:val="20"/>
                <w:highlight w:val="none"/>
                <w:u w:val="none"/>
              </w:rPr>
            </w:pPr>
          </w:p>
        </w:tc>
      </w:tr>
      <w:tr w14:paraId="7660E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7609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635" w:type="pct"/>
            <w:tcBorders>
              <w:top w:val="nil"/>
              <w:left w:val="nil"/>
              <w:bottom w:val="single" w:color="000000" w:sz="4" w:space="0"/>
              <w:right w:val="single" w:color="000000" w:sz="4" w:space="0"/>
            </w:tcBorders>
            <w:noWrap/>
            <w:vAlign w:val="center"/>
          </w:tcPr>
          <w:p w14:paraId="618133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603" w:type="pct"/>
            <w:tcBorders>
              <w:top w:val="nil"/>
              <w:left w:val="nil"/>
              <w:bottom w:val="single" w:color="000000" w:sz="4" w:space="0"/>
              <w:right w:val="single" w:color="000000" w:sz="4" w:space="0"/>
            </w:tcBorders>
            <w:noWrap/>
            <w:vAlign w:val="center"/>
          </w:tcPr>
          <w:p w14:paraId="33CEC3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8,125.55</w:t>
            </w:r>
          </w:p>
        </w:tc>
        <w:tc>
          <w:tcPr>
            <w:tcW w:w="602" w:type="pct"/>
            <w:gridSpan w:val="2"/>
            <w:tcBorders>
              <w:top w:val="nil"/>
              <w:left w:val="nil"/>
              <w:bottom w:val="single" w:color="000000" w:sz="4" w:space="0"/>
              <w:right w:val="single" w:color="000000" w:sz="4" w:space="0"/>
            </w:tcBorders>
            <w:noWrap/>
            <w:vAlign w:val="center"/>
          </w:tcPr>
          <w:p w14:paraId="659825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3,480.96</w:t>
            </w:r>
          </w:p>
        </w:tc>
        <w:tc>
          <w:tcPr>
            <w:tcW w:w="602" w:type="pct"/>
            <w:tcBorders>
              <w:top w:val="nil"/>
              <w:left w:val="nil"/>
              <w:bottom w:val="single" w:color="000000" w:sz="4" w:space="0"/>
              <w:right w:val="single" w:color="000000" w:sz="4" w:space="0"/>
            </w:tcBorders>
            <w:noWrap/>
            <w:vAlign w:val="center"/>
          </w:tcPr>
          <w:p w14:paraId="7716DB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4,644.58</w:t>
            </w:r>
          </w:p>
        </w:tc>
        <w:tc>
          <w:tcPr>
            <w:tcW w:w="602" w:type="pct"/>
            <w:gridSpan w:val="2"/>
            <w:tcBorders>
              <w:top w:val="nil"/>
              <w:left w:val="nil"/>
              <w:bottom w:val="single" w:color="000000" w:sz="4" w:space="0"/>
              <w:right w:val="single" w:color="000000" w:sz="4" w:space="0"/>
            </w:tcBorders>
            <w:noWrap/>
            <w:vAlign w:val="center"/>
          </w:tcPr>
          <w:p w14:paraId="1F80D2B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DA745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5A37D2">
            <w:pPr>
              <w:jc w:val="right"/>
              <w:rPr>
                <w:rFonts w:hint="default" w:ascii="Times New Roman" w:hAnsi="Times New Roman" w:eastAsia="宋体" w:cs="Times New Roman"/>
                <w:i w:val="0"/>
                <w:iCs w:val="0"/>
                <w:color w:val="000000"/>
                <w:sz w:val="20"/>
                <w:szCs w:val="20"/>
                <w:highlight w:val="none"/>
                <w:u w:val="none"/>
              </w:rPr>
            </w:pPr>
          </w:p>
        </w:tc>
      </w:tr>
      <w:tr w14:paraId="169B7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F55FE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635" w:type="pct"/>
            <w:tcBorders>
              <w:top w:val="nil"/>
              <w:left w:val="nil"/>
              <w:bottom w:val="single" w:color="000000" w:sz="4" w:space="0"/>
              <w:right w:val="single" w:color="000000" w:sz="4" w:space="0"/>
            </w:tcBorders>
            <w:noWrap/>
            <w:vAlign w:val="center"/>
          </w:tcPr>
          <w:p w14:paraId="79C019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603" w:type="pct"/>
            <w:tcBorders>
              <w:top w:val="nil"/>
              <w:left w:val="nil"/>
              <w:bottom w:val="single" w:color="000000" w:sz="4" w:space="0"/>
              <w:right w:val="single" w:color="000000" w:sz="4" w:space="0"/>
            </w:tcBorders>
            <w:noWrap/>
            <w:vAlign w:val="center"/>
          </w:tcPr>
          <w:p w14:paraId="2DF81E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4,906.78</w:t>
            </w:r>
          </w:p>
        </w:tc>
        <w:tc>
          <w:tcPr>
            <w:tcW w:w="602" w:type="pct"/>
            <w:gridSpan w:val="2"/>
            <w:tcBorders>
              <w:top w:val="nil"/>
              <w:left w:val="nil"/>
              <w:bottom w:val="single" w:color="000000" w:sz="4" w:space="0"/>
              <w:right w:val="single" w:color="000000" w:sz="4" w:space="0"/>
            </w:tcBorders>
            <w:noWrap/>
            <w:vAlign w:val="center"/>
          </w:tcPr>
          <w:p w14:paraId="0D4BB2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3,480.96</w:t>
            </w:r>
          </w:p>
        </w:tc>
        <w:tc>
          <w:tcPr>
            <w:tcW w:w="602" w:type="pct"/>
            <w:tcBorders>
              <w:top w:val="nil"/>
              <w:left w:val="nil"/>
              <w:bottom w:val="single" w:color="000000" w:sz="4" w:space="0"/>
              <w:right w:val="single" w:color="000000" w:sz="4" w:space="0"/>
            </w:tcBorders>
            <w:noWrap/>
            <w:vAlign w:val="center"/>
          </w:tcPr>
          <w:p w14:paraId="36BCDC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1,425.81</w:t>
            </w:r>
          </w:p>
        </w:tc>
        <w:tc>
          <w:tcPr>
            <w:tcW w:w="602" w:type="pct"/>
            <w:gridSpan w:val="2"/>
            <w:tcBorders>
              <w:top w:val="nil"/>
              <w:left w:val="nil"/>
              <w:bottom w:val="single" w:color="000000" w:sz="4" w:space="0"/>
              <w:right w:val="single" w:color="000000" w:sz="4" w:space="0"/>
            </w:tcBorders>
            <w:noWrap/>
            <w:vAlign w:val="center"/>
          </w:tcPr>
          <w:p w14:paraId="7F6566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166B9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3F2E44F">
            <w:pPr>
              <w:jc w:val="right"/>
              <w:rPr>
                <w:rFonts w:hint="default" w:ascii="Times New Roman" w:hAnsi="Times New Roman" w:eastAsia="宋体" w:cs="Times New Roman"/>
                <w:i w:val="0"/>
                <w:iCs w:val="0"/>
                <w:color w:val="000000"/>
                <w:sz w:val="20"/>
                <w:szCs w:val="20"/>
                <w:highlight w:val="none"/>
                <w:u w:val="none"/>
              </w:rPr>
            </w:pPr>
          </w:p>
        </w:tc>
      </w:tr>
      <w:tr w14:paraId="51526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0F45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2140106</w:t>
            </w:r>
          </w:p>
        </w:tc>
        <w:tc>
          <w:tcPr>
            <w:tcW w:w="635" w:type="pct"/>
            <w:tcBorders>
              <w:top w:val="nil"/>
              <w:left w:val="nil"/>
              <w:bottom w:val="single" w:color="000000" w:sz="4" w:space="0"/>
              <w:right w:val="single" w:color="000000" w:sz="4" w:space="0"/>
            </w:tcBorders>
            <w:noWrap/>
            <w:vAlign w:val="center"/>
          </w:tcPr>
          <w:p w14:paraId="394218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公路养护</w:t>
            </w:r>
          </w:p>
        </w:tc>
        <w:tc>
          <w:tcPr>
            <w:tcW w:w="603" w:type="pct"/>
            <w:tcBorders>
              <w:top w:val="nil"/>
              <w:left w:val="nil"/>
              <w:bottom w:val="single" w:color="000000" w:sz="4" w:space="0"/>
              <w:right w:val="single" w:color="000000" w:sz="4" w:space="0"/>
            </w:tcBorders>
            <w:noWrap/>
            <w:vAlign w:val="center"/>
          </w:tcPr>
          <w:p w14:paraId="286D43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w:t>
            </w:r>
          </w:p>
        </w:tc>
        <w:tc>
          <w:tcPr>
            <w:tcW w:w="602" w:type="pct"/>
            <w:gridSpan w:val="2"/>
            <w:tcBorders>
              <w:top w:val="nil"/>
              <w:left w:val="nil"/>
              <w:bottom w:val="single" w:color="000000" w:sz="4" w:space="0"/>
              <w:right w:val="single" w:color="000000" w:sz="4" w:space="0"/>
            </w:tcBorders>
            <w:noWrap/>
            <w:vAlign w:val="center"/>
          </w:tcPr>
          <w:p w14:paraId="2CC846E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D847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w:t>
            </w:r>
          </w:p>
        </w:tc>
        <w:tc>
          <w:tcPr>
            <w:tcW w:w="602" w:type="pct"/>
            <w:gridSpan w:val="2"/>
            <w:tcBorders>
              <w:top w:val="nil"/>
              <w:left w:val="nil"/>
              <w:bottom w:val="single" w:color="000000" w:sz="4" w:space="0"/>
              <w:right w:val="single" w:color="000000" w:sz="4" w:space="0"/>
            </w:tcBorders>
            <w:noWrap/>
            <w:vAlign w:val="center"/>
          </w:tcPr>
          <w:p w14:paraId="7F2904C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5155A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30DB5A">
            <w:pPr>
              <w:jc w:val="right"/>
              <w:rPr>
                <w:rFonts w:hint="default" w:ascii="Times New Roman" w:hAnsi="Times New Roman" w:eastAsia="宋体" w:cs="Times New Roman"/>
                <w:i w:val="0"/>
                <w:iCs w:val="0"/>
                <w:color w:val="000000"/>
                <w:sz w:val="20"/>
                <w:szCs w:val="20"/>
                <w:highlight w:val="none"/>
                <w:u w:val="none"/>
              </w:rPr>
            </w:pPr>
          </w:p>
        </w:tc>
      </w:tr>
      <w:tr w14:paraId="390F2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1D4A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2140112</w:t>
            </w:r>
          </w:p>
        </w:tc>
        <w:tc>
          <w:tcPr>
            <w:tcW w:w="635" w:type="pct"/>
            <w:tcBorders>
              <w:top w:val="nil"/>
              <w:left w:val="nil"/>
              <w:bottom w:val="single" w:color="000000" w:sz="4" w:space="0"/>
              <w:right w:val="single" w:color="000000" w:sz="4" w:space="0"/>
            </w:tcBorders>
            <w:noWrap/>
            <w:vAlign w:val="center"/>
          </w:tcPr>
          <w:p w14:paraId="7CE9CF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公路运输管理</w:t>
            </w:r>
          </w:p>
        </w:tc>
        <w:tc>
          <w:tcPr>
            <w:tcW w:w="603" w:type="pct"/>
            <w:tcBorders>
              <w:top w:val="nil"/>
              <w:left w:val="nil"/>
              <w:bottom w:val="single" w:color="000000" w:sz="4" w:space="0"/>
              <w:right w:val="single" w:color="000000" w:sz="4" w:space="0"/>
            </w:tcBorders>
            <w:noWrap/>
            <w:vAlign w:val="center"/>
          </w:tcPr>
          <w:p w14:paraId="1BCDC5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1,385.81</w:t>
            </w:r>
          </w:p>
        </w:tc>
        <w:tc>
          <w:tcPr>
            <w:tcW w:w="602" w:type="pct"/>
            <w:gridSpan w:val="2"/>
            <w:tcBorders>
              <w:top w:val="nil"/>
              <w:left w:val="nil"/>
              <w:bottom w:val="single" w:color="000000" w:sz="4" w:space="0"/>
              <w:right w:val="single" w:color="000000" w:sz="4" w:space="0"/>
            </w:tcBorders>
            <w:noWrap/>
            <w:vAlign w:val="center"/>
          </w:tcPr>
          <w:p w14:paraId="074595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AFE4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1,385.81</w:t>
            </w:r>
          </w:p>
        </w:tc>
        <w:tc>
          <w:tcPr>
            <w:tcW w:w="602" w:type="pct"/>
            <w:gridSpan w:val="2"/>
            <w:tcBorders>
              <w:top w:val="nil"/>
              <w:left w:val="nil"/>
              <w:bottom w:val="single" w:color="000000" w:sz="4" w:space="0"/>
              <w:right w:val="single" w:color="000000" w:sz="4" w:space="0"/>
            </w:tcBorders>
            <w:noWrap/>
            <w:vAlign w:val="center"/>
          </w:tcPr>
          <w:p w14:paraId="1742B5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D7DD7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073984">
            <w:pPr>
              <w:jc w:val="right"/>
              <w:rPr>
                <w:rFonts w:hint="default" w:ascii="Times New Roman" w:hAnsi="Times New Roman" w:eastAsia="宋体" w:cs="Times New Roman"/>
                <w:i w:val="0"/>
                <w:iCs w:val="0"/>
                <w:color w:val="000000"/>
                <w:sz w:val="20"/>
                <w:szCs w:val="20"/>
                <w:highlight w:val="none"/>
                <w:u w:val="none"/>
              </w:rPr>
            </w:pPr>
          </w:p>
        </w:tc>
      </w:tr>
      <w:tr w14:paraId="57631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45F6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635" w:type="pct"/>
            <w:tcBorders>
              <w:top w:val="nil"/>
              <w:left w:val="nil"/>
              <w:bottom w:val="single" w:color="000000" w:sz="4" w:space="0"/>
              <w:right w:val="single" w:color="000000" w:sz="4" w:space="0"/>
            </w:tcBorders>
            <w:noWrap/>
            <w:vAlign w:val="center"/>
          </w:tcPr>
          <w:p w14:paraId="3FCD9B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603" w:type="pct"/>
            <w:tcBorders>
              <w:top w:val="nil"/>
              <w:left w:val="nil"/>
              <w:bottom w:val="single" w:color="000000" w:sz="4" w:space="0"/>
              <w:right w:val="single" w:color="000000" w:sz="4" w:space="0"/>
            </w:tcBorders>
            <w:noWrap/>
            <w:vAlign w:val="center"/>
          </w:tcPr>
          <w:p w14:paraId="7B7CA0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3,480.96</w:t>
            </w:r>
          </w:p>
        </w:tc>
        <w:tc>
          <w:tcPr>
            <w:tcW w:w="602" w:type="pct"/>
            <w:gridSpan w:val="2"/>
            <w:tcBorders>
              <w:top w:val="nil"/>
              <w:left w:val="nil"/>
              <w:bottom w:val="single" w:color="000000" w:sz="4" w:space="0"/>
              <w:right w:val="single" w:color="000000" w:sz="4" w:space="0"/>
            </w:tcBorders>
            <w:noWrap/>
            <w:vAlign w:val="center"/>
          </w:tcPr>
          <w:p w14:paraId="33AFDC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3,480.96</w:t>
            </w:r>
          </w:p>
        </w:tc>
        <w:tc>
          <w:tcPr>
            <w:tcW w:w="602" w:type="pct"/>
            <w:tcBorders>
              <w:top w:val="nil"/>
              <w:left w:val="nil"/>
              <w:bottom w:val="single" w:color="000000" w:sz="4" w:space="0"/>
              <w:right w:val="single" w:color="000000" w:sz="4" w:space="0"/>
            </w:tcBorders>
            <w:noWrap/>
            <w:vAlign w:val="center"/>
          </w:tcPr>
          <w:p w14:paraId="583E793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D0397B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1D486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9C3FF64">
            <w:pPr>
              <w:jc w:val="right"/>
              <w:rPr>
                <w:rFonts w:hint="default" w:ascii="Times New Roman" w:hAnsi="Times New Roman" w:eastAsia="宋体" w:cs="Times New Roman"/>
                <w:i w:val="0"/>
                <w:iCs w:val="0"/>
                <w:color w:val="000000"/>
                <w:sz w:val="20"/>
                <w:szCs w:val="20"/>
                <w:highlight w:val="none"/>
                <w:u w:val="none"/>
              </w:rPr>
            </w:pPr>
          </w:p>
        </w:tc>
      </w:tr>
      <w:tr w14:paraId="2FABA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4B1C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w:t>
            </w:r>
          </w:p>
        </w:tc>
        <w:tc>
          <w:tcPr>
            <w:tcW w:w="635" w:type="pct"/>
            <w:tcBorders>
              <w:top w:val="nil"/>
              <w:left w:val="nil"/>
              <w:bottom w:val="single" w:color="000000" w:sz="4" w:space="0"/>
              <w:right w:val="single" w:color="000000" w:sz="4" w:space="0"/>
            </w:tcBorders>
            <w:noWrap/>
            <w:vAlign w:val="center"/>
          </w:tcPr>
          <w:p w14:paraId="472479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603" w:type="pct"/>
            <w:tcBorders>
              <w:top w:val="nil"/>
              <w:left w:val="nil"/>
              <w:bottom w:val="single" w:color="000000" w:sz="4" w:space="0"/>
              <w:right w:val="single" w:color="000000" w:sz="4" w:space="0"/>
            </w:tcBorders>
            <w:noWrap/>
            <w:vAlign w:val="center"/>
          </w:tcPr>
          <w:p w14:paraId="2B2DFA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3,218.77</w:t>
            </w:r>
          </w:p>
        </w:tc>
        <w:tc>
          <w:tcPr>
            <w:tcW w:w="602" w:type="pct"/>
            <w:gridSpan w:val="2"/>
            <w:tcBorders>
              <w:top w:val="nil"/>
              <w:left w:val="nil"/>
              <w:bottom w:val="single" w:color="000000" w:sz="4" w:space="0"/>
              <w:right w:val="single" w:color="000000" w:sz="4" w:space="0"/>
            </w:tcBorders>
            <w:noWrap/>
            <w:vAlign w:val="center"/>
          </w:tcPr>
          <w:p w14:paraId="0EDC04E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9A48A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3,218.77</w:t>
            </w:r>
          </w:p>
        </w:tc>
        <w:tc>
          <w:tcPr>
            <w:tcW w:w="602" w:type="pct"/>
            <w:gridSpan w:val="2"/>
            <w:tcBorders>
              <w:top w:val="nil"/>
              <w:left w:val="nil"/>
              <w:bottom w:val="single" w:color="000000" w:sz="4" w:space="0"/>
              <w:right w:val="single" w:color="000000" w:sz="4" w:space="0"/>
            </w:tcBorders>
            <w:noWrap/>
            <w:vAlign w:val="center"/>
          </w:tcPr>
          <w:p w14:paraId="0AAA61B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B153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B49879">
            <w:pPr>
              <w:jc w:val="right"/>
              <w:rPr>
                <w:rFonts w:hint="default" w:ascii="Times New Roman" w:hAnsi="Times New Roman" w:eastAsia="宋体" w:cs="Times New Roman"/>
                <w:i w:val="0"/>
                <w:iCs w:val="0"/>
                <w:color w:val="000000"/>
                <w:sz w:val="20"/>
                <w:szCs w:val="20"/>
                <w:highlight w:val="none"/>
                <w:u w:val="none"/>
              </w:rPr>
            </w:pPr>
          </w:p>
        </w:tc>
      </w:tr>
      <w:tr w14:paraId="1E0CC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5DA2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2149901</w:t>
            </w:r>
          </w:p>
        </w:tc>
        <w:tc>
          <w:tcPr>
            <w:tcW w:w="635" w:type="pct"/>
            <w:tcBorders>
              <w:top w:val="nil"/>
              <w:left w:val="nil"/>
              <w:bottom w:val="single" w:color="000000" w:sz="4" w:space="0"/>
              <w:right w:val="single" w:color="000000" w:sz="4" w:space="0"/>
            </w:tcBorders>
            <w:noWrap/>
            <w:vAlign w:val="center"/>
          </w:tcPr>
          <w:p w14:paraId="4A5C1E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公共交通运营补助</w:t>
            </w:r>
          </w:p>
        </w:tc>
        <w:tc>
          <w:tcPr>
            <w:tcW w:w="603" w:type="pct"/>
            <w:tcBorders>
              <w:top w:val="nil"/>
              <w:left w:val="nil"/>
              <w:bottom w:val="single" w:color="000000" w:sz="4" w:space="0"/>
              <w:right w:val="single" w:color="000000" w:sz="4" w:space="0"/>
            </w:tcBorders>
            <w:noWrap/>
            <w:vAlign w:val="center"/>
          </w:tcPr>
          <w:p w14:paraId="0D5911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3,218.77</w:t>
            </w:r>
          </w:p>
        </w:tc>
        <w:tc>
          <w:tcPr>
            <w:tcW w:w="602" w:type="pct"/>
            <w:gridSpan w:val="2"/>
            <w:tcBorders>
              <w:top w:val="nil"/>
              <w:left w:val="nil"/>
              <w:bottom w:val="single" w:color="000000" w:sz="4" w:space="0"/>
              <w:right w:val="single" w:color="000000" w:sz="4" w:space="0"/>
            </w:tcBorders>
            <w:noWrap/>
            <w:vAlign w:val="center"/>
          </w:tcPr>
          <w:p w14:paraId="3029402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8071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3,218.77</w:t>
            </w:r>
          </w:p>
        </w:tc>
        <w:tc>
          <w:tcPr>
            <w:tcW w:w="602" w:type="pct"/>
            <w:gridSpan w:val="2"/>
            <w:tcBorders>
              <w:top w:val="nil"/>
              <w:left w:val="nil"/>
              <w:bottom w:val="single" w:color="000000" w:sz="4" w:space="0"/>
              <w:right w:val="single" w:color="000000" w:sz="4" w:space="0"/>
            </w:tcBorders>
            <w:noWrap/>
            <w:vAlign w:val="center"/>
          </w:tcPr>
          <w:p w14:paraId="2D1F35B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D56B6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8FD0F7">
            <w:pPr>
              <w:jc w:val="right"/>
              <w:rPr>
                <w:rFonts w:hint="default" w:ascii="Times New Roman" w:hAnsi="Times New Roman" w:eastAsia="宋体" w:cs="Times New Roman"/>
                <w:i w:val="0"/>
                <w:iCs w:val="0"/>
                <w:color w:val="000000"/>
                <w:sz w:val="20"/>
                <w:szCs w:val="20"/>
                <w:highlight w:val="none"/>
                <w:u w:val="none"/>
              </w:rPr>
            </w:pPr>
          </w:p>
        </w:tc>
      </w:tr>
      <w:tr w14:paraId="11EC5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8E2A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D286B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35793C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346.71</w:t>
            </w:r>
          </w:p>
        </w:tc>
        <w:tc>
          <w:tcPr>
            <w:tcW w:w="602" w:type="pct"/>
            <w:gridSpan w:val="2"/>
            <w:tcBorders>
              <w:top w:val="nil"/>
              <w:left w:val="nil"/>
              <w:bottom w:val="single" w:color="000000" w:sz="4" w:space="0"/>
              <w:right w:val="single" w:color="000000" w:sz="4" w:space="0"/>
            </w:tcBorders>
            <w:noWrap/>
            <w:vAlign w:val="center"/>
          </w:tcPr>
          <w:p w14:paraId="1A0685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346.71</w:t>
            </w:r>
          </w:p>
        </w:tc>
        <w:tc>
          <w:tcPr>
            <w:tcW w:w="602" w:type="pct"/>
            <w:tcBorders>
              <w:top w:val="nil"/>
              <w:left w:val="nil"/>
              <w:bottom w:val="single" w:color="000000" w:sz="4" w:space="0"/>
              <w:right w:val="single" w:color="000000" w:sz="4" w:space="0"/>
            </w:tcBorders>
            <w:noWrap/>
            <w:vAlign w:val="center"/>
          </w:tcPr>
          <w:p w14:paraId="247702E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BD5731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882C0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611001">
            <w:pPr>
              <w:jc w:val="right"/>
              <w:rPr>
                <w:rFonts w:hint="default" w:ascii="Times New Roman" w:hAnsi="Times New Roman" w:eastAsia="宋体" w:cs="Times New Roman"/>
                <w:i w:val="0"/>
                <w:iCs w:val="0"/>
                <w:color w:val="000000"/>
                <w:sz w:val="20"/>
                <w:szCs w:val="20"/>
                <w:highlight w:val="none"/>
                <w:u w:val="none"/>
              </w:rPr>
            </w:pPr>
          </w:p>
        </w:tc>
      </w:tr>
      <w:tr w14:paraId="5233A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558AB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1501A9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0101A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346.71</w:t>
            </w:r>
          </w:p>
        </w:tc>
        <w:tc>
          <w:tcPr>
            <w:tcW w:w="602" w:type="pct"/>
            <w:gridSpan w:val="2"/>
            <w:tcBorders>
              <w:top w:val="nil"/>
              <w:left w:val="nil"/>
              <w:bottom w:val="single" w:color="000000" w:sz="4" w:space="0"/>
              <w:right w:val="single" w:color="000000" w:sz="4" w:space="0"/>
            </w:tcBorders>
            <w:noWrap/>
            <w:vAlign w:val="center"/>
          </w:tcPr>
          <w:p w14:paraId="5E54B0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346.71</w:t>
            </w:r>
          </w:p>
        </w:tc>
        <w:tc>
          <w:tcPr>
            <w:tcW w:w="602" w:type="pct"/>
            <w:tcBorders>
              <w:top w:val="nil"/>
              <w:left w:val="nil"/>
              <w:bottom w:val="single" w:color="000000" w:sz="4" w:space="0"/>
              <w:right w:val="single" w:color="000000" w:sz="4" w:space="0"/>
            </w:tcBorders>
            <w:noWrap/>
            <w:vAlign w:val="center"/>
          </w:tcPr>
          <w:p w14:paraId="4FA9C08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50EED9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BEFDE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BB1795F">
            <w:pPr>
              <w:jc w:val="right"/>
              <w:rPr>
                <w:rFonts w:hint="default" w:ascii="Times New Roman" w:hAnsi="Times New Roman" w:eastAsia="宋体" w:cs="Times New Roman"/>
                <w:i w:val="0"/>
                <w:iCs w:val="0"/>
                <w:color w:val="000000"/>
                <w:sz w:val="20"/>
                <w:szCs w:val="20"/>
                <w:highlight w:val="none"/>
                <w:u w:val="none"/>
              </w:rPr>
            </w:pPr>
          </w:p>
        </w:tc>
      </w:tr>
      <w:tr w14:paraId="2DF63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6920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028FED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665458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346.71</w:t>
            </w:r>
          </w:p>
        </w:tc>
        <w:tc>
          <w:tcPr>
            <w:tcW w:w="602" w:type="pct"/>
            <w:gridSpan w:val="2"/>
            <w:tcBorders>
              <w:top w:val="nil"/>
              <w:left w:val="nil"/>
              <w:bottom w:val="single" w:color="000000" w:sz="4" w:space="0"/>
              <w:right w:val="single" w:color="000000" w:sz="4" w:space="0"/>
            </w:tcBorders>
            <w:noWrap/>
            <w:vAlign w:val="center"/>
          </w:tcPr>
          <w:p w14:paraId="12BB50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346.71</w:t>
            </w:r>
          </w:p>
        </w:tc>
        <w:tc>
          <w:tcPr>
            <w:tcW w:w="602" w:type="pct"/>
            <w:tcBorders>
              <w:top w:val="nil"/>
              <w:left w:val="nil"/>
              <w:bottom w:val="single" w:color="000000" w:sz="4" w:space="0"/>
              <w:right w:val="single" w:color="000000" w:sz="4" w:space="0"/>
            </w:tcBorders>
            <w:noWrap/>
            <w:vAlign w:val="center"/>
          </w:tcPr>
          <w:p w14:paraId="3CE30BB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7FC7FE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626FC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2E44A1D">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部门（单位）：石家庄市交通运输综合行政执法支队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9,799.37</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1,045.43</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1,045.43</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290.68</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290.68</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8,125.55</w:t>
            </w: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8,125.55</w:t>
            </w: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346.71</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346.71</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9,799.37</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9,808.37</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9,808.37</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w:t>
            </w: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w:t>
            </w: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9,808.37</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9,808.37</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9,808.37</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58"/>
        <w:gridCol w:w="3218"/>
        <w:gridCol w:w="1070"/>
        <w:gridCol w:w="497"/>
        <w:gridCol w:w="520"/>
        <w:gridCol w:w="359"/>
        <w:gridCol w:w="117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编制部门（单位）：石家庄市交通运输综合行政执法支队</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9,808.37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5,154.79</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4,653.58</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1,045.43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p>
        </w:tc>
      </w:tr>
      <w:tr w14:paraId="22937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77F4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17FC73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0A7B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DC7C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1,045.43</w:t>
            </w:r>
          </w:p>
        </w:tc>
        <w:tc>
          <w:tcPr>
            <w:tcW w:w="1218" w:type="pct"/>
            <w:tcBorders>
              <w:top w:val="single" w:color="auto" w:sz="4" w:space="0"/>
              <w:left w:val="single" w:color="auto" w:sz="4" w:space="0"/>
              <w:bottom w:val="single" w:color="auto" w:sz="4" w:space="0"/>
              <w:right w:val="single" w:color="auto" w:sz="4" w:space="0"/>
            </w:tcBorders>
            <w:noWrap/>
            <w:vAlign w:val="center"/>
          </w:tcPr>
          <w:p w14:paraId="7F761409">
            <w:pPr>
              <w:jc w:val="right"/>
              <w:rPr>
                <w:rFonts w:hint="default" w:ascii="Times New Roman" w:hAnsi="Times New Roman" w:eastAsia="宋体" w:cs="Times New Roman"/>
                <w:i w:val="0"/>
                <w:iCs w:val="0"/>
                <w:color w:val="000000"/>
                <w:sz w:val="20"/>
                <w:szCs w:val="20"/>
                <w:highlight w:val="none"/>
                <w:u w:val="none"/>
              </w:rPr>
            </w:pPr>
          </w:p>
        </w:tc>
      </w:tr>
      <w:tr w14:paraId="4EB08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FF62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1E1EFA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197F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552.70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5355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552.70</w:t>
            </w:r>
          </w:p>
        </w:tc>
        <w:tc>
          <w:tcPr>
            <w:tcW w:w="1218" w:type="pct"/>
            <w:tcBorders>
              <w:top w:val="single" w:color="auto" w:sz="4" w:space="0"/>
              <w:left w:val="single" w:color="auto" w:sz="4" w:space="0"/>
              <w:bottom w:val="single" w:color="auto" w:sz="4" w:space="0"/>
              <w:right w:val="single" w:color="auto" w:sz="4" w:space="0"/>
            </w:tcBorders>
            <w:noWrap/>
            <w:vAlign w:val="center"/>
          </w:tcPr>
          <w:p w14:paraId="4BAD5472">
            <w:pPr>
              <w:jc w:val="right"/>
              <w:rPr>
                <w:rFonts w:hint="default" w:ascii="Times New Roman" w:hAnsi="Times New Roman" w:eastAsia="宋体" w:cs="Times New Roman"/>
                <w:i w:val="0"/>
                <w:iCs w:val="0"/>
                <w:color w:val="000000"/>
                <w:sz w:val="20"/>
                <w:szCs w:val="20"/>
                <w:highlight w:val="none"/>
                <w:u w:val="none"/>
              </w:rPr>
            </w:pPr>
          </w:p>
        </w:tc>
      </w:tr>
      <w:tr w14:paraId="7F50C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1E86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58EF23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C774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73A8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403.50</w:t>
            </w:r>
          </w:p>
        </w:tc>
        <w:tc>
          <w:tcPr>
            <w:tcW w:w="1218" w:type="pct"/>
            <w:tcBorders>
              <w:top w:val="single" w:color="auto" w:sz="4" w:space="0"/>
              <w:left w:val="single" w:color="auto" w:sz="4" w:space="0"/>
              <w:bottom w:val="single" w:color="auto" w:sz="4" w:space="0"/>
              <w:right w:val="single" w:color="auto" w:sz="4" w:space="0"/>
            </w:tcBorders>
            <w:noWrap/>
            <w:vAlign w:val="center"/>
          </w:tcPr>
          <w:p w14:paraId="32EF7B2E">
            <w:pPr>
              <w:jc w:val="right"/>
              <w:rPr>
                <w:rFonts w:hint="default" w:ascii="Times New Roman" w:hAnsi="Times New Roman" w:eastAsia="宋体" w:cs="Times New Roman"/>
                <w:i w:val="0"/>
                <w:iCs w:val="0"/>
                <w:color w:val="000000"/>
                <w:sz w:val="20"/>
                <w:szCs w:val="20"/>
                <w:highlight w:val="none"/>
                <w:u w:val="none"/>
              </w:rPr>
            </w:pPr>
          </w:p>
        </w:tc>
      </w:tr>
      <w:tr w14:paraId="7D2EC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DEE60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745D0E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87C5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80BF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89.24</w:t>
            </w:r>
          </w:p>
        </w:tc>
        <w:tc>
          <w:tcPr>
            <w:tcW w:w="1218" w:type="pct"/>
            <w:tcBorders>
              <w:top w:val="single" w:color="auto" w:sz="4" w:space="0"/>
              <w:left w:val="single" w:color="auto" w:sz="4" w:space="0"/>
              <w:bottom w:val="single" w:color="auto" w:sz="4" w:space="0"/>
              <w:right w:val="single" w:color="auto" w:sz="4" w:space="0"/>
            </w:tcBorders>
            <w:noWrap/>
            <w:vAlign w:val="center"/>
          </w:tcPr>
          <w:p w14:paraId="501C17AE">
            <w:pPr>
              <w:jc w:val="right"/>
              <w:rPr>
                <w:rFonts w:hint="default" w:ascii="Times New Roman" w:hAnsi="Times New Roman" w:eastAsia="宋体" w:cs="Times New Roman"/>
                <w:i w:val="0"/>
                <w:iCs w:val="0"/>
                <w:color w:val="000000"/>
                <w:sz w:val="20"/>
                <w:szCs w:val="20"/>
                <w:highlight w:val="none"/>
                <w:u w:val="none"/>
              </w:rPr>
            </w:pPr>
          </w:p>
        </w:tc>
      </w:tr>
      <w:tr w14:paraId="098DB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3E338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16C444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C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8CE5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281.68</w:t>
            </w:r>
          </w:p>
        </w:tc>
        <w:tc>
          <w:tcPr>
            <w:tcW w:w="1218" w:type="pct"/>
            <w:tcBorders>
              <w:top w:val="single" w:color="auto" w:sz="4" w:space="0"/>
              <w:left w:val="single" w:color="auto" w:sz="4" w:space="0"/>
              <w:bottom w:val="single" w:color="auto" w:sz="4" w:space="0"/>
              <w:right w:val="single" w:color="auto" w:sz="4" w:space="0"/>
            </w:tcBorders>
            <w:noWrap/>
            <w:vAlign w:val="center"/>
          </w:tcPr>
          <w:p w14:paraId="01AFB9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r>
      <w:tr w14:paraId="42EE4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1027A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w:t>
            </w:r>
          </w:p>
        </w:tc>
        <w:tc>
          <w:tcPr>
            <w:tcW w:w="756" w:type="pct"/>
            <w:tcBorders>
              <w:top w:val="single" w:color="auto" w:sz="4" w:space="0"/>
              <w:left w:val="single" w:color="auto" w:sz="4" w:space="0"/>
              <w:bottom w:val="single" w:color="auto" w:sz="4" w:space="0"/>
              <w:right w:val="single" w:color="auto" w:sz="4" w:space="0"/>
            </w:tcBorders>
            <w:noWrap/>
            <w:vAlign w:val="center"/>
          </w:tcPr>
          <w:p w14:paraId="55EBB1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7B74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8E786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342B6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r>
      <w:tr w14:paraId="7D5DF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6A99B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2100410</w:t>
            </w:r>
          </w:p>
        </w:tc>
        <w:tc>
          <w:tcPr>
            <w:tcW w:w="756" w:type="pct"/>
            <w:tcBorders>
              <w:top w:val="single" w:color="auto" w:sz="4" w:space="0"/>
              <w:left w:val="single" w:color="auto" w:sz="4" w:space="0"/>
              <w:bottom w:val="single" w:color="auto" w:sz="4" w:space="0"/>
              <w:right w:val="single" w:color="auto" w:sz="4" w:space="0"/>
            </w:tcBorders>
            <w:noWrap/>
            <w:vAlign w:val="center"/>
          </w:tcPr>
          <w:p w14:paraId="057C70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突发公共卫生事件应急处置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919C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3E4DF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3070D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r>
      <w:tr w14:paraId="512F0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5488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336770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9AED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68EE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281.68</w:t>
            </w:r>
          </w:p>
        </w:tc>
        <w:tc>
          <w:tcPr>
            <w:tcW w:w="1218" w:type="pct"/>
            <w:tcBorders>
              <w:top w:val="single" w:color="auto" w:sz="4" w:space="0"/>
              <w:left w:val="single" w:color="auto" w:sz="4" w:space="0"/>
              <w:bottom w:val="single" w:color="auto" w:sz="4" w:space="0"/>
              <w:right w:val="single" w:color="auto" w:sz="4" w:space="0"/>
            </w:tcBorders>
            <w:noWrap/>
            <w:vAlign w:val="center"/>
          </w:tcPr>
          <w:p w14:paraId="03E12772">
            <w:pPr>
              <w:jc w:val="right"/>
              <w:rPr>
                <w:rFonts w:hint="default" w:ascii="Times New Roman" w:hAnsi="Times New Roman" w:eastAsia="宋体" w:cs="Times New Roman"/>
                <w:i w:val="0"/>
                <w:iCs w:val="0"/>
                <w:color w:val="000000"/>
                <w:sz w:val="20"/>
                <w:szCs w:val="20"/>
                <w:highlight w:val="none"/>
                <w:u w:val="none"/>
              </w:rPr>
            </w:pPr>
          </w:p>
        </w:tc>
      </w:tr>
      <w:tr w14:paraId="77492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7B634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2FF07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B61A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150.66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3ED5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150.66</w:t>
            </w:r>
          </w:p>
        </w:tc>
        <w:tc>
          <w:tcPr>
            <w:tcW w:w="1218" w:type="pct"/>
            <w:tcBorders>
              <w:top w:val="single" w:color="auto" w:sz="4" w:space="0"/>
              <w:left w:val="single" w:color="auto" w:sz="4" w:space="0"/>
              <w:bottom w:val="single" w:color="auto" w:sz="4" w:space="0"/>
              <w:right w:val="single" w:color="auto" w:sz="4" w:space="0"/>
            </w:tcBorders>
            <w:noWrap/>
            <w:vAlign w:val="center"/>
          </w:tcPr>
          <w:p w14:paraId="6731A899">
            <w:pPr>
              <w:jc w:val="right"/>
              <w:rPr>
                <w:rFonts w:hint="default" w:ascii="Times New Roman" w:hAnsi="Times New Roman" w:eastAsia="宋体" w:cs="Times New Roman"/>
                <w:i w:val="0"/>
                <w:iCs w:val="0"/>
                <w:color w:val="000000"/>
                <w:sz w:val="20"/>
                <w:szCs w:val="20"/>
                <w:highlight w:val="none"/>
                <w:u w:val="none"/>
              </w:rPr>
            </w:pPr>
          </w:p>
        </w:tc>
      </w:tr>
      <w:tr w14:paraId="05704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5DF52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756" w:type="pct"/>
            <w:tcBorders>
              <w:top w:val="single" w:color="auto" w:sz="4" w:space="0"/>
              <w:left w:val="single" w:color="auto" w:sz="4" w:space="0"/>
              <w:bottom w:val="single" w:color="auto" w:sz="4" w:space="0"/>
              <w:right w:val="single" w:color="auto" w:sz="4" w:space="0"/>
            </w:tcBorders>
            <w:noWrap/>
            <w:vAlign w:val="center"/>
          </w:tcPr>
          <w:p w14:paraId="4B3BC9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E826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131.02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0C6E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131.02</w:t>
            </w:r>
          </w:p>
        </w:tc>
        <w:tc>
          <w:tcPr>
            <w:tcW w:w="1218" w:type="pct"/>
            <w:tcBorders>
              <w:top w:val="single" w:color="auto" w:sz="4" w:space="0"/>
              <w:left w:val="single" w:color="auto" w:sz="4" w:space="0"/>
              <w:bottom w:val="single" w:color="auto" w:sz="4" w:space="0"/>
              <w:right w:val="single" w:color="auto" w:sz="4" w:space="0"/>
            </w:tcBorders>
            <w:noWrap/>
            <w:vAlign w:val="center"/>
          </w:tcPr>
          <w:p w14:paraId="633317FB">
            <w:pPr>
              <w:jc w:val="right"/>
              <w:rPr>
                <w:rFonts w:hint="default" w:ascii="Times New Roman" w:hAnsi="Times New Roman" w:eastAsia="宋体" w:cs="Times New Roman"/>
                <w:i w:val="0"/>
                <w:iCs w:val="0"/>
                <w:color w:val="000000"/>
                <w:sz w:val="20"/>
                <w:szCs w:val="20"/>
                <w:highlight w:val="none"/>
                <w:u w:val="none"/>
              </w:rPr>
            </w:pPr>
          </w:p>
        </w:tc>
      </w:tr>
      <w:tr w14:paraId="171C2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B909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756" w:type="pct"/>
            <w:tcBorders>
              <w:top w:val="single" w:color="auto" w:sz="4" w:space="0"/>
              <w:left w:val="single" w:color="auto" w:sz="4" w:space="0"/>
              <w:bottom w:val="single" w:color="auto" w:sz="4" w:space="0"/>
              <w:right w:val="single" w:color="auto" w:sz="4" w:space="0"/>
            </w:tcBorders>
            <w:noWrap/>
            <w:vAlign w:val="center"/>
          </w:tcPr>
          <w:p w14:paraId="707D22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32D1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8,125.55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E18E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3,480.96</w:t>
            </w:r>
          </w:p>
        </w:tc>
        <w:tc>
          <w:tcPr>
            <w:tcW w:w="1218" w:type="pct"/>
            <w:tcBorders>
              <w:top w:val="single" w:color="auto" w:sz="4" w:space="0"/>
              <w:left w:val="single" w:color="auto" w:sz="4" w:space="0"/>
              <w:bottom w:val="single" w:color="auto" w:sz="4" w:space="0"/>
              <w:right w:val="single" w:color="auto" w:sz="4" w:space="0"/>
            </w:tcBorders>
            <w:noWrap/>
            <w:vAlign w:val="center"/>
          </w:tcPr>
          <w:p w14:paraId="32386A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4,644.58</w:t>
            </w:r>
          </w:p>
        </w:tc>
      </w:tr>
      <w:tr w14:paraId="7EFA0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9904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756" w:type="pct"/>
            <w:tcBorders>
              <w:top w:val="single" w:color="auto" w:sz="4" w:space="0"/>
              <w:left w:val="single" w:color="auto" w:sz="4" w:space="0"/>
              <w:bottom w:val="single" w:color="auto" w:sz="4" w:space="0"/>
              <w:right w:val="single" w:color="auto" w:sz="4" w:space="0"/>
            </w:tcBorders>
            <w:noWrap/>
            <w:vAlign w:val="center"/>
          </w:tcPr>
          <w:p w14:paraId="193F02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95CE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4,906.78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DD47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3,480.96</w:t>
            </w:r>
          </w:p>
        </w:tc>
        <w:tc>
          <w:tcPr>
            <w:tcW w:w="1218" w:type="pct"/>
            <w:tcBorders>
              <w:top w:val="single" w:color="auto" w:sz="4" w:space="0"/>
              <w:left w:val="single" w:color="auto" w:sz="4" w:space="0"/>
              <w:bottom w:val="single" w:color="auto" w:sz="4" w:space="0"/>
              <w:right w:val="single" w:color="auto" w:sz="4" w:space="0"/>
            </w:tcBorders>
            <w:noWrap/>
            <w:vAlign w:val="center"/>
          </w:tcPr>
          <w:p w14:paraId="6D3D59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1,425.81</w:t>
            </w:r>
          </w:p>
        </w:tc>
      </w:tr>
      <w:tr w14:paraId="2B832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BE9D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2140106</w:t>
            </w:r>
          </w:p>
        </w:tc>
        <w:tc>
          <w:tcPr>
            <w:tcW w:w="756" w:type="pct"/>
            <w:tcBorders>
              <w:top w:val="single" w:color="auto" w:sz="4" w:space="0"/>
              <w:left w:val="single" w:color="auto" w:sz="4" w:space="0"/>
              <w:bottom w:val="single" w:color="auto" w:sz="4" w:space="0"/>
              <w:right w:val="single" w:color="auto" w:sz="4" w:space="0"/>
            </w:tcBorders>
            <w:noWrap/>
            <w:vAlign w:val="center"/>
          </w:tcPr>
          <w:p w14:paraId="54769E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公路养护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C98C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2E299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EC621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w:t>
            </w:r>
          </w:p>
        </w:tc>
      </w:tr>
      <w:tr w14:paraId="3B4AC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57288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2140112</w:t>
            </w:r>
          </w:p>
        </w:tc>
        <w:tc>
          <w:tcPr>
            <w:tcW w:w="756" w:type="pct"/>
            <w:tcBorders>
              <w:top w:val="single" w:color="auto" w:sz="4" w:space="0"/>
              <w:left w:val="single" w:color="auto" w:sz="4" w:space="0"/>
              <w:bottom w:val="single" w:color="auto" w:sz="4" w:space="0"/>
              <w:right w:val="single" w:color="auto" w:sz="4" w:space="0"/>
            </w:tcBorders>
            <w:noWrap/>
            <w:vAlign w:val="center"/>
          </w:tcPr>
          <w:p w14:paraId="6156A5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公路运输管理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35A5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35091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63C3A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1,385.81</w:t>
            </w:r>
          </w:p>
        </w:tc>
      </w:tr>
      <w:tr w14:paraId="45FF5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7BF3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0B826B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1F41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3,480.96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5C3E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3,480.96</w:t>
            </w:r>
          </w:p>
        </w:tc>
        <w:tc>
          <w:tcPr>
            <w:tcW w:w="1218" w:type="pct"/>
            <w:tcBorders>
              <w:top w:val="single" w:color="auto" w:sz="4" w:space="0"/>
              <w:left w:val="single" w:color="auto" w:sz="4" w:space="0"/>
              <w:bottom w:val="single" w:color="auto" w:sz="4" w:space="0"/>
              <w:right w:val="single" w:color="auto" w:sz="4" w:space="0"/>
            </w:tcBorders>
            <w:noWrap/>
            <w:vAlign w:val="center"/>
          </w:tcPr>
          <w:p w14:paraId="2F1D2FEC">
            <w:pPr>
              <w:jc w:val="right"/>
              <w:rPr>
                <w:rFonts w:hint="default" w:ascii="Times New Roman" w:hAnsi="Times New Roman" w:eastAsia="宋体" w:cs="Times New Roman"/>
                <w:i w:val="0"/>
                <w:iCs w:val="0"/>
                <w:color w:val="000000"/>
                <w:sz w:val="20"/>
                <w:szCs w:val="20"/>
                <w:highlight w:val="none"/>
                <w:u w:val="none"/>
              </w:rPr>
            </w:pPr>
          </w:p>
        </w:tc>
      </w:tr>
      <w:tr w14:paraId="71DF4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AB23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w:t>
            </w:r>
          </w:p>
        </w:tc>
        <w:tc>
          <w:tcPr>
            <w:tcW w:w="756" w:type="pct"/>
            <w:tcBorders>
              <w:top w:val="single" w:color="auto" w:sz="4" w:space="0"/>
              <w:left w:val="single" w:color="auto" w:sz="4" w:space="0"/>
              <w:bottom w:val="single" w:color="auto" w:sz="4" w:space="0"/>
              <w:right w:val="single" w:color="auto" w:sz="4" w:space="0"/>
            </w:tcBorders>
            <w:noWrap/>
            <w:vAlign w:val="center"/>
          </w:tcPr>
          <w:p w14:paraId="621AA4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3D8B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3,218.77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7F63F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16365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3,218.77</w:t>
            </w:r>
          </w:p>
        </w:tc>
      </w:tr>
      <w:tr w14:paraId="5DFB9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9C50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2149901</w:t>
            </w:r>
          </w:p>
        </w:tc>
        <w:tc>
          <w:tcPr>
            <w:tcW w:w="756" w:type="pct"/>
            <w:tcBorders>
              <w:top w:val="single" w:color="auto" w:sz="4" w:space="0"/>
              <w:left w:val="single" w:color="auto" w:sz="4" w:space="0"/>
              <w:bottom w:val="single" w:color="auto" w:sz="4" w:space="0"/>
              <w:right w:val="single" w:color="auto" w:sz="4" w:space="0"/>
            </w:tcBorders>
            <w:noWrap/>
            <w:vAlign w:val="center"/>
          </w:tcPr>
          <w:p w14:paraId="47E13E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公共交通运营补助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7732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3,218.77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5BF4C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529ED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3,218.77</w:t>
            </w:r>
          </w:p>
        </w:tc>
      </w:tr>
      <w:tr w14:paraId="4B738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C270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10503A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2C25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FAFA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346.71</w:t>
            </w:r>
          </w:p>
        </w:tc>
        <w:tc>
          <w:tcPr>
            <w:tcW w:w="1218" w:type="pct"/>
            <w:tcBorders>
              <w:top w:val="single" w:color="auto" w:sz="4" w:space="0"/>
              <w:left w:val="single" w:color="auto" w:sz="4" w:space="0"/>
              <w:bottom w:val="single" w:color="auto" w:sz="4" w:space="0"/>
              <w:right w:val="single" w:color="auto" w:sz="4" w:space="0"/>
            </w:tcBorders>
            <w:noWrap/>
            <w:vAlign w:val="center"/>
          </w:tcPr>
          <w:p w14:paraId="7F4551E4">
            <w:pPr>
              <w:jc w:val="right"/>
              <w:rPr>
                <w:rFonts w:hint="default" w:ascii="Times New Roman" w:hAnsi="Times New Roman" w:eastAsia="宋体" w:cs="Times New Roman"/>
                <w:i w:val="0"/>
                <w:iCs w:val="0"/>
                <w:color w:val="000000"/>
                <w:sz w:val="20"/>
                <w:szCs w:val="20"/>
                <w:highlight w:val="none"/>
                <w:u w:val="none"/>
              </w:rPr>
            </w:pPr>
          </w:p>
        </w:tc>
      </w:tr>
      <w:tr w14:paraId="3D1DD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DE35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352C0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4A71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277C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346.71</w:t>
            </w:r>
          </w:p>
        </w:tc>
        <w:tc>
          <w:tcPr>
            <w:tcW w:w="1218" w:type="pct"/>
            <w:tcBorders>
              <w:top w:val="single" w:color="auto" w:sz="4" w:space="0"/>
              <w:left w:val="single" w:color="auto" w:sz="4" w:space="0"/>
              <w:bottom w:val="single" w:color="auto" w:sz="4" w:space="0"/>
              <w:right w:val="single" w:color="auto" w:sz="4" w:space="0"/>
            </w:tcBorders>
            <w:noWrap/>
            <w:vAlign w:val="center"/>
          </w:tcPr>
          <w:p w14:paraId="1CBC5E12">
            <w:pPr>
              <w:jc w:val="right"/>
              <w:rPr>
                <w:rFonts w:hint="default" w:ascii="Times New Roman" w:hAnsi="Times New Roman" w:eastAsia="宋体" w:cs="Times New Roman"/>
                <w:i w:val="0"/>
                <w:iCs w:val="0"/>
                <w:color w:val="000000"/>
                <w:sz w:val="20"/>
                <w:szCs w:val="20"/>
                <w:highlight w:val="none"/>
                <w:u w:val="none"/>
              </w:rPr>
            </w:pPr>
          </w:p>
        </w:tc>
      </w:tr>
      <w:tr w14:paraId="2065F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549E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0D0D4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B721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552E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346.71</w:t>
            </w:r>
          </w:p>
        </w:tc>
        <w:tc>
          <w:tcPr>
            <w:tcW w:w="1218" w:type="pct"/>
            <w:tcBorders>
              <w:top w:val="single" w:color="auto" w:sz="4" w:space="0"/>
              <w:left w:val="single" w:color="auto" w:sz="4" w:space="0"/>
              <w:bottom w:val="single" w:color="auto" w:sz="4" w:space="0"/>
              <w:right w:val="single" w:color="auto" w:sz="4" w:space="0"/>
            </w:tcBorders>
            <w:noWrap/>
            <w:vAlign w:val="center"/>
          </w:tcPr>
          <w:p w14:paraId="59955452">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部门（单位）：石家庄市交通运输综合行政执法支队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4,188.47</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398.10</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1,079.82</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37.61</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280.70</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4.39</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938.22</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768.61</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6.33</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403.50</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10.08</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89.24</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5.17</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150.66</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30.60</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131.02</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64.73</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346.71</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14.09</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568.22</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9.71</w:t>
            </w: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548.74</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3.96</w:t>
            </w: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3.57</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8.48</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0.62</w:t>
            </w: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40.65</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3.47</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29.94</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115.65</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28.52</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4,756.69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398.10</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部门（单位）：石家庄市交通运输综合行政执法支队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6FCC235">
            <w:pP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p>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本单位本年度无相关支出情况，</w:t>
            </w:r>
            <w:r>
              <w:rPr>
                <w:rFonts w:hint="eastAsia" w:ascii="仿宋" w:hAnsi="仿宋" w:eastAsia="仿宋" w:cs="仿宋"/>
                <w:i w:val="0"/>
                <w:iCs w:val="0"/>
                <w:color w:val="000000"/>
                <w:kern w:val="0"/>
                <w:sz w:val="20"/>
                <w:szCs w:val="20"/>
                <w:highlight w:val="none"/>
                <w:u w:val="none"/>
                <w:lang w:val="en-US" w:eastAsia="zh-CN" w:bidi="ar"/>
              </w:rPr>
              <w:t>按要求以空表列示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部门（单位）：石家庄市交通运输综合行政执法支队</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68590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w:t>
            </w:r>
          </w:p>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本单位本年度无相关支出情况，</w:t>
            </w:r>
            <w:r>
              <w:rPr>
                <w:rFonts w:hint="eastAsia" w:ascii="仿宋" w:hAnsi="仿宋" w:eastAsia="仿宋" w:cs="仿宋"/>
                <w:i w:val="0"/>
                <w:iCs w:val="0"/>
                <w:color w:val="000000"/>
                <w:kern w:val="0"/>
                <w:sz w:val="20"/>
                <w:szCs w:val="20"/>
                <w:highlight w:val="none"/>
                <w:u w:val="none"/>
                <w:lang w:val="en-US" w:eastAsia="zh-CN" w:bidi="ar"/>
              </w:rPr>
              <w:t>按要求以空表列示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部门（单位）：石家庄市交通运输综合行政执法支队</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161.16</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160.16</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37.52</w:t>
            </w: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122.64</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153.17</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153.17</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37.52</w:t>
            </w: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115.65</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52E492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16EC68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527D5E7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3515F57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本单位2024年度收、支总计（含结转和结余）均为9,808.37万元。与2023年度决算相比，收支各减少98.88万元，下降1.0%，主要原因是</w:t>
      </w:r>
      <w:r>
        <w:rPr>
          <w:rFonts w:hint="eastAsia" w:ascii="Times New Roman" w:eastAsia="仿宋_GB2312"/>
          <w:b w:val="0"/>
          <w:sz w:val="32"/>
          <w:szCs w:val="32"/>
          <w:lang w:eastAsia="zh-CN"/>
        </w:rPr>
        <w:t>基本支出收入减少，基本支出支出减少</w:t>
      </w:r>
      <w:r>
        <w:rPr>
          <w:rFonts w:ascii="Times New Roman" w:eastAsia="仿宋_GB2312"/>
          <w:b w:val="0"/>
          <w:sz w:val="32"/>
          <w:szCs w:val="32"/>
        </w:rPr>
        <w:t>。</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423A707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6F1FCE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9,799.37万元，其中：财政拨款收入9,799.37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685B0BF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2720E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本单位2024年度本年支出合计9,808.37万元，其中：基本支出5,154.79万元，占52.6%；项目支出4,653.58万元，占47.4%；上缴上级支出0.00万元，占0.0%；经营支出0.00万元，占0.0%；对附属单位补助支出0.00万元，占0.0%。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0FC9DA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9E1B95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585BC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本单位2024年度财政拨款收、支总计（含结转和结余）均为9,808.37万元。与2023年度相比，财政拨款收支各减少98.88万元，降低1.0%，主要原因是</w:t>
      </w:r>
      <w:r>
        <w:rPr>
          <w:rFonts w:hint="eastAsia" w:ascii="Times New Roman" w:eastAsia="仿宋_GB2312"/>
          <w:b w:val="0"/>
          <w:sz w:val="32"/>
          <w:szCs w:val="32"/>
          <w:lang w:eastAsia="zh-CN"/>
        </w:rPr>
        <w:t>基本支出减少</w:t>
      </w:r>
      <w:r>
        <w:rPr>
          <w:rFonts w:ascii="Times New Roman" w:eastAsia="仿宋_GB2312"/>
          <w:b w:val="0"/>
          <w:sz w:val="32"/>
          <w:szCs w:val="32"/>
        </w:rPr>
        <w:t>。</w:t>
      </w:r>
    </w:p>
    <w:p w14:paraId="06A817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本单位2024年度财政拨款本年收入9,799.37万元,比上年减少107.88万元，降低1.1%，主要原因是；本年支出9,808.37万元，比上年减少98.88万元，降低1.0%，主要原因是</w:t>
      </w:r>
      <w:r>
        <w:rPr>
          <w:rFonts w:hint="eastAsia" w:ascii="Times New Roman" w:eastAsia="仿宋_GB2312"/>
          <w:b w:val="0"/>
          <w:sz w:val="32"/>
          <w:szCs w:val="32"/>
          <w:lang w:eastAsia="zh-CN"/>
        </w:rPr>
        <w:t>基本支出减少</w:t>
      </w:r>
      <w:r>
        <w:rPr>
          <w:rFonts w:ascii="Times New Roman" w:eastAsia="仿宋_GB2312"/>
          <w:b w:val="0"/>
          <w:sz w:val="32"/>
          <w:szCs w:val="32"/>
        </w:rPr>
        <w:t>。具体情况如下：</w:t>
      </w:r>
    </w:p>
    <w:p w14:paraId="67633947">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1.一般公共预算财政拨款本年收入9,799.37万元,比上年减少107.88万元，降低1.1%，主要原因是；本年支出9,808.37万元，比上年减少98.88万元，降低1.0%，主要原因是</w:t>
      </w:r>
      <w:r>
        <w:rPr>
          <w:rFonts w:hint="eastAsia" w:ascii="Times New Roman" w:eastAsia="仿宋_GB2312"/>
          <w:b w:val="0"/>
          <w:sz w:val="32"/>
          <w:szCs w:val="32"/>
          <w:lang w:eastAsia="zh-CN"/>
        </w:rPr>
        <w:t>基本支出减少</w:t>
      </w:r>
      <w:r>
        <w:rPr>
          <w:rFonts w:ascii="Times New Roman" w:eastAsia="仿宋_GB2312"/>
          <w:b w:val="0"/>
          <w:sz w:val="32"/>
          <w:szCs w:val="32"/>
        </w:rPr>
        <w:t>。</w:t>
      </w:r>
    </w:p>
    <w:p w14:paraId="443153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w:t>
      </w:r>
      <w:r>
        <w:rPr>
          <w:rFonts w:hint="eastAsia" w:ascii="Times New Roman" w:eastAsia="仿宋_GB2312"/>
          <w:b w:val="0"/>
          <w:sz w:val="32"/>
          <w:szCs w:val="32"/>
          <w:lang w:eastAsia="zh-CN"/>
        </w:rPr>
        <w:t>持平</w:t>
      </w:r>
      <w:r>
        <w:rPr>
          <w:rFonts w:ascii="Times New Roman" w:eastAsia="仿宋_GB2312"/>
          <w:b w:val="0"/>
          <w:sz w:val="32"/>
          <w:szCs w:val="32"/>
        </w:rPr>
        <w:t>。</w:t>
      </w:r>
    </w:p>
    <w:p w14:paraId="44038302">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3.国有资本经营预算财政拨款本年收入0.00万元，比上年</w:t>
      </w:r>
      <w:r>
        <w:rPr>
          <w:rFonts w:hint="eastAsia" w:ascii="Times New Roman" w:eastAsia="仿宋_GB2312"/>
          <w:b w:val="0"/>
          <w:sz w:val="32"/>
          <w:szCs w:val="32"/>
          <w:lang w:eastAsia="zh-CN"/>
        </w:rPr>
        <w:t>持平。</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93BC1C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BCC61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9,799.37万元，完成年初预算的105.2%，比年初预算增加484.52万元，决算数大于预算数主要原因是；本年支出9,808.37万元，完成年初预算的105.3%，比年初预算增加493.52万元，决算数大于预算数主要原因是</w:t>
      </w:r>
      <w:r>
        <w:rPr>
          <w:rFonts w:hint="eastAsia" w:ascii="Times New Roman" w:eastAsia="仿宋_GB2312"/>
          <w:b w:val="0"/>
          <w:sz w:val="32"/>
          <w:szCs w:val="32"/>
          <w:lang w:eastAsia="zh-CN"/>
        </w:rPr>
        <w:t>新增项目支出</w:t>
      </w:r>
      <w:r>
        <w:rPr>
          <w:rFonts w:ascii="Times New Roman" w:eastAsia="仿宋_GB2312"/>
          <w:b w:val="0"/>
          <w:sz w:val="32"/>
          <w:szCs w:val="32"/>
        </w:rPr>
        <w:t>。具体情况如下：</w:t>
      </w:r>
    </w:p>
    <w:p w14:paraId="40C302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1.一般公共预算财政拨款本年收入完成年初预算的105.2%，比年初预算增加484.52万元，主要原因是；支出完成年初预算的105.3%，比年初预算增加493.52万元，主要原因是</w:t>
      </w:r>
      <w:r>
        <w:rPr>
          <w:rFonts w:hint="eastAsia" w:ascii="Times New Roman" w:eastAsia="仿宋_GB2312"/>
          <w:b w:val="0"/>
          <w:sz w:val="32"/>
          <w:szCs w:val="32"/>
          <w:lang w:eastAsia="zh-CN"/>
        </w:rPr>
        <w:t>新增项目支出</w:t>
      </w:r>
      <w:r>
        <w:rPr>
          <w:rFonts w:ascii="Times New Roman" w:eastAsia="仿宋_GB2312"/>
          <w:b w:val="0"/>
          <w:sz w:val="32"/>
          <w:szCs w:val="32"/>
        </w:rPr>
        <w:t>。</w:t>
      </w:r>
    </w:p>
    <w:p w14:paraId="6B68D9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w:t>
      </w:r>
      <w:r>
        <w:rPr>
          <w:rFonts w:hint="default" w:ascii="Times New Roman" w:hAnsi="Times New Roman" w:eastAsia="仿宋_GB2312" w:cs="Times New Roman"/>
          <w:kern w:val="2"/>
          <w:sz w:val="32"/>
          <w:szCs w:val="32"/>
          <w:lang w:val="zh-CN" w:eastAsia="zh-CN"/>
        </w:rPr>
        <w:t>比年初预算</w:t>
      </w:r>
      <w:r>
        <w:rPr>
          <w:rFonts w:hint="eastAsia" w:ascii="Times New Roman" w:hAnsi="Times New Roman" w:eastAsia="仿宋_GB2312" w:cs="Times New Roman"/>
          <w:kern w:val="2"/>
          <w:sz w:val="32"/>
          <w:szCs w:val="32"/>
          <w:lang w:val="zh-CN" w:eastAsia="zh-CN"/>
        </w:rPr>
        <w:t>持平</w:t>
      </w:r>
      <w:r>
        <w:rPr>
          <w:rFonts w:ascii="Times New Roman" w:eastAsia="仿宋_GB2312"/>
          <w:b w:val="0"/>
          <w:sz w:val="32"/>
          <w:szCs w:val="32"/>
        </w:rPr>
        <w:t>；支出完成年初预算的0.0%，比年初预算</w:t>
      </w:r>
      <w:r>
        <w:rPr>
          <w:rFonts w:hint="eastAsia" w:ascii="Times New Roman" w:eastAsia="仿宋_GB2312"/>
          <w:b w:val="0"/>
          <w:sz w:val="32"/>
          <w:szCs w:val="32"/>
          <w:lang w:eastAsia="zh-CN"/>
        </w:rPr>
        <w:t>持平</w:t>
      </w:r>
      <w:r>
        <w:rPr>
          <w:rFonts w:ascii="Times New Roman" w:eastAsia="仿宋_GB2312"/>
          <w:b w:val="0"/>
          <w:sz w:val="32"/>
          <w:szCs w:val="32"/>
        </w:rPr>
        <w:t>。</w:t>
      </w:r>
    </w:p>
    <w:p w14:paraId="53CD31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w:t>
      </w:r>
      <w:r>
        <w:rPr>
          <w:rFonts w:hint="eastAsia" w:ascii="Times New Roman" w:eastAsia="仿宋_GB2312"/>
          <w:b w:val="0"/>
          <w:sz w:val="32"/>
          <w:szCs w:val="32"/>
          <w:lang w:eastAsia="zh-CN"/>
        </w:rPr>
        <w:t>持平</w:t>
      </w:r>
      <w:r>
        <w:rPr>
          <w:rFonts w:ascii="Times New Roman" w:eastAsia="仿宋_GB2312"/>
          <w:b w:val="0"/>
          <w:sz w:val="32"/>
          <w:szCs w:val="32"/>
        </w:rPr>
        <w:t>；支出完成年初预算的0.0%，比年初预算</w:t>
      </w:r>
      <w:r>
        <w:rPr>
          <w:rFonts w:hint="eastAsia" w:ascii="Times New Roman" w:eastAsia="仿宋_GB2312"/>
          <w:b w:val="0"/>
          <w:sz w:val="32"/>
          <w:szCs w:val="32"/>
          <w:lang w:eastAsia="zh-CN"/>
        </w:rPr>
        <w:t>持平</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4EB6AC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9E9E1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2024年度财政拨款支出9,808.37万元，主要用于以下方面：</w:t>
      </w:r>
    </w:p>
    <w:p w14:paraId="13C6378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1994E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类）支出0.00万元，占0.0%；教育（类）支出0.00万元，占0.0%；科学技术（类）支出0.00万元，占0.0%；文化旅游体育与传媒（类）支出0.00万元，占0.0%；社会保障和就业（类）支出1,045.43万元，占10.7%，主要用于</w:t>
      </w:r>
      <w:r>
        <w:rPr>
          <w:rFonts w:hint="eastAsia" w:ascii="Times New Roman" w:eastAsia="仿宋_GB2312"/>
          <w:b w:val="0"/>
          <w:sz w:val="32"/>
          <w:szCs w:val="32"/>
          <w:lang w:eastAsia="zh-CN"/>
        </w:rPr>
        <w:t>离退休人员经费、</w:t>
      </w:r>
      <w:r>
        <w:rPr>
          <w:rFonts w:ascii="Times New Roman" w:eastAsia="仿宋_GB2312"/>
          <w:b w:val="0"/>
          <w:sz w:val="32"/>
          <w:szCs w:val="32"/>
        </w:rPr>
        <w:t>职工基本养老保险等人员经费支出；卫生健康（类）支出290.68万元，占3.0%，主要用于</w:t>
      </w:r>
      <w:r>
        <w:rPr>
          <w:rFonts w:hint="eastAsia" w:ascii="Times New Roman" w:eastAsia="仿宋_GB2312"/>
          <w:b w:val="0"/>
          <w:sz w:val="32"/>
          <w:szCs w:val="32"/>
          <w:lang w:eastAsia="zh-CN"/>
        </w:rPr>
        <w:t>职工医疗保险</w:t>
      </w:r>
      <w:r>
        <w:rPr>
          <w:rFonts w:ascii="Times New Roman" w:eastAsia="仿宋_GB2312"/>
          <w:b w:val="0"/>
          <w:sz w:val="32"/>
          <w:szCs w:val="32"/>
        </w:rPr>
        <w:t>等</w:t>
      </w:r>
      <w:r>
        <w:rPr>
          <w:rFonts w:hint="eastAsia" w:ascii="Times New Roman" w:eastAsia="仿宋_GB2312"/>
          <w:b w:val="0"/>
          <w:sz w:val="32"/>
          <w:szCs w:val="32"/>
          <w:lang w:eastAsia="zh-CN"/>
        </w:rPr>
        <w:t>人员经费</w:t>
      </w:r>
      <w:r>
        <w:rPr>
          <w:rFonts w:ascii="Times New Roman" w:eastAsia="仿宋_GB2312"/>
          <w:b w:val="0"/>
          <w:sz w:val="32"/>
          <w:szCs w:val="32"/>
        </w:rPr>
        <w:t>支出；节能环保（类）支出0.00万元，占0.0%；城乡社区（类）支出0.00万元，占0.0%；农林水（类）支出0.00万元，占0.0%；交通运输（类）支出8,125.55万元，占82.8%，主要用于</w:t>
      </w:r>
      <w:r>
        <w:rPr>
          <w:rFonts w:hint="eastAsia" w:ascii="Times New Roman" w:eastAsia="仿宋_GB2312"/>
          <w:b w:val="0"/>
          <w:sz w:val="32"/>
          <w:szCs w:val="32"/>
          <w:lang w:eastAsia="zh-CN"/>
        </w:rPr>
        <w:t>人员工资、日常公用经费以及项目支出</w:t>
      </w:r>
      <w:r>
        <w:rPr>
          <w:rFonts w:ascii="Times New Roman" w:eastAsia="仿宋_GB2312"/>
          <w:b w:val="0"/>
          <w:sz w:val="32"/>
          <w:szCs w:val="32"/>
        </w:rPr>
        <w:t>等支出；资源勘探信息等（类）支出0.00万元，占0.0%；商业服务业等（类）支出0.00万元，占0.0%；金融（类）支出0.00万元，占0.0%；援助其他地区（类）支出0.00万元，占0.0%；自然资源海洋气象等（类）支出0.00万元，占0.0%；住房保障（类）支出346.71万元，占3.5%，主要用于</w:t>
      </w:r>
      <w:r>
        <w:rPr>
          <w:rFonts w:hint="eastAsia" w:ascii="Times New Roman" w:eastAsia="仿宋_GB2312"/>
          <w:b w:val="0"/>
          <w:sz w:val="32"/>
          <w:szCs w:val="32"/>
          <w:lang w:eastAsia="zh-CN"/>
        </w:rPr>
        <w:t>职工住房公积金等人员经费</w:t>
      </w:r>
      <w:r>
        <w:rPr>
          <w:rFonts w:ascii="Times New Roman" w:eastAsia="仿宋_GB2312"/>
          <w:b w:val="0"/>
          <w:sz w:val="32"/>
          <w:szCs w:val="32"/>
        </w:rPr>
        <w:t>支出；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15A8690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6EF27D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类）支出0.00万元，占0.0%；教育（类）支出0.00万元，占0.0%；科学技术（类）支出0.00万元，占0.0%；文化旅游体育与传媒（类）支出0.00万元，占0.0%；社会保障和就业（类）支出0.00万元，占0.0%；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0.00%。</w:t>
      </w:r>
    </w:p>
    <w:p w14:paraId="6CE849D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12C7B9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支出0.00万元，占0.0%；教育（类）支出0.00万元，占0.0%；科学技术（类）支出0.00万元，占0.0%；文化旅游体育与传媒（类）支出0.00万元，占0.0%；社会保障和就业（类）支出0.00万元，占0.0%；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FCB6E6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351EF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2024年度财政拨款基本支出5,154.79万元，其中：</w:t>
      </w:r>
    </w:p>
    <w:p w14:paraId="29E171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人员经费4,756.69万元，主要包括基本工资、津贴补贴、奖金、绩效工资、</w:t>
      </w:r>
      <w:r>
        <w:rPr>
          <w:rFonts w:hint="eastAsia" w:ascii="Times New Roman" w:eastAsia="仿宋_GB2312"/>
          <w:b w:val="0"/>
          <w:sz w:val="32"/>
          <w:szCs w:val="32"/>
          <w:lang w:eastAsia="zh-CN"/>
        </w:rPr>
        <w:t>职工</w:t>
      </w:r>
      <w:r>
        <w:rPr>
          <w:rFonts w:ascii="Times New Roman" w:eastAsia="仿宋_GB2312"/>
          <w:b w:val="0"/>
          <w:sz w:val="32"/>
          <w:szCs w:val="32"/>
        </w:rPr>
        <w:t>基本养老保险缴费、职业年金缴费、职工基本医疗保险缴费、住房公积金、医疗费、其他社会保障缴费、退休费、</w:t>
      </w:r>
      <w:r>
        <w:rPr>
          <w:rFonts w:hint="eastAsia" w:ascii="Times New Roman" w:eastAsia="仿宋_GB2312"/>
          <w:b w:val="0"/>
          <w:sz w:val="32"/>
          <w:szCs w:val="32"/>
          <w:lang w:eastAsia="zh-CN"/>
        </w:rPr>
        <w:t>退职费、</w:t>
      </w:r>
      <w:r>
        <w:rPr>
          <w:rFonts w:ascii="Times New Roman" w:eastAsia="仿宋_GB2312"/>
          <w:b w:val="0"/>
          <w:sz w:val="32"/>
          <w:szCs w:val="32"/>
        </w:rPr>
        <w:t>抚恤金、生活补助、奖励金。</w:t>
      </w:r>
    </w:p>
    <w:p w14:paraId="6F2979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398.10万元，主要包括办公费、印刷费、水费、电费、邮电费、取暖费、差旅费、维修（护）费、租赁费、培训费、委托业务费、工会经费、福利费、公务用车运行维护费、其他交通费用、其他商品和服务支出。</w:t>
      </w:r>
    </w:p>
    <w:p w14:paraId="59EA3EB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020D76A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4D17350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本单位2024年度“三公”经费财政拨款支出预算为161.16万元，支出决算为153.17万元，完成预算的95.0%，较预算减少7.99万元，降低5.0%，主要原因是</w:t>
      </w:r>
      <w:r>
        <w:rPr>
          <w:rFonts w:hint="eastAsia" w:ascii="Times New Roman" w:hAnsi="Times New Roman" w:eastAsia="仿宋_GB2312" w:cs="Times New Roman"/>
          <w:color w:val="auto"/>
          <w:kern w:val="2"/>
          <w:sz w:val="32"/>
          <w:szCs w:val="32"/>
          <w:lang w:val="zh-CN" w:eastAsia="zh-CN" w:bidi="ar-SA"/>
        </w:rPr>
        <w:t>节约公务用车运行维护费资金</w:t>
      </w:r>
      <w:r>
        <w:rPr>
          <w:rFonts w:ascii="Times New Roman" w:eastAsia="仿宋_GB2312"/>
          <w:b w:val="0"/>
          <w:sz w:val="32"/>
          <w:szCs w:val="32"/>
        </w:rPr>
        <w:t>；较2023年度决算增加58.57万元，增长61.9%，主要原因是</w:t>
      </w:r>
      <w:r>
        <w:rPr>
          <w:rFonts w:hint="default" w:ascii="Times New Roman" w:hAnsi="Times New Roman" w:eastAsia="仿宋_GB2312" w:cs="Times New Roman"/>
          <w:color w:val="auto"/>
          <w:kern w:val="2"/>
          <w:sz w:val="32"/>
          <w:szCs w:val="32"/>
          <w:lang w:val="zh-CN" w:eastAsia="zh-CN" w:bidi="ar-SA"/>
        </w:rPr>
        <w:t>公务用车购置</w:t>
      </w:r>
      <w:r>
        <w:rPr>
          <w:rFonts w:hint="eastAsia" w:ascii="Times New Roman" w:hAnsi="Times New Roman" w:eastAsia="仿宋_GB2312" w:cs="Times New Roman"/>
          <w:color w:val="auto"/>
          <w:kern w:val="2"/>
          <w:sz w:val="32"/>
          <w:szCs w:val="32"/>
          <w:lang w:val="zh-CN" w:eastAsia="zh-CN" w:bidi="ar-SA"/>
        </w:rPr>
        <w:t>经费</w:t>
      </w:r>
      <w:r>
        <w:rPr>
          <w:rFonts w:hint="default" w:ascii="Times New Roman" w:hAnsi="Times New Roman" w:eastAsia="仿宋_GB2312" w:cs="Times New Roman"/>
          <w:color w:val="auto"/>
          <w:kern w:val="2"/>
          <w:sz w:val="32"/>
          <w:szCs w:val="32"/>
          <w:lang w:val="en-US" w:eastAsia="zh-CN" w:bidi="ar-SA"/>
        </w:rPr>
        <w:t>支出</w:t>
      </w:r>
      <w:r>
        <w:rPr>
          <w:rFonts w:hint="eastAsia" w:ascii="Times New Roman" w:hAnsi="Times New Roman" w:eastAsia="仿宋_GB2312" w:cs="Times New Roman"/>
          <w:color w:val="auto"/>
          <w:kern w:val="2"/>
          <w:sz w:val="32"/>
          <w:szCs w:val="32"/>
          <w:lang w:val="en-US" w:eastAsia="zh-CN" w:bidi="ar-SA"/>
        </w:rPr>
        <w:t>增加</w:t>
      </w:r>
      <w:r>
        <w:rPr>
          <w:rFonts w:hint="eastAsia" w:ascii="Times New Roman" w:hAnsi="Times New Roman" w:eastAsia="仿宋_GB2312" w:cs="Times New Roman"/>
          <w:color w:val="auto"/>
          <w:kern w:val="2"/>
          <w:sz w:val="32"/>
          <w:szCs w:val="32"/>
          <w:lang w:val="zh-CN" w:eastAsia="zh-CN" w:bidi="ar-SA"/>
        </w:rPr>
        <w:t>，公务用车运行维护费支出增加</w:t>
      </w:r>
      <w:r>
        <w:rPr>
          <w:rFonts w:ascii="Times New Roman" w:eastAsia="仿宋_GB2312"/>
          <w:b w:val="0"/>
          <w:sz w:val="32"/>
          <w:szCs w:val="32"/>
        </w:rPr>
        <w:t>。</w:t>
      </w:r>
    </w:p>
    <w:p w14:paraId="28B3348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FBB4BA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right="0" w:firstLine="643" w:firstLineChars="200"/>
        <w:jc w:val="left"/>
        <w:textAlignment w:val="auto"/>
        <w:rPr>
          <w:rFonts w:hint="default" w:ascii="Times New Roman" w:hAnsi="Times New Roman" w:eastAsia="仿宋_GB2312" w:cs="Times New Roman"/>
          <w:color w:val="auto"/>
          <w:kern w:val="2"/>
          <w:sz w:val="32"/>
          <w:szCs w:val="32"/>
          <w:lang w:val="en-US" w:eastAsia="zh-CN" w:bidi="ar-SA"/>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w:t>
      </w:r>
      <w:r>
        <w:rPr>
          <w:rFonts w:hint="eastAsia" w:ascii="Times New Roman" w:eastAsia="仿宋_GB2312"/>
          <w:b w:val="0"/>
          <w:sz w:val="32"/>
          <w:szCs w:val="32"/>
          <w:lang w:eastAsia="zh-CN"/>
        </w:rPr>
        <w:t>持平</w:t>
      </w:r>
      <w:r>
        <w:rPr>
          <w:rFonts w:ascii="Times New Roman" w:eastAsia="仿宋_GB2312"/>
          <w:b w:val="0"/>
          <w:sz w:val="32"/>
          <w:szCs w:val="32"/>
        </w:rPr>
        <w:t>，</w:t>
      </w:r>
      <w:r>
        <w:rPr>
          <w:rFonts w:hint="eastAsia" w:ascii="Times New Roman" w:hAnsi="Times New Roman" w:eastAsia="仿宋_GB2312" w:cs="Times New Roman"/>
          <w:color w:val="auto"/>
          <w:kern w:val="2"/>
          <w:sz w:val="32"/>
          <w:szCs w:val="32"/>
          <w:lang w:val="zh-CN" w:eastAsia="zh-CN" w:bidi="ar-SA"/>
        </w:rPr>
        <w:t>未发生</w:t>
      </w:r>
      <w:r>
        <w:rPr>
          <w:rFonts w:hint="default" w:ascii="Times New Roman" w:hAnsi="Times New Roman" w:eastAsia="仿宋_GB2312" w:cs="Times New Roman"/>
          <w:color w:val="auto"/>
          <w:kern w:val="2"/>
          <w:sz w:val="32"/>
          <w:szCs w:val="32"/>
          <w:lang w:val="en-US" w:eastAsia="zh-CN" w:bidi="ar-SA"/>
        </w:rPr>
        <w:t>因公出国（境）费支出。</w:t>
      </w:r>
    </w:p>
    <w:p w14:paraId="3CCFF48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本单位2024年度公务用车购置及运行维护费预算为160.16万元，支出决算153.17万元，完成预算的95.6%,较预算减少6.99万元，降低4.4%,主要原因是</w:t>
      </w:r>
      <w:r>
        <w:rPr>
          <w:rFonts w:hint="eastAsia" w:ascii="Times New Roman" w:hAnsi="Times New Roman" w:eastAsia="仿宋_GB2312" w:cs="Times New Roman"/>
          <w:color w:val="auto"/>
          <w:kern w:val="2"/>
          <w:sz w:val="32"/>
          <w:szCs w:val="32"/>
          <w:lang w:val="zh-CN" w:eastAsia="zh-CN" w:bidi="ar-SA"/>
        </w:rPr>
        <w:t>节约公务用车运行维护费资金</w:t>
      </w:r>
      <w:r>
        <w:rPr>
          <w:rFonts w:ascii="Times New Roman" w:eastAsia="仿宋_GB2312"/>
          <w:b w:val="0"/>
          <w:sz w:val="32"/>
          <w:szCs w:val="32"/>
        </w:rPr>
        <w:t>；较上年增加58.57万元，增长61.9%,主要原因是</w:t>
      </w:r>
      <w:r>
        <w:rPr>
          <w:rFonts w:hint="default" w:ascii="Times New Roman" w:hAnsi="Times New Roman" w:eastAsia="仿宋_GB2312" w:cs="Times New Roman"/>
          <w:color w:val="auto"/>
          <w:kern w:val="2"/>
          <w:sz w:val="32"/>
          <w:szCs w:val="32"/>
          <w:lang w:val="zh-CN" w:eastAsia="zh-CN" w:bidi="ar-SA"/>
        </w:rPr>
        <w:t>公务用车购置</w:t>
      </w:r>
      <w:r>
        <w:rPr>
          <w:rFonts w:hint="eastAsia" w:ascii="Times New Roman" w:hAnsi="Times New Roman" w:eastAsia="仿宋_GB2312" w:cs="Times New Roman"/>
          <w:color w:val="auto"/>
          <w:kern w:val="2"/>
          <w:sz w:val="32"/>
          <w:szCs w:val="32"/>
          <w:lang w:val="zh-CN" w:eastAsia="zh-CN" w:bidi="ar-SA"/>
        </w:rPr>
        <w:t>经费</w:t>
      </w:r>
      <w:r>
        <w:rPr>
          <w:rFonts w:hint="default" w:ascii="Times New Roman" w:hAnsi="Times New Roman" w:eastAsia="仿宋_GB2312" w:cs="Times New Roman"/>
          <w:color w:val="auto"/>
          <w:kern w:val="2"/>
          <w:sz w:val="32"/>
          <w:szCs w:val="32"/>
          <w:lang w:val="en-US" w:eastAsia="zh-CN" w:bidi="ar-SA"/>
        </w:rPr>
        <w:t>支出</w:t>
      </w:r>
      <w:r>
        <w:rPr>
          <w:rFonts w:hint="eastAsia" w:ascii="Times New Roman" w:hAnsi="Times New Roman" w:eastAsia="仿宋_GB2312" w:cs="Times New Roman"/>
          <w:color w:val="auto"/>
          <w:kern w:val="2"/>
          <w:sz w:val="32"/>
          <w:szCs w:val="32"/>
          <w:lang w:val="en-US" w:eastAsia="zh-CN" w:bidi="ar-SA"/>
        </w:rPr>
        <w:t>增加</w:t>
      </w:r>
      <w:r>
        <w:rPr>
          <w:rFonts w:hint="eastAsia" w:ascii="Times New Roman" w:hAnsi="Times New Roman" w:eastAsia="仿宋_GB2312" w:cs="Times New Roman"/>
          <w:color w:val="auto"/>
          <w:kern w:val="2"/>
          <w:sz w:val="32"/>
          <w:szCs w:val="32"/>
          <w:lang w:val="zh-CN" w:eastAsia="zh-CN" w:bidi="ar-SA"/>
        </w:rPr>
        <w:t>，公务用车运行维护费支出增加</w:t>
      </w:r>
      <w:r>
        <w:rPr>
          <w:rFonts w:ascii="Times New Roman" w:eastAsia="仿宋_GB2312"/>
          <w:b w:val="0"/>
          <w:sz w:val="32"/>
          <w:szCs w:val="32"/>
        </w:rPr>
        <w:t>。其中：</w:t>
      </w:r>
    </w:p>
    <w:p w14:paraId="677352A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公务用车购置费支出37.52万元：</w:t>
      </w:r>
      <w:r>
        <w:rPr>
          <w:rFonts w:ascii="Times New Roman" w:eastAsia="仿宋_GB2312"/>
          <w:b w:val="0"/>
          <w:sz w:val="32"/>
          <w:szCs w:val="32"/>
        </w:rPr>
        <w:t>本单位2024年度公务用车购置量3辆，发生“公务用车购置”经费支出37.52万元。公务用车购置费支出较预算</w:t>
      </w:r>
      <w:r>
        <w:rPr>
          <w:rFonts w:hint="eastAsia" w:ascii="Times New Roman" w:eastAsia="仿宋_GB2312"/>
          <w:b w:val="0"/>
          <w:sz w:val="32"/>
          <w:szCs w:val="32"/>
          <w:lang w:eastAsia="zh-CN"/>
        </w:rPr>
        <w:t>持平</w:t>
      </w:r>
      <w:r>
        <w:rPr>
          <w:rFonts w:ascii="Times New Roman" w:eastAsia="仿宋_GB2312"/>
          <w:b w:val="0"/>
          <w:sz w:val="32"/>
          <w:szCs w:val="32"/>
        </w:rPr>
        <w:t>；较上年增加29.94万元，增长395.0%,主要原因是</w:t>
      </w:r>
      <w:r>
        <w:rPr>
          <w:rFonts w:hint="default" w:ascii="Times New Roman" w:hAnsi="Times New Roman" w:eastAsia="仿宋_GB2312" w:cs="Times New Roman"/>
          <w:color w:val="auto"/>
          <w:kern w:val="2"/>
          <w:sz w:val="32"/>
          <w:szCs w:val="32"/>
          <w:lang w:val="zh-CN" w:eastAsia="zh-CN" w:bidi="ar-SA"/>
        </w:rPr>
        <w:t>公务用车购置</w:t>
      </w:r>
      <w:r>
        <w:rPr>
          <w:rFonts w:hint="eastAsia" w:ascii="Times New Roman" w:hAnsi="Times New Roman" w:eastAsia="仿宋_GB2312" w:cs="Times New Roman"/>
          <w:color w:val="auto"/>
          <w:kern w:val="2"/>
          <w:sz w:val="32"/>
          <w:szCs w:val="32"/>
          <w:lang w:val="zh-CN" w:eastAsia="zh-CN" w:bidi="ar-SA"/>
        </w:rPr>
        <w:t>经费</w:t>
      </w:r>
      <w:r>
        <w:rPr>
          <w:rFonts w:hint="default" w:ascii="Times New Roman" w:hAnsi="Times New Roman" w:eastAsia="仿宋_GB2312" w:cs="Times New Roman"/>
          <w:color w:val="auto"/>
          <w:kern w:val="2"/>
          <w:sz w:val="32"/>
          <w:szCs w:val="32"/>
          <w:lang w:val="en-US" w:eastAsia="zh-CN" w:bidi="ar-SA"/>
        </w:rPr>
        <w:t>支出</w:t>
      </w:r>
      <w:r>
        <w:rPr>
          <w:rFonts w:hint="eastAsia" w:ascii="Times New Roman" w:hAnsi="Times New Roman" w:eastAsia="仿宋_GB2312" w:cs="Times New Roman"/>
          <w:color w:val="auto"/>
          <w:kern w:val="2"/>
          <w:sz w:val="32"/>
          <w:szCs w:val="32"/>
          <w:lang w:val="zh-CN" w:eastAsia="zh-CN" w:bidi="ar-SA"/>
        </w:rPr>
        <w:t>增加</w:t>
      </w:r>
      <w:r>
        <w:rPr>
          <w:rFonts w:ascii="Times New Roman" w:eastAsia="仿宋_GB2312"/>
          <w:b w:val="0"/>
          <w:sz w:val="32"/>
          <w:szCs w:val="32"/>
        </w:rPr>
        <w:t>。</w:t>
      </w:r>
    </w:p>
    <w:p w14:paraId="00164C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公务用车运行维护费支出115.65万元：</w:t>
      </w:r>
      <w:r>
        <w:rPr>
          <w:rFonts w:ascii="Times New Roman" w:eastAsia="仿宋_GB2312"/>
          <w:b w:val="0"/>
          <w:sz w:val="32"/>
          <w:szCs w:val="32"/>
        </w:rPr>
        <w:t>本单位2024年度单位公务用车保有量52辆，发生运行维护费支出115.65万元。公车运行维护费支出较预算减少6.99万元，降低5.7%,主要原因是</w:t>
      </w:r>
      <w:r>
        <w:rPr>
          <w:rFonts w:hint="eastAsia" w:ascii="Times New Roman" w:hAnsi="Times New Roman" w:eastAsia="仿宋_GB2312" w:cs="Times New Roman"/>
          <w:color w:val="auto"/>
          <w:kern w:val="2"/>
          <w:sz w:val="32"/>
          <w:szCs w:val="32"/>
          <w:lang w:val="zh-CN" w:eastAsia="zh-CN" w:bidi="ar-SA"/>
        </w:rPr>
        <w:t>节约公务用车运行维护费资金</w:t>
      </w:r>
      <w:r>
        <w:rPr>
          <w:rFonts w:ascii="Times New Roman" w:eastAsia="仿宋_GB2312"/>
          <w:b w:val="0"/>
          <w:sz w:val="32"/>
          <w:szCs w:val="32"/>
        </w:rPr>
        <w:t>；较上年增加28.63万元，增长32.9%，主要原因是</w:t>
      </w:r>
      <w:r>
        <w:rPr>
          <w:rFonts w:hint="default" w:ascii="Times New Roman" w:hAnsi="Times New Roman" w:eastAsia="仿宋_GB2312" w:cs="Times New Roman"/>
          <w:color w:val="auto"/>
          <w:kern w:val="2"/>
          <w:sz w:val="32"/>
          <w:szCs w:val="32"/>
          <w:lang w:val="zh-CN" w:eastAsia="zh-CN" w:bidi="ar-SA"/>
        </w:rPr>
        <w:t>公务用车购置</w:t>
      </w:r>
      <w:r>
        <w:rPr>
          <w:rFonts w:hint="eastAsia" w:ascii="Times New Roman" w:hAnsi="Times New Roman" w:eastAsia="仿宋_GB2312" w:cs="Times New Roman"/>
          <w:color w:val="auto"/>
          <w:kern w:val="2"/>
          <w:sz w:val="32"/>
          <w:szCs w:val="32"/>
          <w:lang w:val="zh-CN" w:eastAsia="zh-CN" w:bidi="ar-SA"/>
        </w:rPr>
        <w:t>经费</w:t>
      </w:r>
      <w:r>
        <w:rPr>
          <w:rFonts w:hint="default" w:ascii="Times New Roman" w:hAnsi="Times New Roman" w:eastAsia="仿宋_GB2312" w:cs="Times New Roman"/>
          <w:color w:val="auto"/>
          <w:kern w:val="2"/>
          <w:sz w:val="32"/>
          <w:szCs w:val="32"/>
          <w:lang w:val="en-US" w:eastAsia="zh-CN" w:bidi="ar-SA"/>
        </w:rPr>
        <w:t>支出</w:t>
      </w:r>
      <w:r>
        <w:rPr>
          <w:rFonts w:hint="eastAsia" w:ascii="Times New Roman" w:hAnsi="Times New Roman" w:eastAsia="仿宋_GB2312" w:cs="Times New Roman"/>
          <w:color w:val="auto"/>
          <w:kern w:val="2"/>
          <w:sz w:val="32"/>
          <w:szCs w:val="32"/>
          <w:lang w:val="en-US" w:eastAsia="zh-CN" w:bidi="ar-SA"/>
        </w:rPr>
        <w:t>增加</w:t>
      </w:r>
      <w:r>
        <w:rPr>
          <w:rFonts w:hint="eastAsia" w:ascii="Times New Roman" w:hAnsi="Times New Roman" w:eastAsia="仿宋_GB2312" w:cs="Times New Roman"/>
          <w:color w:val="auto"/>
          <w:kern w:val="2"/>
          <w:sz w:val="32"/>
          <w:szCs w:val="32"/>
          <w:lang w:val="zh-CN" w:eastAsia="zh-CN" w:bidi="ar-SA"/>
        </w:rPr>
        <w:t>，公务用车运行维护费支出增加</w:t>
      </w:r>
      <w:r>
        <w:rPr>
          <w:rFonts w:ascii="Times New Roman" w:eastAsia="仿宋_GB2312"/>
          <w:b w:val="0"/>
          <w:sz w:val="32"/>
          <w:szCs w:val="32"/>
        </w:rPr>
        <w:t>。</w:t>
      </w:r>
    </w:p>
    <w:p w14:paraId="0A9E8D4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本单位2024年度公务接待费支出预算为1.00万元，支出决算0.00万元，完成预算的0.0%。公务接待费支出较预算减少1.00万元，降低100.0%,主要原因是</w:t>
      </w:r>
      <w:r>
        <w:rPr>
          <w:rFonts w:hint="eastAsia" w:ascii="Times New Roman" w:hAnsi="Times New Roman" w:eastAsia="仿宋_GB2312" w:cs="Times New Roman"/>
          <w:color w:val="auto"/>
          <w:kern w:val="2"/>
          <w:sz w:val="32"/>
          <w:szCs w:val="32"/>
          <w:lang w:val="zh-CN" w:eastAsia="zh-CN" w:bidi="ar-SA"/>
        </w:rPr>
        <w:t>无公务接待费用支出</w:t>
      </w:r>
      <w:r>
        <w:rPr>
          <w:rFonts w:ascii="Times New Roman" w:eastAsia="仿宋_GB2312"/>
          <w:b w:val="0"/>
          <w:sz w:val="32"/>
          <w:szCs w:val="32"/>
        </w:rPr>
        <w:t>；较上年度</w:t>
      </w:r>
      <w:r>
        <w:rPr>
          <w:rFonts w:hint="eastAsia" w:ascii="Times New Roman" w:eastAsia="仿宋_GB2312"/>
          <w:b w:val="0"/>
          <w:sz w:val="32"/>
          <w:szCs w:val="32"/>
          <w:lang w:eastAsia="zh-CN"/>
        </w:rPr>
        <w:t>持平</w:t>
      </w:r>
      <w:r>
        <w:rPr>
          <w:rFonts w:ascii="Times New Roman" w:eastAsia="仿宋_GB2312"/>
          <w:b w:val="0"/>
          <w:sz w:val="32"/>
          <w:szCs w:val="32"/>
        </w:rPr>
        <w:t>。</w:t>
      </w:r>
    </w:p>
    <w:p w14:paraId="0B995EC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104071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w:t>
      </w:r>
      <w:r>
        <w:rPr>
          <w:rFonts w:hint="eastAsia" w:ascii="Times New Roman" w:eastAsia="仿宋_GB2312"/>
          <w:b w:val="0"/>
          <w:sz w:val="32"/>
          <w:szCs w:val="32"/>
          <w:lang w:val="en-US" w:eastAsia="zh-CN"/>
        </w:rPr>
        <w:t>398.10</w:t>
      </w:r>
      <w:r>
        <w:rPr>
          <w:rFonts w:ascii="Times New Roman" w:eastAsia="仿宋_GB2312"/>
          <w:b w:val="0"/>
          <w:sz w:val="32"/>
          <w:szCs w:val="32"/>
        </w:rPr>
        <w:t>万元，较2023年度</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15.76</w:t>
      </w:r>
      <w:r>
        <w:rPr>
          <w:rFonts w:ascii="Times New Roman" w:eastAsia="仿宋_GB2312"/>
          <w:b w:val="0"/>
          <w:sz w:val="32"/>
          <w:szCs w:val="32"/>
        </w:rPr>
        <w:t>元，</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4.13</w:t>
      </w:r>
      <w:r>
        <w:rPr>
          <w:rFonts w:ascii="Times New Roman" w:eastAsia="仿宋_GB2312"/>
          <w:b w:val="0"/>
          <w:sz w:val="32"/>
          <w:szCs w:val="32"/>
        </w:rPr>
        <w:t>%。主要原因</w:t>
      </w:r>
      <w:r>
        <w:rPr>
          <w:rFonts w:hint="default" w:ascii="Times New Roman" w:hAnsi="Times New Roman" w:eastAsia="仿宋_GB2312" w:cs="Times New Roman"/>
          <w:color w:val="auto"/>
          <w:kern w:val="2"/>
          <w:sz w:val="32"/>
          <w:szCs w:val="32"/>
          <w:lang w:val="zh-CN" w:eastAsia="zh-CN" w:bidi="ar-SA"/>
        </w:rPr>
        <w:t>是</w:t>
      </w:r>
      <w:r>
        <w:rPr>
          <w:rFonts w:hint="eastAsia" w:ascii="Times New Roman" w:hAnsi="Times New Roman" w:eastAsia="仿宋_GB2312" w:cs="Times New Roman"/>
          <w:color w:val="auto"/>
          <w:kern w:val="2"/>
          <w:sz w:val="32"/>
          <w:szCs w:val="32"/>
          <w:lang w:val="zh-CN" w:eastAsia="zh-CN" w:bidi="ar-SA"/>
        </w:rPr>
        <w:t>办公费、公务用车运行维护费等支出减少</w:t>
      </w:r>
      <w:r>
        <w:rPr>
          <w:rFonts w:ascii="Times New Roman" w:eastAsia="仿宋_GB2312"/>
          <w:b w:val="0"/>
          <w:sz w:val="32"/>
          <w:szCs w:val="32"/>
        </w:rPr>
        <w:t>。</w:t>
      </w:r>
    </w:p>
    <w:p w14:paraId="51D37B1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55AEB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405.94万元，从采购类型来看，政府采购货物支出153.55万元、政府采购工程支出0.00万元、政府采购服务支出252.39万元。授予中小企业合同金额402.87万元，占政府采购支出总额的99.2%，其中授予小微企业合同金额341.85万元，占政府采购支出总额的84.2%。</w:t>
      </w:r>
    </w:p>
    <w:p w14:paraId="3B81B87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10AA72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截至2024年12月31日，本单位共有车辆52辆，比上年减少3辆，主要是</w:t>
      </w:r>
      <w:r>
        <w:rPr>
          <w:rFonts w:hint="eastAsia" w:ascii="Times New Roman" w:eastAsia="仿宋_GB2312"/>
          <w:b w:val="0"/>
          <w:sz w:val="32"/>
          <w:szCs w:val="32"/>
          <w:lang w:val="en-US" w:eastAsia="zh-CN"/>
        </w:rPr>
        <w:t>核销车辆</w:t>
      </w:r>
      <w:r>
        <w:rPr>
          <w:rFonts w:ascii="Times New Roman" w:eastAsia="仿宋_GB2312"/>
          <w:b w:val="0"/>
          <w:sz w:val="32"/>
          <w:szCs w:val="32"/>
        </w:rPr>
        <w:t>。其中，副部（省）级及以上领导用车0辆，主要负责人用车0辆，机要通信用车1辆，应急保障用车1辆，执法执勤用车46辆，特种专业技术用车0辆，离退休干部用车0辆，其他用车4辆，其他用车主要是。单位价值100万元（含）以上设备（不含车辆）0台（套）。</w:t>
      </w:r>
    </w:p>
    <w:p w14:paraId="180EF5F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04AD25B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F5E07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4687.55</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25</w:t>
      </w:r>
      <w:r>
        <w:rPr>
          <w:rFonts w:ascii="Times New Roman" w:eastAsia="仿宋_GB2312"/>
          <w:b w:val="0"/>
          <w:sz w:val="32"/>
          <w:szCs w:val="32"/>
        </w:rPr>
        <w:t>个，涉及资金</w:t>
      </w:r>
      <w:r>
        <w:rPr>
          <w:rFonts w:hint="eastAsia" w:ascii="Times New Roman" w:eastAsia="仿宋_GB2312"/>
          <w:b w:val="0"/>
          <w:sz w:val="32"/>
          <w:szCs w:val="32"/>
          <w:lang w:val="en-US" w:eastAsia="zh-CN"/>
        </w:rPr>
        <w:t>4687.55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2E44157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33FD98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本单位组织自评的 </w:t>
      </w:r>
      <w:r>
        <w:rPr>
          <w:rFonts w:hint="eastAsia" w:ascii="Times New Roman" w:eastAsia="仿宋_GB2312"/>
          <w:b w:val="0"/>
          <w:sz w:val="32"/>
          <w:szCs w:val="32"/>
          <w:lang w:val="en-US" w:eastAsia="zh-CN"/>
        </w:rPr>
        <w:t>25</w:t>
      </w:r>
      <w:r>
        <w:rPr>
          <w:rFonts w:ascii="Times New Roman" w:eastAsia="仿宋_GB2312"/>
          <w:b w:val="0"/>
          <w:sz w:val="32"/>
          <w:szCs w:val="32"/>
        </w:rPr>
        <w:t xml:space="preserve">个本级预算项目中，自评得分 </w:t>
      </w:r>
      <w:r>
        <w:rPr>
          <w:rFonts w:hint="default" w:ascii="Times New Roman" w:eastAsia="仿宋_GB2312"/>
          <w:b w:val="0"/>
          <w:sz w:val="32"/>
          <w:szCs w:val="32"/>
        </w:rPr>
        <w:t xml:space="preserve">100 </w:t>
      </w:r>
      <w:r>
        <w:rPr>
          <w:rFonts w:ascii="Times New Roman" w:eastAsia="仿宋_GB2312"/>
          <w:b w:val="0"/>
          <w:sz w:val="32"/>
          <w:szCs w:val="32"/>
        </w:rPr>
        <w:t xml:space="preserve">分 的 </w:t>
      </w:r>
      <w:r>
        <w:rPr>
          <w:rFonts w:hint="eastAsia" w:ascii="Times New Roman" w:eastAsia="仿宋_GB2312"/>
          <w:b w:val="0"/>
          <w:sz w:val="32"/>
          <w:szCs w:val="32"/>
          <w:lang w:val="en-US" w:eastAsia="zh-CN"/>
        </w:rPr>
        <w:t>24</w:t>
      </w:r>
      <w:r>
        <w:rPr>
          <w:rFonts w:hint="default" w:ascii="Times New Roman" w:eastAsia="仿宋_GB2312"/>
          <w:b w:val="0"/>
          <w:sz w:val="32"/>
          <w:szCs w:val="32"/>
        </w:rPr>
        <w:t xml:space="preserve"> </w:t>
      </w:r>
      <w:r>
        <w:rPr>
          <w:rFonts w:ascii="Times New Roman" w:eastAsia="仿宋_GB2312"/>
          <w:b w:val="0"/>
          <w:sz w:val="32"/>
          <w:szCs w:val="32"/>
        </w:rPr>
        <w:t>个，</w:t>
      </w:r>
      <w:r>
        <w:rPr>
          <w:rFonts w:hint="default" w:ascii="Times New Roman" w:eastAsia="仿宋_GB2312"/>
          <w:b w:val="0"/>
          <w:sz w:val="32"/>
          <w:szCs w:val="32"/>
        </w:rPr>
        <w:t xml:space="preserve">90 </w:t>
      </w:r>
      <w:r>
        <w:rPr>
          <w:rFonts w:ascii="Times New Roman" w:eastAsia="仿宋_GB2312"/>
          <w:b w:val="0"/>
          <w:sz w:val="32"/>
          <w:szCs w:val="32"/>
        </w:rPr>
        <w:t>分以上的</w:t>
      </w:r>
      <w:r>
        <w:rPr>
          <w:rFonts w:hint="eastAsia" w:ascii="Times New Roman" w:eastAsia="仿宋_GB2312"/>
          <w:b w:val="0"/>
          <w:sz w:val="32"/>
          <w:szCs w:val="32"/>
          <w:lang w:val="en-US" w:eastAsia="zh-CN"/>
        </w:rPr>
        <w:t>1</w:t>
      </w:r>
      <w:r>
        <w:rPr>
          <w:rFonts w:hint="default" w:ascii="Times New Roman" w:eastAsia="仿宋_GB2312"/>
          <w:b w:val="0"/>
          <w:sz w:val="32"/>
          <w:szCs w:val="32"/>
        </w:rPr>
        <w:t xml:space="preserve"> </w:t>
      </w:r>
      <w:r>
        <w:rPr>
          <w:rFonts w:ascii="Times New Roman" w:eastAsia="仿宋_GB2312"/>
          <w:b w:val="0"/>
          <w:sz w:val="32"/>
          <w:szCs w:val="32"/>
        </w:rPr>
        <w:t>个，</w:t>
      </w:r>
      <w:r>
        <w:rPr>
          <w:rFonts w:hint="default" w:ascii="Times New Roman" w:eastAsia="仿宋_GB2312"/>
          <w:b w:val="0"/>
          <w:sz w:val="32"/>
          <w:szCs w:val="32"/>
        </w:rPr>
        <w:t xml:space="preserve">90 </w:t>
      </w:r>
      <w:r>
        <w:rPr>
          <w:rFonts w:ascii="Times New Roman" w:eastAsia="仿宋_GB2312"/>
          <w:b w:val="0"/>
          <w:sz w:val="32"/>
          <w:szCs w:val="32"/>
        </w:rPr>
        <w:t xml:space="preserve">分以下的 </w:t>
      </w:r>
      <w:r>
        <w:rPr>
          <w:rFonts w:hint="default" w:ascii="Times New Roman" w:eastAsia="仿宋_GB2312"/>
          <w:b w:val="0"/>
          <w:sz w:val="32"/>
          <w:szCs w:val="32"/>
        </w:rPr>
        <w:t xml:space="preserve">0 </w:t>
      </w:r>
      <w:r>
        <w:rPr>
          <w:rFonts w:ascii="Times New Roman" w:eastAsia="仿宋_GB2312"/>
          <w:b w:val="0"/>
          <w:sz w:val="32"/>
          <w:szCs w:val="32"/>
        </w:rPr>
        <w:t xml:space="preserve">个，平均得分 </w:t>
      </w:r>
      <w:r>
        <w:rPr>
          <w:rFonts w:hint="default" w:ascii="Times New Roman" w:eastAsia="仿宋_GB2312"/>
          <w:b w:val="0"/>
          <w:sz w:val="32"/>
          <w:szCs w:val="32"/>
        </w:rPr>
        <w:t>99.</w:t>
      </w:r>
      <w:r>
        <w:rPr>
          <w:rFonts w:hint="eastAsia" w:ascii="Times New Roman" w:eastAsia="仿宋_GB2312"/>
          <w:b w:val="0"/>
          <w:sz w:val="32"/>
          <w:szCs w:val="32"/>
          <w:lang w:val="en-US" w:eastAsia="zh-CN"/>
        </w:rPr>
        <w:t>99</w:t>
      </w:r>
      <w:r>
        <w:rPr>
          <w:rFonts w:ascii="Times New Roman" w:eastAsia="仿宋_GB2312"/>
          <w:b w:val="0"/>
          <w:sz w:val="32"/>
          <w:szCs w:val="32"/>
        </w:rPr>
        <w:t xml:space="preserve"> 分。本单位在今年决算公开中反映</w:t>
      </w:r>
      <w:r>
        <w:rPr>
          <w:rFonts w:hint="eastAsia" w:ascii="Times New Roman" w:eastAsia="仿宋_GB2312"/>
          <w:b w:val="0"/>
          <w:sz w:val="32"/>
          <w:szCs w:val="32"/>
          <w:lang w:eastAsia="zh-CN"/>
        </w:rPr>
        <w:t>办公设备购置</w:t>
      </w:r>
      <w:r>
        <w:rPr>
          <w:rFonts w:ascii="Times New Roman" w:eastAsia="仿宋_GB2312"/>
          <w:b w:val="0"/>
          <w:sz w:val="32"/>
          <w:szCs w:val="32"/>
        </w:rPr>
        <w:t>及</w:t>
      </w:r>
      <w:r>
        <w:rPr>
          <w:rFonts w:hint="eastAsia" w:ascii="仿宋" w:hAnsi="仿宋" w:eastAsia="仿宋"/>
          <w:color w:val="auto"/>
          <w:sz w:val="32"/>
          <w:szCs w:val="32"/>
          <w:lang w:eastAsia="zh-CN"/>
        </w:rPr>
        <w:t>城市交通发展奖励资金</w:t>
      </w:r>
      <w:r>
        <w:rPr>
          <w:rFonts w:ascii="Times New Roman" w:eastAsia="仿宋_GB2312"/>
          <w:b w:val="0"/>
          <w:sz w:val="32"/>
          <w:szCs w:val="32"/>
        </w:rPr>
        <w:t xml:space="preserve">等 </w:t>
      </w:r>
      <w:r>
        <w:rPr>
          <w:rFonts w:hint="default" w:ascii="Times New Roman" w:eastAsia="仿宋_GB2312"/>
          <w:b w:val="0"/>
          <w:sz w:val="32"/>
          <w:szCs w:val="32"/>
        </w:rPr>
        <w:t xml:space="preserve">10 </w:t>
      </w:r>
      <w:r>
        <w:rPr>
          <w:rFonts w:ascii="Times New Roman" w:eastAsia="仿宋_GB2312"/>
          <w:b w:val="0"/>
          <w:sz w:val="32"/>
          <w:szCs w:val="32"/>
        </w:rPr>
        <w:t>个项目绩效自评结果。</w:t>
      </w:r>
    </w:p>
    <w:p w14:paraId="398A8E51">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r>
        <w:rPr>
          <w:rFonts w:hint="eastAsia" w:ascii="Times New Roman" w:eastAsia="仿宋_GB2312"/>
          <w:b w:val="0"/>
          <w:sz w:val="32"/>
          <w:szCs w:val="32"/>
          <w:lang w:eastAsia="zh-CN"/>
        </w:rPr>
        <w:t>办公设备购置</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56</w:t>
      </w:r>
      <w:r>
        <w:rPr>
          <w:rFonts w:ascii="Times New Roman" w:eastAsia="仿宋_GB2312"/>
          <w:b w:val="0"/>
          <w:sz w:val="32"/>
          <w:szCs w:val="32"/>
        </w:rPr>
        <w:t>万元，执行数为</w:t>
      </w:r>
      <w:r>
        <w:rPr>
          <w:rFonts w:hint="eastAsia" w:ascii="Times New Roman" w:eastAsia="仿宋_GB2312"/>
          <w:b w:val="0"/>
          <w:sz w:val="32"/>
          <w:szCs w:val="32"/>
          <w:lang w:val="en-US" w:eastAsia="zh-CN"/>
        </w:rPr>
        <w:t>55.265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仿宋" w:hAnsi="仿宋" w:eastAsia="仿宋" w:cs="仿宋"/>
          <w:sz w:val="32"/>
          <w:szCs w:val="32"/>
          <w:lang w:val="en-US" w:eastAsia="zh-CN"/>
        </w:rPr>
        <w:t>通过项目实施，</w:t>
      </w:r>
      <w:r>
        <w:rPr>
          <w:rFonts w:hint="eastAsia" w:ascii="仿宋" w:hAnsi="仿宋" w:eastAsia="仿宋" w:cs="仿宋"/>
          <w:sz w:val="32"/>
          <w:szCs w:val="32"/>
        </w:rPr>
        <w:t>提高</w:t>
      </w:r>
      <w:r>
        <w:rPr>
          <w:rFonts w:hint="eastAsia" w:ascii="仿宋" w:hAnsi="仿宋" w:eastAsia="仿宋" w:cs="仿宋"/>
          <w:sz w:val="32"/>
          <w:szCs w:val="32"/>
          <w:lang w:eastAsia="zh-CN"/>
        </w:rPr>
        <w:t>了</w:t>
      </w:r>
      <w:r>
        <w:rPr>
          <w:rFonts w:hint="eastAsia" w:ascii="仿宋" w:hAnsi="仿宋" w:eastAsia="仿宋" w:cs="仿宋"/>
          <w:sz w:val="32"/>
          <w:szCs w:val="32"/>
        </w:rPr>
        <w:t>工作效率</w:t>
      </w:r>
      <w:r>
        <w:rPr>
          <w:rFonts w:hint="eastAsia" w:ascii="仿宋" w:hAnsi="仿宋" w:eastAsia="仿宋" w:cs="仿宋"/>
          <w:sz w:val="32"/>
          <w:szCs w:val="32"/>
          <w:lang w:eastAsia="zh-CN"/>
        </w:rPr>
        <w:t>，满足了办公需求，改善了办公环境；</w:t>
      </w:r>
      <w:r>
        <w:rPr>
          <w:rFonts w:hint="eastAsia" w:ascii="仿宋" w:hAnsi="仿宋" w:eastAsia="仿宋" w:cs="仿宋"/>
          <w:sz w:val="32"/>
          <w:szCs w:val="32"/>
          <w:lang w:val="en-US" w:eastAsia="zh-CN"/>
        </w:rPr>
        <w:t>经调查</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单位职工对办公家具、电子产品</w:t>
      </w:r>
      <w:r>
        <w:rPr>
          <w:rFonts w:hint="eastAsia" w:ascii="仿宋" w:hAnsi="仿宋" w:eastAsia="仿宋" w:cs="仿宋"/>
          <w:sz w:val="32"/>
          <w:szCs w:val="32"/>
        </w:rPr>
        <w:t>满意度为9</w:t>
      </w:r>
      <w:r>
        <w:rPr>
          <w:rFonts w:hint="eastAsia" w:ascii="仿宋" w:hAnsi="仿宋" w:eastAsia="仿宋" w:cs="仿宋"/>
          <w:sz w:val="32"/>
          <w:szCs w:val="32"/>
          <w:lang w:val="en-US" w:eastAsia="zh-CN"/>
        </w:rPr>
        <w:t>9</w:t>
      </w:r>
      <w:r>
        <w:rPr>
          <w:rFonts w:hint="eastAsia" w:ascii="仿宋" w:hAnsi="仿宋" w:eastAsia="仿宋" w:cs="仿宋"/>
          <w:sz w:val="32"/>
          <w:szCs w:val="32"/>
        </w:rPr>
        <w:t>%</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14:paraId="145D2D0B">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r>
        <w:rPr>
          <w:rFonts w:hint="eastAsia" w:ascii="仿宋" w:hAnsi="仿宋" w:eastAsia="仿宋"/>
          <w:color w:val="auto"/>
          <w:sz w:val="32"/>
          <w:szCs w:val="32"/>
          <w:lang w:eastAsia="zh-CN"/>
        </w:rPr>
        <w:t>城市交通发展奖励资金</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99.9</w:t>
      </w:r>
      <w:r>
        <w:rPr>
          <w:rFonts w:ascii="Times New Roman" w:eastAsia="仿宋_GB2312"/>
          <w:b w:val="0"/>
          <w:sz w:val="32"/>
          <w:szCs w:val="32"/>
        </w:rPr>
        <w:t>分（绩效自评表附后）。全年预算数为</w:t>
      </w:r>
      <w:r>
        <w:rPr>
          <w:rFonts w:hint="eastAsia" w:ascii="仿宋" w:hAnsi="仿宋" w:eastAsia="仿宋"/>
          <w:color w:val="auto"/>
          <w:sz w:val="32"/>
          <w:szCs w:val="32"/>
          <w:lang w:val="en-US" w:eastAsia="zh-CN"/>
        </w:rPr>
        <w:t>3245.78</w:t>
      </w:r>
      <w:r>
        <w:rPr>
          <w:rFonts w:ascii="Times New Roman" w:eastAsia="仿宋_GB2312"/>
          <w:b w:val="0"/>
          <w:sz w:val="32"/>
          <w:szCs w:val="32"/>
        </w:rPr>
        <w:t>万元，执行数为</w:t>
      </w:r>
      <w:r>
        <w:rPr>
          <w:rFonts w:hint="eastAsia" w:ascii="仿宋" w:hAnsi="仿宋" w:eastAsia="仿宋"/>
          <w:color w:val="auto"/>
          <w:sz w:val="32"/>
          <w:szCs w:val="32"/>
          <w:lang w:val="en-US" w:eastAsia="zh-CN"/>
        </w:rPr>
        <w:t>3213.850016</w:t>
      </w:r>
      <w:r>
        <w:rPr>
          <w:rFonts w:ascii="Times New Roman" w:eastAsia="仿宋_GB2312"/>
          <w:b w:val="0"/>
          <w:sz w:val="32"/>
          <w:szCs w:val="32"/>
        </w:rPr>
        <w:t>万元，完成预算的</w:t>
      </w:r>
      <w:r>
        <w:rPr>
          <w:rFonts w:hint="eastAsia" w:ascii="Times New Roman" w:eastAsia="仿宋_GB2312"/>
          <w:b w:val="0"/>
          <w:sz w:val="32"/>
          <w:szCs w:val="32"/>
          <w:lang w:val="en-US" w:eastAsia="zh-CN"/>
        </w:rPr>
        <w:t>99.02</w:t>
      </w:r>
      <w:r>
        <w:rPr>
          <w:rFonts w:ascii="Times New Roman" w:eastAsia="仿宋_GB2312"/>
          <w:b w:val="0"/>
          <w:sz w:val="32"/>
          <w:szCs w:val="32"/>
        </w:rPr>
        <w:t>%。</w:t>
      </w:r>
      <w:r>
        <w:rPr>
          <w:rFonts w:hint="eastAsia" w:ascii="Times New Roman" w:eastAsia="仿宋_GB2312"/>
          <w:b w:val="0"/>
          <w:sz w:val="32"/>
          <w:szCs w:val="32"/>
          <w:lang w:eastAsia="zh-CN"/>
        </w:rPr>
        <w:t>通过项目实施，对巡游出租车进行运营补贴，维护出租车行业稳定。</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14:paraId="1947DADD">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r>
        <w:rPr>
          <w:rFonts w:hint="eastAsia" w:ascii="仿宋" w:hAnsi="仿宋" w:eastAsia="仿宋"/>
          <w:sz w:val="32"/>
          <w:szCs w:val="32"/>
        </w:rPr>
        <w:t>工作场地租用费（从业业务大厅以及出租车考场租赁费）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33.09万</w:t>
      </w:r>
      <w:r>
        <w:rPr>
          <w:rFonts w:ascii="Times New Roman" w:eastAsia="仿宋_GB2312"/>
          <w:b w:val="0"/>
          <w:sz w:val="32"/>
          <w:szCs w:val="32"/>
        </w:rPr>
        <w:t>元，执行数为</w:t>
      </w:r>
      <w:r>
        <w:rPr>
          <w:rFonts w:hint="eastAsia" w:ascii="Times New Roman" w:eastAsia="仿宋_GB2312"/>
          <w:b w:val="0"/>
          <w:sz w:val="32"/>
          <w:szCs w:val="32"/>
          <w:lang w:val="en-US" w:eastAsia="zh-CN"/>
        </w:rPr>
        <w:t>33.09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通过项目实施，租赁从业业务大厅及出租车考场，保障道路运输从业资格证的办证、换证、补证、诚信考核业务顺利进行，保障出租车从业人员报名顺利进行。</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14:paraId="064D4C1F">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r>
        <w:rPr>
          <w:rFonts w:hint="eastAsia" w:ascii="仿宋" w:hAnsi="仿宋" w:eastAsia="仿宋"/>
          <w:sz w:val="32"/>
          <w:szCs w:val="32"/>
        </w:rPr>
        <w:t>工作场地租用费（违法车辆保管费）项目</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45</w:t>
      </w:r>
      <w:r>
        <w:rPr>
          <w:rFonts w:ascii="Times New Roman" w:eastAsia="仿宋_GB2312"/>
          <w:b w:val="0"/>
          <w:sz w:val="32"/>
          <w:szCs w:val="32"/>
        </w:rPr>
        <w:t>万元，执行数为</w:t>
      </w:r>
      <w:r>
        <w:rPr>
          <w:rFonts w:hint="eastAsia" w:ascii="Times New Roman" w:eastAsia="仿宋_GB2312"/>
          <w:b w:val="0"/>
          <w:sz w:val="32"/>
          <w:szCs w:val="32"/>
          <w:lang w:val="en-US" w:eastAsia="zh-CN"/>
        </w:rPr>
        <w:t>45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w:t>
      </w:r>
      <w:r>
        <w:rPr>
          <w:rFonts w:hint="eastAsia" w:ascii="Times New Roman" w:eastAsia="仿宋_GB2312"/>
          <w:b w:val="0"/>
          <w:sz w:val="32"/>
          <w:szCs w:val="32"/>
        </w:rPr>
        <w:t>按照法规依法处置违法车辆，保障执法工作正常开展，实现违法车辆妥善保管，提升车辆保管服务水平。</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14:paraId="6EFBB188">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r>
        <w:rPr>
          <w:rFonts w:hint="eastAsia" w:ascii="仿宋" w:hAnsi="仿宋" w:eastAsia="仿宋"/>
          <w:sz w:val="32"/>
          <w:szCs w:val="32"/>
          <w:lang w:val="en-US" w:eastAsia="zh-CN"/>
        </w:rPr>
        <w:t>公务用车购置经费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37.52</w:t>
      </w:r>
      <w:r>
        <w:rPr>
          <w:rFonts w:ascii="Times New Roman" w:eastAsia="仿宋_GB2312"/>
          <w:b w:val="0"/>
          <w:sz w:val="32"/>
          <w:szCs w:val="32"/>
        </w:rPr>
        <w:t>万元，执行数为</w:t>
      </w:r>
      <w:r>
        <w:rPr>
          <w:rFonts w:hint="eastAsia" w:ascii="Times New Roman" w:eastAsia="仿宋_GB2312"/>
          <w:b w:val="0"/>
          <w:sz w:val="32"/>
          <w:szCs w:val="32"/>
          <w:lang w:val="en-US" w:eastAsia="zh-CN"/>
        </w:rPr>
        <w:t>37.52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w:t>
      </w:r>
      <w:r>
        <w:rPr>
          <w:rFonts w:hint="eastAsia" w:ascii="Times New Roman" w:eastAsia="仿宋_GB2312"/>
          <w:b w:val="0"/>
          <w:sz w:val="32"/>
          <w:szCs w:val="32"/>
        </w:rPr>
        <w:t>购置更新公务用车，满足单位日常运转需求,保障工作顺利开展。</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14:paraId="6D59AF2F">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r>
        <w:rPr>
          <w:rFonts w:hint="eastAsia" w:ascii="仿宋" w:hAnsi="仿宋" w:eastAsia="仿宋"/>
          <w:sz w:val="32"/>
          <w:szCs w:val="32"/>
          <w:lang w:val="en-US" w:eastAsia="zh-CN"/>
        </w:rPr>
        <w:t>火车站出租车待客区域保洁费用</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49.85</w:t>
      </w:r>
      <w:r>
        <w:rPr>
          <w:rFonts w:ascii="Times New Roman" w:eastAsia="仿宋_GB2312"/>
          <w:b w:val="0"/>
          <w:sz w:val="32"/>
          <w:szCs w:val="32"/>
        </w:rPr>
        <w:t>万元，执行数为</w:t>
      </w:r>
      <w:r>
        <w:rPr>
          <w:rFonts w:hint="eastAsia" w:ascii="Times New Roman" w:eastAsia="仿宋_GB2312"/>
          <w:b w:val="0"/>
          <w:sz w:val="32"/>
          <w:szCs w:val="32"/>
          <w:lang w:val="en-US" w:eastAsia="zh-CN"/>
        </w:rPr>
        <w:t>49.85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w:t>
      </w:r>
      <w:r>
        <w:rPr>
          <w:rFonts w:hint="eastAsia" w:ascii="Times New Roman" w:eastAsia="仿宋_GB2312"/>
          <w:b w:val="0"/>
          <w:sz w:val="32"/>
          <w:szCs w:val="32"/>
        </w:rPr>
        <w:t>对火车站待客区域保洁，确保新火车站东西广场出租车待客区域干净卫生</w:t>
      </w:r>
      <w:r>
        <w:rPr>
          <w:rFonts w:hint="eastAsia" w:ascii="Times New Roman" w:eastAsia="仿宋_GB2312"/>
          <w:b w:val="0"/>
          <w:sz w:val="32"/>
          <w:szCs w:val="32"/>
          <w:lang w:eastAsia="zh-CN"/>
        </w:rPr>
        <w:t>；</w:t>
      </w:r>
      <w:r>
        <w:rPr>
          <w:rFonts w:hint="eastAsia" w:ascii="Times New Roman" w:eastAsia="仿宋_GB2312"/>
          <w:b w:val="0"/>
          <w:sz w:val="32"/>
          <w:szCs w:val="32"/>
        </w:rPr>
        <w:t>保障出租车辆严格有序文明经营，提升我市公众形象。</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14:paraId="3AFA847B">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r>
        <w:rPr>
          <w:rFonts w:hint="eastAsia" w:ascii="仿宋" w:hAnsi="仿宋" w:eastAsia="仿宋"/>
          <w:sz w:val="32"/>
          <w:szCs w:val="32"/>
          <w:lang w:val="en-US" w:eastAsia="zh-CN"/>
        </w:rPr>
        <w:t>市交通运输综合行政执法支队劳务费用</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 w:hAnsi="仿宋" w:eastAsia="仿宋" w:cstheme="minorBidi"/>
          <w:sz w:val="32"/>
          <w:szCs w:val="32"/>
        </w:rPr>
        <w:t>838.771716</w:t>
      </w:r>
      <w:r>
        <w:rPr>
          <w:rFonts w:ascii="Times New Roman" w:eastAsia="仿宋_GB2312"/>
          <w:b w:val="0"/>
          <w:sz w:val="32"/>
          <w:szCs w:val="32"/>
        </w:rPr>
        <w:t>万元，执行数为</w:t>
      </w:r>
      <w:r>
        <w:rPr>
          <w:rFonts w:hint="eastAsia" w:ascii="仿宋" w:hAnsi="仿宋" w:eastAsia="仿宋" w:cstheme="minorBidi"/>
          <w:sz w:val="32"/>
          <w:szCs w:val="32"/>
        </w:rPr>
        <w:t>838.771716</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w:t>
      </w:r>
      <w:r>
        <w:rPr>
          <w:rFonts w:hint="eastAsia" w:ascii="Times New Roman" w:eastAsia="仿宋_GB2312"/>
          <w:b w:val="0"/>
          <w:sz w:val="32"/>
          <w:szCs w:val="32"/>
        </w:rPr>
        <w:t>支付“三站一场”及国省干线道路巡查劳务派遣执勤人员工资及保险费用，确保该人员安心工作。</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14:paraId="2F7A2C13">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r>
        <w:rPr>
          <w:rFonts w:hint="eastAsia" w:ascii="仿宋" w:hAnsi="仿宋" w:eastAsia="仿宋" w:cstheme="minorBidi"/>
          <w:sz w:val="32"/>
          <w:szCs w:val="32"/>
          <w:lang w:val="en-US" w:eastAsia="zh-CN"/>
        </w:rPr>
        <w:t>文件资料印刷费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 w:hAnsi="仿宋" w:eastAsia="仿宋" w:cstheme="minorBidi"/>
          <w:sz w:val="32"/>
          <w:szCs w:val="32"/>
          <w:lang w:val="en-US" w:eastAsia="zh-CN"/>
        </w:rPr>
        <w:t>15</w:t>
      </w:r>
      <w:r>
        <w:rPr>
          <w:rFonts w:ascii="Times New Roman" w:eastAsia="仿宋_GB2312"/>
          <w:b w:val="0"/>
          <w:sz w:val="32"/>
          <w:szCs w:val="32"/>
        </w:rPr>
        <w:t>万元，执行数为</w:t>
      </w:r>
      <w:r>
        <w:rPr>
          <w:rFonts w:hint="eastAsia" w:ascii="仿宋" w:hAnsi="仿宋" w:eastAsia="仿宋" w:cstheme="minorBidi"/>
          <w:sz w:val="32"/>
          <w:szCs w:val="32"/>
          <w:lang w:val="en-US" w:eastAsia="zh-CN"/>
        </w:rPr>
        <w:t>15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w:t>
      </w:r>
      <w:r>
        <w:rPr>
          <w:rFonts w:hint="eastAsia" w:ascii="Times New Roman" w:eastAsia="仿宋_GB2312"/>
          <w:b w:val="0"/>
          <w:sz w:val="32"/>
          <w:szCs w:val="32"/>
        </w:rPr>
        <w:t>印刷法律文书，确保执法办案文书等材料完善、规范，提高执法形象，实现严格执法，依法行政；提高执法文书案卷评查标准。</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14:paraId="4FE10F71">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r>
        <w:rPr>
          <w:rFonts w:hint="eastAsia" w:ascii="仿宋" w:hAnsi="仿宋" w:eastAsia="仿宋" w:cstheme="minorBidi"/>
          <w:sz w:val="32"/>
          <w:szCs w:val="32"/>
          <w:lang w:val="en-US" w:eastAsia="zh-CN"/>
        </w:rPr>
        <w:t>物业管理费</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 w:hAnsi="仿宋" w:eastAsia="仿宋"/>
          <w:sz w:val="32"/>
          <w:szCs w:val="32"/>
          <w:lang w:val="en-US" w:eastAsia="zh-CN"/>
        </w:rPr>
        <w:t>73.5958</w:t>
      </w:r>
      <w:r>
        <w:rPr>
          <w:rFonts w:ascii="Times New Roman" w:eastAsia="仿宋_GB2312"/>
          <w:b w:val="0"/>
          <w:sz w:val="32"/>
          <w:szCs w:val="32"/>
        </w:rPr>
        <w:t>万元，执行数为</w:t>
      </w:r>
      <w:r>
        <w:rPr>
          <w:rFonts w:hint="eastAsia" w:ascii="仿宋" w:hAnsi="仿宋" w:eastAsia="仿宋"/>
          <w:sz w:val="32"/>
          <w:szCs w:val="32"/>
          <w:lang w:val="en-US" w:eastAsia="zh-CN"/>
        </w:rPr>
        <w:t>73.5958</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通过项目实施，</w:t>
      </w:r>
      <w:r>
        <w:rPr>
          <w:rFonts w:hint="eastAsia" w:ascii="Times New Roman" w:eastAsia="仿宋_GB2312"/>
          <w:b w:val="0"/>
          <w:sz w:val="32"/>
          <w:szCs w:val="32"/>
          <w:lang w:val="en-US" w:eastAsia="zh-CN"/>
        </w:rPr>
        <w:t>提供</w:t>
      </w:r>
      <w:r>
        <w:rPr>
          <w:rFonts w:hint="eastAsia" w:ascii="Times New Roman" w:eastAsia="仿宋_GB2312"/>
          <w:b w:val="0"/>
          <w:sz w:val="32"/>
          <w:szCs w:val="32"/>
        </w:rPr>
        <w:t>物业服务，保障单位各项工作顺利开展，维护机关整洁办公环境，提升机关形象。</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14:paraId="6448CDBF">
      <w:pPr>
        <w:widowControl/>
        <w:spacing w:before="0" w:beforeLines="0" w:beforeAutospacing="0" w:after="0" w:afterLines="0" w:afterAutospacing="0" w:line="360" w:lineRule="auto"/>
        <w:ind w:firstLine="640" w:firstLineChars="200"/>
        <w:jc w:val="left"/>
        <w:rPr>
          <w:rFonts w:hint="eastAsia" w:ascii="仿宋" w:hAnsi="仿宋" w:eastAsia="仿宋" w:cs="仿宋"/>
          <w:sz w:val="32"/>
          <w:szCs w:val="32"/>
        </w:rPr>
      </w:pPr>
      <w:r>
        <w:rPr>
          <w:rFonts w:hint="eastAsia" w:ascii="仿宋" w:hAnsi="仿宋" w:eastAsia="仿宋"/>
          <w:sz w:val="32"/>
          <w:szCs w:val="32"/>
        </w:rPr>
        <w:t>专用材料购置（执法过程全记录装备、专用服装购置）</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 w:hAnsi="仿宋" w:eastAsia="仿宋"/>
          <w:sz w:val="32"/>
          <w:szCs w:val="32"/>
          <w:lang w:val="en-US" w:eastAsia="zh-CN"/>
        </w:rPr>
        <w:t>78.92702</w:t>
      </w:r>
      <w:r>
        <w:rPr>
          <w:rFonts w:ascii="Times New Roman" w:eastAsia="仿宋_GB2312"/>
          <w:b w:val="0"/>
          <w:sz w:val="32"/>
          <w:szCs w:val="32"/>
        </w:rPr>
        <w:t>万元，执行数为</w:t>
      </w:r>
      <w:r>
        <w:rPr>
          <w:rFonts w:hint="eastAsia" w:ascii="仿宋" w:hAnsi="仿宋" w:eastAsia="仿宋"/>
          <w:sz w:val="32"/>
          <w:szCs w:val="32"/>
          <w:lang w:val="en-US" w:eastAsia="zh-CN"/>
        </w:rPr>
        <w:t>77.82425</w:t>
      </w:r>
      <w:r>
        <w:rPr>
          <w:rFonts w:ascii="Times New Roman" w:eastAsia="仿宋_GB2312"/>
          <w:b w:val="0"/>
          <w:sz w:val="32"/>
          <w:szCs w:val="32"/>
        </w:rPr>
        <w:t>万元，完成预算的</w:t>
      </w:r>
      <w:r>
        <w:rPr>
          <w:rFonts w:hint="eastAsia" w:ascii="Times New Roman" w:eastAsia="仿宋_GB2312"/>
          <w:b w:val="0"/>
          <w:sz w:val="32"/>
          <w:szCs w:val="32"/>
          <w:lang w:val="en-US" w:eastAsia="zh-CN"/>
        </w:rPr>
        <w:t>99</w:t>
      </w:r>
      <w:r>
        <w:rPr>
          <w:rFonts w:ascii="Times New Roman" w:eastAsia="仿宋_GB2312"/>
          <w:b w:val="0"/>
          <w:sz w:val="32"/>
          <w:szCs w:val="32"/>
        </w:rPr>
        <w:t>%。</w:t>
      </w:r>
      <w:r>
        <w:rPr>
          <w:rFonts w:hint="eastAsia" w:ascii="Times New Roman" w:eastAsia="仿宋_GB2312"/>
          <w:b w:val="0"/>
          <w:sz w:val="32"/>
          <w:szCs w:val="32"/>
          <w:lang w:eastAsia="zh-CN"/>
        </w:rPr>
        <w:t>通过项目实施，</w:t>
      </w:r>
      <w:r>
        <w:rPr>
          <w:rFonts w:hint="eastAsia" w:ascii="Times New Roman" w:eastAsia="仿宋_GB2312"/>
          <w:b w:val="0"/>
          <w:sz w:val="32"/>
          <w:szCs w:val="32"/>
          <w:lang w:val="en-US" w:eastAsia="zh-CN"/>
        </w:rPr>
        <w:t>购置执法过程全记录装备，使视频采集做到证据保存完整；购置执法服装，实现上路执法人员执法服装统一、整齐，实现文明执法，依法行政。</w:t>
      </w:r>
      <w:r>
        <w:rPr>
          <w:rFonts w:hint="eastAsia" w:ascii="仿宋" w:hAnsi="仿宋" w:eastAsia="仿宋" w:cs="仿宋"/>
          <w:sz w:val="32"/>
          <w:szCs w:val="32"/>
          <w:lang w:eastAsia="zh-CN"/>
        </w:rPr>
        <w:t>未发现问题</w:t>
      </w:r>
      <w:r>
        <w:rPr>
          <w:rFonts w:hint="eastAsia" w:ascii="仿宋" w:hAnsi="仿宋" w:eastAsia="仿宋" w:cs="仿宋"/>
          <w:sz w:val="32"/>
          <w:szCs w:val="32"/>
        </w:rPr>
        <w:t>。</w:t>
      </w:r>
    </w:p>
    <w:p w14:paraId="0E0AB23E">
      <w:pPr>
        <w:widowControl/>
        <w:spacing w:before="0" w:beforeLines="0" w:beforeAutospacing="0" w:after="0" w:afterLines="0" w:afterAutospacing="0" w:line="360" w:lineRule="auto"/>
        <w:jc w:val="left"/>
        <w:rPr>
          <w:rFonts w:hint="eastAsia" w:ascii="仿宋" w:hAnsi="仿宋" w:eastAsia="仿宋" w:cs="仿宋"/>
          <w:sz w:val="32"/>
          <w:szCs w:val="32"/>
          <w:lang w:eastAsia="zh-CN"/>
        </w:rPr>
      </w:pPr>
      <w:r>
        <w:rPr>
          <w:rFonts w:hint="eastAsia" w:ascii="仿宋" w:hAnsi="仿宋" w:eastAsia="仿宋" w:cs="仿宋"/>
          <w:sz w:val="32"/>
          <w:szCs w:val="32"/>
          <w:lang w:eastAsia="zh-CN"/>
        </w:rPr>
        <w:drawing>
          <wp:inline distT="0" distB="0" distL="114300" distR="114300">
            <wp:extent cx="5674995" cy="7688580"/>
            <wp:effectExtent l="0" t="0" r="1905" b="7620"/>
            <wp:docPr id="4" name="图片 4" descr="1757576531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757576531494"/>
                    <pic:cNvPicPr>
                      <a:picLocks noChangeAspect="1"/>
                    </pic:cNvPicPr>
                  </pic:nvPicPr>
                  <pic:blipFill>
                    <a:blip r:embed="rId17"/>
                    <a:stretch>
                      <a:fillRect/>
                    </a:stretch>
                  </pic:blipFill>
                  <pic:spPr>
                    <a:xfrm>
                      <a:off x="0" y="0"/>
                      <a:ext cx="5674995" cy="7688580"/>
                    </a:xfrm>
                    <a:prstGeom prst="rect">
                      <a:avLst/>
                    </a:prstGeom>
                  </pic:spPr>
                </pic:pic>
              </a:graphicData>
            </a:graphic>
          </wp:inline>
        </w:drawing>
      </w:r>
    </w:p>
    <w:p w14:paraId="790EEB46">
      <w:pPr>
        <w:widowControl/>
        <w:spacing w:before="0" w:beforeLines="0" w:beforeAutospacing="0" w:after="0" w:afterLines="0" w:afterAutospacing="0" w:line="360" w:lineRule="auto"/>
        <w:jc w:val="left"/>
        <w:rPr>
          <w:rFonts w:hint="eastAsia" w:ascii="仿宋" w:hAnsi="仿宋" w:eastAsia="仿宋" w:cs="仿宋"/>
          <w:sz w:val="32"/>
          <w:szCs w:val="32"/>
          <w:lang w:eastAsia="zh-CN"/>
        </w:rPr>
      </w:pPr>
      <w:r>
        <w:rPr>
          <w:rFonts w:hint="eastAsia" w:ascii="仿宋" w:hAnsi="仿宋" w:eastAsia="仿宋" w:cs="仿宋"/>
          <w:sz w:val="32"/>
          <w:szCs w:val="32"/>
          <w:lang w:eastAsia="zh-CN"/>
        </w:rPr>
        <w:drawing>
          <wp:inline distT="0" distB="0" distL="114300" distR="114300">
            <wp:extent cx="5572125" cy="7755890"/>
            <wp:effectExtent l="0" t="0" r="9525" b="16510"/>
            <wp:docPr id="6" name="图片 6" descr="1757576626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757576626306"/>
                    <pic:cNvPicPr>
                      <a:picLocks noChangeAspect="1"/>
                    </pic:cNvPicPr>
                  </pic:nvPicPr>
                  <pic:blipFill>
                    <a:blip r:embed="rId18"/>
                    <a:stretch>
                      <a:fillRect/>
                    </a:stretch>
                  </pic:blipFill>
                  <pic:spPr>
                    <a:xfrm>
                      <a:off x="0" y="0"/>
                      <a:ext cx="5572125" cy="7755890"/>
                    </a:xfrm>
                    <a:prstGeom prst="rect">
                      <a:avLst/>
                    </a:prstGeom>
                  </pic:spPr>
                </pic:pic>
              </a:graphicData>
            </a:graphic>
          </wp:inline>
        </w:drawing>
      </w:r>
    </w:p>
    <w:p w14:paraId="3A6E9C6D">
      <w:pPr>
        <w:widowControl/>
        <w:spacing w:before="0" w:beforeLines="0" w:beforeAutospacing="0" w:after="0" w:afterLines="0" w:afterAutospacing="0" w:line="360" w:lineRule="auto"/>
        <w:jc w:val="left"/>
        <w:rPr>
          <w:rFonts w:hint="eastAsia" w:ascii="Times New Roman" w:eastAsia="仿宋_GB2312"/>
          <w:sz w:val="32"/>
          <w:szCs w:val="32"/>
          <w:lang w:eastAsia="zh-CN"/>
        </w:rPr>
      </w:pPr>
      <w:r>
        <w:rPr>
          <w:rFonts w:hint="eastAsia" w:ascii="Times New Roman" w:eastAsia="仿宋_GB2312"/>
          <w:sz w:val="32"/>
          <w:szCs w:val="32"/>
          <w:lang w:eastAsia="zh-CN"/>
        </w:rPr>
        <w:drawing>
          <wp:inline distT="0" distB="0" distL="114300" distR="114300">
            <wp:extent cx="5610225" cy="8024495"/>
            <wp:effectExtent l="0" t="0" r="9525" b="14605"/>
            <wp:docPr id="8" name="图片 8" descr="1757576699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1757576699312"/>
                    <pic:cNvPicPr>
                      <a:picLocks noChangeAspect="1"/>
                    </pic:cNvPicPr>
                  </pic:nvPicPr>
                  <pic:blipFill>
                    <a:blip r:embed="rId19"/>
                    <a:stretch>
                      <a:fillRect/>
                    </a:stretch>
                  </pic:blipFill>
                  <pic:spPr>
                    <a:xfrm>
                      <a:off x="0" y="0"/>
                      <a:ext cx="5610225" cy="8024495"/>
                    </a:xfrm>
                    <a:prstGeom prst="rect">
                      <a:avLst/>
                    </a:prstGeom>
                  </pic:spPr>
                </pic:pic>
              </a:graphicData>
            </a:graphic>
          </wp:inline>
        </w:drawing>
      </w:r>
    </w:p>
    <w:p w14:paraId="77B7EFCA">
      <w:pPr>
        <w:widowControl/>
        <w:spacing w:before="0" w:beforeLines="0" w:beforeAutospacing="0" w:after="0" w:afterLines="0" w:afterAutospacing="0" w:line="360" w:lineRule="auto"/>
        <w:jc w:val="left"/>
        <w:rPr>
          <w:rFonts w:hint="eastAsia" w:ascii="Times New Roman" w:eastAsia="仿宋_GB2312"/>
          <w:sz w:val="32"/>
          <w:szCs w:val="32"/>
          <w:lang w:eastAsia="zh-CN"/>
        </w:rPr>
      </w:pPr>
      <w:r>
        <w:rPr>
          <w:rFonts w:hint="eastAsia" w:ascii="Times New Roman" w:eastAsia="仿宋_GB2312"/>
          <w:sz w:val="32"/>
          <w:szCs w:val="32"/>
          <w:lang w:eastAsia="zh-CN"/>
        </w:rPr>
        <w:drawing>
          <wp:inline distT="0" distB="0" distL="114300" distR="114300">
            <wp:extent cx="5729605" cy="7983220"/>
            <wp:effectExtent l="0" t="0" r="4445" b="17780"/>
            <wp:docPr id="10" name="图片 10" descr="1757576929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1757576929798"/>
                    <pic:cNvPicPr>
                      <a:picLocks noChangeAspect="1"/>
                    </pic:cNvPicPr>
                  </pic:nvPicPr>
                  <pic:blipFill>
                    <a:blip r:embed="rId20"/>
                    <a:stretch>
                      <a:fillRect/>
                    </a:stretch>
                  </pic:blipFill>
                  <pic:spPr>
                    <a:xfrm>
                      <a:off x="0" y="0"/>
                      <a:ext cx="5729605" cy="7983220"/>
                    </a:xfrm>
                    <a:prstGeom prst="rect">
                      <a:avLst/>
                    </a:prstGeom>
                  </pic:spPr>
                </pic:pic>
              </a:graphicData>
            </a:graphic>
          </wp:inline>
        </w:drawing>
      </w:r>
    </w:p>
    <w:p w14:paraId="469CE2A7">
      <w:pPr>
        <w:widowControl/>
        <w:spacing w:before="0" w:beforeLines="0" w:beforeAutospacing="0" w:after="0" w:afterLines="0" w:afterAutospacing="0" w:line="360" w:lineRule="auto"/>
        <w:jc w:val="left"/>
        <w:rPr>
          <w:rFonts w:hint="eastAsia" w:ascii="Times New Roman" w:eastAsia="仿宋_GB2312"/>
          <w:sz w:val="32"/>
          <w:szCs w:val="32"/>
          <w:lang w:eastAsia="zh-CN"/>
        </w:rPr>
      </w:pPr>
      <w:r>
        <w:rPr>
          <w:rFonts w:hint="eastAsia" w:ascii="Times New Roman" w:eastAsia="仿宋_GB2312"/>
          <w:sz w:val="32"/>
          <w:szCs w:val="32"/>
          <w:lang w:eastAsia="zh-CN"/>
        </w:rPr>
        <w:drawing>
          <wp:inline distT="0" distB="0" distL="114300" distR="114300">
            <wp:extent cx="5754370" cy="8025130"/>
            <wp:effectExtent l="0" t="0" r="17780" b="13970"/>
            <wp:docPr id="12" name="图片 12" descr="1757577029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757577029957"/>
                    <pic:cNvPicPr>
                      <a:picLocks noChangeAspect="1"/>
                    </pic:cNvPicPr>
                  </pic:nvPicPr>
                  <pic:blipFill>
                    <a:blip r:embed="rId21"/>
                    <a:stretch>
                      <a:fillRect/>
                    </a:stretch>
                  </pic:blipFill>
                  <pic:spPr>
                    <a:xfrm>
                      <a:off x="0" y="0"/>
                      <a:ext cx="5754370" cy="8025130"/>
                    </a:xfrm>
                    <a:prstGeom prst="rect">
                      <a:avLst/>
                    </a:prstGeom>
                  </pic:spPr>
                </pic:pic>
              </a:graphicData>
            </a:graphic>
          </wp:inline>
        </w:drawing>
      </w:r>
    </w:p>
    <w:p w14:paraId="780CCA8D">
      <w:pPr>
        <w:widowControl/>
        <w:spacing w:before="0" w:beforeLines="0" w:beforeAutospacing="0" w:after="0" w:afterLines="0" w:afterAutospacing="0" w:line="360" w:lineRule="auto"/>
        <w:jc w:val="left"/>
        <w:rPr>
          <w:rFonts w:hint="eastAsia" w:ascii="Times New Roman" w:eastAsia="仿宋_GB2312"/>
          <w:sz w:val="32"/>
          <w:szCs w:val="32"/>
          <w:lang w:eastAsia="zh-CN"/>
        </w:rPr>
      </w:pPr>
      <w:r>
        <w:rPr>
          <w:rFonts w:hint="eastAsia" w:ascii="Times New Roman" w:eastAsia="仿宋_GB2312"/>
          <w:sz w:val="32"/>
          <w:szCs w:val="32"/>
          <w:lang w:eastAsia="zh-CN"/>
        </w:rPr>
        <w:drawing>
          <wp:inline distT="0" distB="0" distL="114300" distR="114300">
            <wp:extent cx="5758180" cy="7963535"/>
            <wp:effectExtent l="0" t="0" r="13970" b="18415"/>
            <wp:docPr id="14" name="图片 14" descr="1757577144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1757577144738"/>
                    <pic:cNvPicPr>
                      <a:picLocks noChangeAspect="1"/>
                    </pic:cNvPicPr>
                  </pic:nvPicPr>
                  <pic:blipFill>
                    <a:blip r:embed="rId22"/>
                    <a:stretch>
                      <a:fillRect/>
                    </a:stretch>
                  </pic:blipFill>
                  <pic:spPr>
                    <a:xfrm>
                      <a:off x="0" y="0"/>
                      <a:ext cx="5758180" cy="7963535"/>
                    </a:xfrm>
                    <a:prstGeom prst="rect">
                      <a:avLst/>
                    </a:prstGeom>
                  </pic:spPr>
                </pic:pic>
              </a:graphicData>
            </a:graphic>
          </wp:inline>
        </w:drawing>
      </w:r>
    </w:p>
    <w:p w14:paraId="6B5ED85F">
      <w:pPr>
        <w:widowControl/>
        <w:spacing w:before="0" w:beforeLines="0" w:beforeAutospacing="0" w:after="0" w:afterLines="0" w:afterAutospacing="0" w:line="360" w:lineRule="auto"/>
        <w:jc w:val="left"/>
        <w:rPr>
          <w:rFonts w:hint="eastAsia" w:ascii="Times New Roman" w:eastAsia="仿宋_GB2312"/>
          <w:sz w:val="32"/>
          <w:szCs w:val="32"/>
          <w:lang w:eastAsia="zh-CN"/>
        </w:rPr>
      </w:pPr>
      <w:r>
        <w:rPr>
          <w:rFonts w:hint="eastAsia" w:ascii="Times New Roman" w:eastAsia="仿宋_GB2312"/>
          <w:sz w:val="32"/>
          <w:szCs w:val="32"/>
          <w:lang w:eastAsia="zh-CN"/>
        </w:rPr>
        <w:drawing>
          <wp:inline distT="0" distB="0" distL="114300" distR="114300">
            <wp:extent cx="5754370" cy="7898130"/>
            <wp:effectExtent l="0" t="0" r="17780" b="7620"/>
            <wp:docPr id="16" name="图片 16" descr="1757577248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1757577248585"/>
                    <pic:cNvPicPr>
                      <a:picLocks noChangeAspect="1"/>
                    </pic:cNvPicPr>
                  </pic:nvPicPr>
                  <pic:blipFill>
                    <a:blip r:embed="rId23"/>
                    <a:stretch>
                      <a:fillRect/>
                    </a:stretch>
                  </pic:blipFill>
                  <pic:spPr>
                    <a:xfrm>
                      <a:off x="0" y="0"/>
                      <a:ext cx="5754370" cy="7898130"/>
                    </a:xfrm>
                    <a:prstGeom prst="rect">
                      <a:avLst/>
                    </a:prstGeom>
                  </pic:spPr>
                </pic:pic>
              </a:graphicData>
            </a:graphic>
          </wp:inline>
        </w:drawing>
      </w:r>
    </w:p>
    <w:p w14:paraId="7E30CFED">
      <w:pPr>
        <w:widowControl/>
        <w:spacing w:before="0" w:beforeLines="0" w:beforeAutospacing="0" w:after="0" w:afterLines="0" w:afterAutospacing="0" w:line="360" w:lineRule="auto"/>
        <w:jc w:val="left"/>
        <w:rPr>
          <w:rFonts w:hint="eastAsia" w:ascii="Times New Roman" w:eastAsia="仿宋_GB2312"/>
          <w:sz w:val="32"/>
          <w:szCs w:val="32"/>
          <w:lang w:eastAsia="zh-CN"/>
        </w:rPr>
      </w:pPr>
      <w:r>
        <w:rPr>
          <w:rFonts w:hint="eastAsia" w:ascii="Times New Roman" w:eastAsia="仿宋_GB2312"/>
          <w:sz w:val="32"/>
          <w:szCs w:val="32"/>
          <w:lang w:eastAsia="zh-CN"/>
        </w:rPr>
        <w:drawing>
          <wp:inline distT="0" distB="0" distL="114300" distR="114300">
            <wp:extent cx="5755005" cy="7985125"/>
            <wp:effectExtent l="0" t="0" r="17145" b="15875"/>
            <wp:docPr id="17" name="图片 17" descr="1757577334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1757577334562"/>
                    <pic:cNvPicPr>
                      <a:picLocks noChangeAspect="1"/>
                    </pic:cNvPicPr>
                  </pic:nvPicPr>
                  <pic:blipFill>
                    <a:blip r:embed="rId24"/>
                    <a:stretch>
                      <a:fillRect/>
                    </a:stretch>
                  </pic:blipFill>
                  <pic:spPr>
                    <a:xfrm>
                      <a:off x="0" y="0"/>
                      <a:ext cx="5755005" cy="7985125"/>
                    </a:xfrm>
                    <a:prstGeom prst="rect">
                      <a:avLst/>
                    </a:prstGeom>
                  </pic:spPr>
                </pic:pic>
              </a:graphicData>
            </a:graphic>
          </wp:inline>
        </w:drawing>
      </w:r>
    </w:p>
    <w:p w14:paraId="1C925F36">
      <w:pPr>
        <w:widowControl/>
        <w:spacing w:before="0" w:beforeLines="0" w:beforeAutospacing="0" w:after="0" w:afterLines="0" w:afterAutospacing="0" w:line="360" w:lineRule="auto"/>
        <w:jc w:val="left"/>
        <w:rPr>
          <w:rFonts w:hint="eastAsia" w:ascii="Times New Roman" w:eastAsia="仿宋_GB2312"/>
          <w:sz w:val="32"/>
          <w:szCs w:val="32"/>
          <w:lang w:eastAsia="zh-CN"/>
        </w:rPr>
      </w:pPr>
      <w:r>
        <w:rPr>
          <w:rFonts w:hint="eastAsia" w:ascii="Times New Roman" w:eastAsia="仿宋_GB2312"/>
          <w:sz w:val="32"/>
          <w:szCs w:val="32"/>
          <w:lang w:eastAsia="zh-CN"/>
        </w:rPr>
        <w:drawing>
          <wp:inline distT="0" distB="0" distL="114300" distR="114300">
            <wp:extent cx="5756275" cy="8029575"/>
            <wp:effectExtent l="0" t="0" r="15875" b="9525"/>
            <wp:docPr id="18" name="图片 18" descr="1757577479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1757577479473"/>
                    <pic:cNvPicPr>
                      <a:picLocks noChangeAspect="1"/>
                    </pic:cNvPicPr>
                  </pic:nvPicPr>
                  <pic:blipFill>
                    <a:blip r:embed="rId25"/>
                    <a:stretch>
                      <a:fillRect/>
                    </a:stretch>
                  </pic:blipFill>
                  <pic:spPr>
                    <a:xfrm>
                      <a:off x="0" y="0"/>
                      <a:ext cx="5756275" cy="8029575"/>
                    </a:xfrm>
                    <a:prstGeom prst="rect">
                      <a:avLst/>
                    </a:prstGeom>
                  </pic:spPr>
                </pic:pic>
              </a:graphicData>
            </a:graphic>
          </wp:inline>
        </w:drawing>
      </w:r>
    </w:p>
    <w:p w14:paraId="7E421704">
      <w:pPr>
        <w:widowControl/>
        <w:spacing w:before="0" w:beforeLines="0" w:beforeAutospacing="0" w:after="0" w:afterLines="0" w:afterAutospacing="0" w:line="360" w:lineRule="auto"/>
        <w:jc w:val="left"/>
        <w:rPr>
          <w:rFonts w:hint="eastAsia" w:ascii="Times New Roman" w:eastAsia="仿宋_GB2312"/>
          <w:sz w:val="32"/>
          <w:szCs w:val="32"/>
          <w:lang w:eastAsia="zh-CN"/>
        </w:rPr>
      </w:pPr>
      <w:r>
        <w:rPr>
          <w:rFonts w:hint="eastAsia" w:ascii="Times New Roman" w:eastAsia="仿宋_GB2312"/>
          <w:sz w:val="32"/>
          <w:szCs w:val="32"/>
          <w:lang w:eastAsia="zh-CN"/>
        </w:rPr>
        <w:drawing>
          <wp:inline distT="0" distB="0" distL="114300" distR="114300">
            <wp:extent cx="5600700" cy="8167370"/>
            <wp:effectExtent l="0" t="0" r="0" b="5080"/>
            <wp:docPr id="19" name="图片 19" descr="1757577655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1757577655932"/>
                    <pic:cNvPicPr>
                      <a:picLocks noChangeAspect="1"/>
                    </pic:cNvPicPr>
                  </pic:nvPicPr>
                  <pic:blipFill>
                    <a:blip r:embed="rId26"/>
                    <a:stretch>
                      <a:fillRect/>
                    </a:stretch>
                  </pic:blipFill>
                  <pic:spPr>
                    <a:xfrm>
                      <a:off x="0" y="0"/>
                      <a:ext cx="5600700" cy="8167370"/>
                    </a:xfrm>
                    <a:prstGeom prst="rect">
                      <a:avLst/>
                    </a:prstGeom>
                  </pic:spPr>
                </pic:pic>
              </a:graphicData>
            </a:graphic>
          </wp:inline>
        </w:drawing>
      </w:r>
    </w:p>
    <w:p w14:paraId="5D497704">
      <w:pPr>
        <w:numPr>
          <w:ilvl w:val="0"/>
          <w:numId w:val="0"/>
        </w:numPr>
        <w:shd w:val="clear" w:color="auto" w:fill="FFFFFF"/>
        <w:spacing w:before="195" w:after="195"/>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（三）</w:t>
      </w:r>
      <w:r>
        <w:rPr>
          <w:rFonts w:hint="eastAsia" w:ascii="仿宋_GB2312" w:hAnsi="仿宋_GB2312" w:eastAsia="仿宋_GB2312" w:cs="仿宋_GB2312"/>
          <w:b/>
          <w:bCs/>
          <w:sz w:val="32"/>
          <w:szCs w:val="32"/>
        </w:rPr>
        <w:t>单位评价项目绩效评价结果。</w:t>
      </w:r>
    </w:p>
    <w:p w14:paraId="303C2504">
      <w:pPr>
        <w:numPr>
          <w:ilvl w:val="0"/>
          <w:numId w:val="0"/>
        </w:numPr>
        <w:shd w:val="clear" w:color="auto" w:fill="FFFFFF"/>
        <w:spacing w:before="195" w:after="195"/>
        <w:ind w:firstLine="640" w:firstLineChars="200"/>
        <w:rPr>
          <w:rFonts w:hint="eastAsia" w:ascii="Times New Roman" w:eastAsia="仿宋_GB2312"/>
          <w:sz w:val="32"/>
          <w:szCs w:val="32"/>
          <w:lang w:eastAsia="zh-CN"/>
        </w:rPr>
      </w:pPr>
      <w:r>
        <w:rPr>
          <w:rFonts w:hint="eastAsia" w:ascii="Times New Roman" w:hAnsi="Times New Roman" w:eastAsia="仿宋_GB2312" w:cs="Times New Roman"/>
          <w:color w:val="auto"/>
          <w:kern w:val="2"/>
          <w:sz w:val="32"/>
          <w:szCs w:val="32"/>
          <w:lang w:val="en-US" w:eastAsia="zh-CN" w:bidi="ar-SA"/>
        </w:rPr>
        <w:t>根据单位职责定位和各项工作履职情况进行综合评价得出单位整体支出综合绩效评价等级为优秀。</w:t>
      </w:r>
      <w:bookmarkStart w:id="0" w:name="_GoBack"/>
      <w:bookmarkEnd w:id="0"/>
    </w:p>
    <w:p w14:paraId="6967BC4D">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1521F6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4CB4E4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4747055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50A812F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5B8A11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7CA69E1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2780BDE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14738E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7A26BAC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7263A0D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60447A5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5FF8874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016711F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2A604B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3784F5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803A2B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F3772B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D95F54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11508B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8D48DE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22B7C6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09EC407D-DD07-4454-A6E3-61BBAC05040D}"/>
  </w:font>
  <w:font w:name="黑体">
    <w:panose1 w:val="02010609060101010101"/>
    <w:charset w:val="86"/>
    <w:family w:val="auto"/>
    <w:pitch w:val="default"/>
    <w:sig w:usb0="800002BF" w:usb1="38CF7CFA" w:usb2="00000016" w:usb3="00000000" w:csb0="00040001" w:csb1="00000000"/>
    <w:embedRegular r:id="rId2" w:fontKey="{ABA60C96-D1D1-40AB-BC18-EA40CC829DA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FCCE5B72-294B-43A7-975D-17B6B365B540}"/>
  </w:font>
  <w:font w:name="仿宋">
    <w:panose1 w:val="02010609060101010101"/>
    <w:charset w:val="86"/>
    <w:family w:val="modern"/>
    <w:pitch w:val="default"/>
    <w:sig w:usb0="800002BF" w:usb1="38CF7CFA" w:usb2="00000016" w:usb3="00000000" w:csb0="00040001" w:csb1="00000000"/>
    <w:embedRegular r:id="rId4" w:fontKey="{F6D04EA1-A00A-464E-8FE6-B75AB5693B09}"/>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65F74923-4DA6-4113-A30E-F516B6EA5589}"/>
  </w:font>
  <w:font w:name="方正小标宋_GBK">
    <w:panose1 w:val="02000000000000000000"/>
    <w:charset w:val="86"/>
    <w:family w:val="script"/>
    <w:pitch w:val="default"/>
    <w:sig w:usb0="A00002BF" w:usb1="38CF7CFA" w:usb2="00082016" w:usb3="00000000" w:csb0="00040001" w:csb1="00000000"/>
    <w:embedRegular r:id="rId6" w:fontKey="{2DAA1958-F30E-4D7E-A14A-094BCCD7698E}"/>
  </w:font>
  <w:font w:name="仿宋_GB2312">
    <w:panose1 w:val="02010609030101010101"/>
    <w:charset w:val="86"/>
    <w:family w:val="auto"/>
    <w:pitch w:val="default"/>
    <w:sig w:usb0="00000001" w:usb1="080E0000" w:usb2="00000000" w:usb3="00000000" w:csb0="00040000" w:csb1="00000000"/>
    <w:embedRegular r:id="rId7" w:fontKey="{BAD0ECA0-B96F-44C6-BFFF-B36292626CC7}"/>
  </w:font>
  <w:font w:name="ArialUnicodeMS">
    <w:altName w:val="Malgun Gothic"/>
    <w:panose1 w:val="00000000000000000000"/>
    <w:charset w:val="81"/>
    <w:family w:val="auto"/>
    <w:pitch w:val="default"/>
    <w:sig w:usb0="00000000" w:usb1="00000000" w:usb2="00000010" w:usb3="00000000" w:csb0="00080001" w:csb1="00000000"/>
    <w:embedRegular r:id="rId8" w:fontKey="{F1A29DDD-8177-4C31-AB17-D57D54971350}"/>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0A723019-0917-4F29-BD93-FB3EB11CFD3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0DB20F7"/>
    <w:rsid w:val="01A03C5A"/>
    <w:rsid w:val="01A5267D"/>
    <w:rsid w:val="01AF6A8D"/>
    <w:rsid w:val="01DB7ED5"/>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3C31DA"/>
    <w:rsid w:val="054F2DFB"/>
    <w:rsid w:val="05991C82"/>
    <w:rsid w:val="05CD1EC8"/>
    <w:rsid w:val="061416A9"/>
    <w:rsid w:val="061D60A6"/>
    <w:rsid w:val="06236884"/>
    <w:rsid w:val="06B07006"/>
    <w:rsid w:val="06FC7C2A"/>
    <w:rsid w:val="07533AFE"/>
    <w:rsid w:val="07AC18F2"/>
    <w:rsid w:val="07B3657A"/>
    <w:rsid w:val="07C857D0"/>
    <w:rsid w:val="083F3A0A"/>
    <w:rsid w:val="08726929"/>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27DA9"/>
    <w:rsid w:val="102A01A6"/>
    <w:rsid w:val="105A290D"/>
    <w:rsid w:val="10754A6C"/>
    <w:rsid w:val="108B537D"/>
    <w:rsid w:val="10B11DB1"/>
    <w:rsid w:val="11177F57"/>
    <w:rsid w:val="11217C97"/>
    <w:rsid w:val="11464C20"/>
    <w:rsid w:val="115E4926"/>
    <w:rsid w:val="118A1FFA"/>
    <w:rsid w:val="11E35B5A"/>
    <w:rsid w:val="11E42DD6"/>
    <w:rsid w:val="125F5A1B"/>
    <w:rsid w:val="12610B6D"/>
    <w:rsid w:val="126979D6"/>
    <w:rsid w:val="129E45A7"/>
    <w:rsid w:val="13074404"/>
    <w:rsid w:val="131A1D32"/>
    <w:rsid w:val="136A5C00"/>
    <w:rsid w:val="13B97B08"/>
    <w:rsid w:val="13C527AC"/>
    <w:rsid w:val="14711797"/>
    <w:rsid w:val="147B6F17"/>
    <w:rsid w:val="14D42061"/>
    <w:rsid w:val="15081C8B"/>
    <w:rsid w:val="15090D5C"/>
    <w:rsid w:val="15CF053D"/>
    <w:rsid w:val="15E0131A"/>
    <w:rsid w:val="15E11DC0"/>
    <w:rsid w:val="16457D9F"/>
    <w:rsid w:val="16ED0036"/>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DE0896"/>
    <w:rsid w:val="1BE74496"/>
    <w:rsid w:val="1BFB2402"/>
    <w:rsid w:val="1C3D67D1"/>
    <w:rsid w:val="1C40731A"/>
    <w:rsid w:val="1C506572"/>
    <w:rsid w:val="1C560392"/>
    <w:rsid w:val="1C581532"/>
    <w:rsid w:val="1C9F2E05"/>
    <w:rsid w:val="1CA15E03"/>
    <w:rsid w:val="1CA24F0C"/>
    <w:rsid w:val="1CB26D2C"/>
    <w:rsid w:val="1CF8716C"/>
    <w:rsid w:val="1D1638FE"/>
    <w:rsid w:val="1D1E545A"/>
    <w:rsid w:val="1D4B1F5B"/>
    <w:rsid w:val="1D6C5CA0"/>
    <w:rsid w:val="1D725586"/>
    <w:rsid w:val="1D745B4F"/>
    <w:rsid w:val="1D752B34"/>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63388"/>
    <w:rsid w:val="264D2D17"/>
    <w:rsid w:val="268564DD"/>
    <w:rsid w:val="26D50E55"/>
    <w:rsid w:val="271A539C"/>
    <w:rsid w:val="273823FA"/>
    <w:rsid w:val="274972D4"/>
    <w:rsid w:val="27AA3D97"/>
    <w:rsid w:val="280A3758"/>
    <w:rsid w:val="28292E99"/>
    <w:rsid w:val="289057C5"/>
    <w:rsid w:val="28A67C7A"/>
    <w:rsid w:val="28EA3248"/>
    <w:rsid w:val="28EF5E90"/>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7D0872"/>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9719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2F1211F"/>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C2377"/>
    <w:rsid w:val="48AE3D01"/>
    <w:rsid w:val="48B96318"/>
    <w:rsid w:val="49067B2F"/>
    <w:rsid w:val="496334AA"/>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B6236"/>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6B130A"/>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D13194"/>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C05393"/>
    <w:rsid w:val="5CF0089C"/>
    <w:rsid w:val="5CF5796F"/>
    <w:rsid w:val="5D242A11"/>
    <w:rsid w:val="5D5156D5"/>
    <w:rsid w:val="5D9217C2"/>
    <w:rsid w:val="5DAD06BF"/>
    <w:rsid w:val="5DC67638"/>
    <w:rsid w:val="5DC92CE9"/>
    <w:rsid w:val="5DE23CB3"/>
    <w:rsid w:val="5DE97EEC"/>
    <w:rsid w:val="5DFA5EB0"/>
    <w:rsid w:val="5E000E4D"/>
    <w:rsid w:val="5E0B583E"/>
    <w:rsid w:val="5E201A7B"/>
    <w:rsid w:val="5EA45884"/>
    <w:rsid w:val="5EBD0484"/>
    <w:rsid w:val="5F2C5C7C"/>
    <w:rsid w:val="5F36141C"/>
    <w:rsid w:val="5FC5273F"/>
    <w:rsid w:val="604F6C39"/>
    <w:rsid w:val="60806DF2"/>
    <w:rsid w:val="60912DAE"/>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8C4D45"/>
    <w:rsid w:val="63BD1FA9"/>
    <w:rsid w:val="63D175D1"/>
    <w:rsid w:val="63D27965"/>
    <w:rsid w:val="63F4667E"/>
    <w:rsid w:val="64095516"/>
    <w:rsid w:val="641A2468"/>
    <w:rsid w:val="64372F20"/>
    <w:rsid w:val="643E324C"/>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296AE7"/>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240E7"/>
    <w:rsid w:val="6D0B1869"/>
    <w:rsid w:val="6D65402D"/>
    <w:rsid w:val="6D683822"/>
    <w:rsid w:val="6D8D136C"/>
    <w:rsid w:val="6DBF2759"/>
    <w:rsid w:val="6DC96F36"/>
    <w:rsid w:val="6DFA3EBF"/>
    <w:rsid w:val="6E29242B"/>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561F7D"/>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7F71B5A"/>
    <w:rsid w:val="78520C1D"/>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1B0177"/>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9907.25</c:v>
                </c:pt>
                <c:pt idx="1">
                  <c:v>9808.37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5ff60026-0467-4547-a6e8-8562767da94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97993696.21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849c881-6f36-4441-961d-f94a1ccd91a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51547873.33</c:v>
                </c:pt>
                <c:pt idx="1">
                  <c:v>46535822.88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df55155-c248-4d32-9364-6b3a5f3ab43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9907.25</c:v>
                </c:pt>
                <c:pt idx="1">
                  <c:v>9907.25</c:v>
                </c:pt>
                <c:pt idx="2">
                  <c:v>9907.25</c:v>
                </c:pt>
                <c:pt idx="3">
                  <c:v>9907.25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9799.37</c:v>
                </c:pt>
                <c:pt idx="1">
                  <c:v>9808.37</c:v>
                </c:pt>
                <c:pt idx="2">
                  <c:v>9799.37</c:v>
                </c:pt>
                <c:pt idx="3">
                  <c:v>9808.37</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e5e7918-06f8-49f5-be18-2e629c974a2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9314.85</c:v>
                </c:pt>
                <c:pt idx="1">
                  <c:v>9314.85</c:v>
                </c:pt>
                <c:pt idx="2">
                  <c:v>9314.85</c:v>
                </c:pt>
                <c:pt idx="3">
                  <c:v>9314.85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9799.37</c:v>
                </c:pt>
                <c:pt idx="1">
                  <c:v>9808.37</c:v>
                </c:pt>
                <c:pt idx="2">
                  <c:v>9799.37</c:v>
                </c:pt>
                <c:pt idx="3">
                  <c:v>9808.37</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86fb428a-444b-47a6-aef7-98d97d98312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1045.43</c:v>
                </c:pt>
                <c:pt idx="8">
                  <c:v>290.68</c:v>
                </c:pt>
                <c:pt idx="9">
                  <c:v>0</c:v>
                </c:pt>
                <c:pt idx="10">
                  <c:v>0</c:v>
                </c:pt>
                <c:pt idx="11">
                  <c:v>0</c:v>
                </c:pt>
                <c:pt idx="12">
                  <c:v>8125.55</c:v>
                </c:pt>
                <c:pt idx="13">
                  <c:v>0</c:v>
                </c:pt>
                <c:pt idx="14">
                  <c:v>0</c:v>
                </c:pt>
                <c:pt idx="15">
                  <c:v>0</c:v>
                </c:pt>
                <c:pt idx="16">
                  <c:v>0</c:v>
                </c:pt>
                <c:pt idx="17">
                  <c:v>0</c:v>
                </c:pt>
                <c:pt idx="18">
                  <c:v>346.71</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df41435-eb09-4d3f-8399-ed7f6bc8128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50</Pages>
  <Words>2021</Words>
  <Characters>2860</Characters>
  <Lines>86</Lines>
  <Paragraphs>24</Paragraphs>
  <TotalTime>0</TotalTime>
  <ScaleCrop>false</ScaleCrop>
  <LinksUpToDate>false</LinksUpToDate>
  <CharactersWithSpaces>3073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乐妈</cp:lastModifiedBy>
  <cp:lastPrinted>2023-08-04T01:00:00Z</cp:lastPrinted>
  <dcterms:modified xsi:type="dcterms:W3CDTF">2025-09-11T08:41:24Z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eyJoZGlkIjoiY2Y0OGE4NGFhMWYzNmI3MTIzMTljYzQ4YTM0MmE5ZTMiLCJ1c2VySWQiOiIzNzY3MTc4NTYifQ==</vt:lpwstr>
  </property>
</Properties>
</file>