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348003</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：石家庄市交通运输服务中心</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石家庄市交通运输服务中心</w:t>
      </w:r>
    </w:p>
    <w:p>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年度单位决算公开文本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石家庄市交通运输服务中心</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val="en-US" w:eastAsia="zh-CN"/>
        </w:rPr>
        <w:t>单位</w:t>
      </w:r>
      <w:r>
        <w:rPr>
          <w:rFonts w:ascii="Times New Roman" w:eastAsia="黑体"/>
          <w:b w:val="0"/>
          <w:sz w:val="32"/>
          <w:szCs w:val="32"/>
        </w:rPr>
        <w:t>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widowControl/>
        <w:spacing w:before="0" w:beforeLines="0" w:beforeAutospacing="0" w:after="0" w:afterLines="0" w:afterAutospacing="0" w:line="360" w:lineRule="auto"/>
        <w:ind w:firstLine="660" w:firstLineChars="200"/>
        <w:jc w:val="left"/>
        <w:rPr>
          <w:rFonts w:ascii="Times New Roman" w:eastAsia="仿宋_GB2312"/>
          <w:sz w:val="32"/>
          <w:szCs w:val="32"/>
        </w:rPr>
      </w:pPr>
      <w:r>
        <w:rPr>
          <w:rFonts w:hint="eastAsia" w:ascii="仿宋_GB2312" w:hAnsi="仿宋_GB2312" w:eastAsia="仿宋_GB2312" w:cs="仿宋_GB2312"/>
          <w:sz w:val="33"/>
          <w:szCs w:val="33"/>
        </w:rPr>
        <w:t>石家庄市交通运输服务中心负责为石家庄市交通运输相关工作提供保障和服务。</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val="en-US"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石家庄市交通运输服务中心</w:t>
            </w:r>
          </w:p>
        </w:tc>
        <w:tc>
          <w:tcPr>
            <w:tcW w:w="244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单位：石家庄市交通运输服务中心</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单位：石家庄市交通运输服务中心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1,381.35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1,381.35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493.63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33.07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20.97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其他行政事业单位医疗支出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公路水路运输</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公路运输管理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716.23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单位：石家庄市交通运输服务中心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1,129.92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591.69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591.69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591.69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591.69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493.63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493.63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29.99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29.99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20.97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716.23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716.23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2140112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公路运输管理</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716.23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251.44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单位：石家庄市交通运输服务中心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591.69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591.69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33.07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33.07</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716.23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716.23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40.37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40.37</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1,381.35</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
        <w:gridCol w:w="3416"/>
        <w:gridCol w:w="321"/>
        <w:gridCol w:w="922"/>
        <w:gridCol w:w="1002"/>
        <w:gridCol w:w="378"/>
        <w:gridCol w:w="16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单位：石家庄市交通运输服务中心</w:t>
            </w:r>
          </w:p>
        </w:tc>
        <w:tc>
          <w:tcPr>
            <w:tcW w:w="154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1,381.35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1,129.92</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591.69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591.69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493.63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493.63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29.99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68.07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33.07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20.97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2140112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公路运输管理</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716.23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464.79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单位：石家庄市交通运输服务中心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518.57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107.13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151.90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16.30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5.49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107.74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83.16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29.99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68.07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31.85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38.75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40.37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11.22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504.22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489.00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7.15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16.16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14.23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1,022.79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单位：石家庄市交通运输服务中心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注：本单位本年度无政府性基金预算财政拨款收支及结转结余情况按要求以空表列示。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单位：石家庄市交通运输服务中心</w:t>
            </w:r>
          </w:p>
        </w:tc>
        <w:tc>
          <w:tcPr>
            <w:tcW w:w="1421"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注：本单位本年度无国有资本经营预算财政拨款收支及结转结余情况按要求以空表列示。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单位：石家庄市交通运输服务中心</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17.00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14.23</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14.23</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14.23</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val="en-US" w:eastAsia="zh-CN"/>
        </w:rPr>
        <w:t>单位</w:t>
      </w:r>
      <w:r>
        <w:rPr>
          <w:rFonts w:ascii="Times New Roman" w:eastAsia="黑体"/>
          <w:b w:val="0"/>
          <w:sz w:val="44"/>
          <w:szCs w:val="44"/>
        </w:rPr>
        <w:t>决算情况说明</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本单位2024年度收、支总计（含结转和结余）均为1,381.35万元。与2023年度决算相比，收支各减少72.49万元，下降5%，主要原因是</w:t>
      </w:r>
      <w:r>
        <w:rPr>
          <w:rFonts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val="en-US" w:eastAsia="zh-CN"/>
        </w:rPr>
        <w:t>人员经费及项目经费收支减少</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本单位2024年度本年收入合计1,381.35万元，其中：财政拨款收入1,381.35万元，占100%；上级补助收入0万元，占0%；事业收入0万元，占0%；经营收入0万元，占0%；附属单位上缴收入0万元，占0%；其他收入0万元，占0%。</w:t>
      </w:r>
    </w:p>
    <w:p>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本单位2024年度本年支出合计1,381.35万元，其中：基本支出1,129.92万元，占81.8%；项目支出251.44万元，占18.2%；上缴上级支出0万元，占0%；经营支出0万元，占0%；对附属单位补助支出0万元，占0%。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本单位2024年度财政拨款收、支总计（含结转和结余）均为1,381.35万元。与2023年度相比，财政拨款收支各减少72.49万元，降低5%，主要原因是</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人员经费决算收入的减少</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本单位2024年度财政拨款本年收入1,381.35万元,比上年减少72.49万元，降低5%，主要原因是</w:t>
      </w:r>
      <w:r>
        <w:rPr>
          <w:rFonts w:hint="eastAsia" w:ascii="Times New Roman" w:hAnsi="Times New Roman" w:eastAsia="仿宋_GB2312"/>
          <w:kern w:val="2"/>
          <w:sz w:val="32"/>
          <w:szCs w:val="32"/>
          <w:lang w:val="en-US" w:eastAsia="zh-CN"/>
        </w:rPr>
        <w:t>人员经费决算收入的减少</w:t>
      </w:r>
      <w:r>
        <w:rPr>
          <w:rFonts w:ascii="Times New Roman" w:eastAsia="仿宋_GB2312"/>
          <w:b w:val="0"/>
          <w:sz w:val="32"/>
          <w:szCs w:val="32"/>
        </w:rPr>
        <w:t>；本年支出1,381.35万元，比上年减少72.49万元，降低5%，主要原因是</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人员经费决算支出的减少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1.一般公共预算财政拨款本年收入1,381.35万元,比上年减少72.49万元，降低5%，主要原因是</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人员经费决算收入的减少</w:t>
      </w:r>
      <w:r>
        <w:rPr>
          <w:rFonts w:ascii="Times New Roman" w:eastAsia="仿宋_GB2312"/>
          <w:b w:val="0"/>
          <w:sz w:val="32"/>
          <w:szCs w:val="32"/>
        </w:rPr>
        <w:t>；本年支出1,381.35万元，比上年减少72.49万元，降低5%，主要原因是</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en-US" w:eastAsia="zh-CN"/>
        </w:rPr>
        <w:t>人员经费决算支出的减少</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仿宋_GB2312" w:cs="Times New Roman"/>
          <w:sz w:val="32"/>
          <w:szCs w:val="32"/>
          <w:highlight w:val="none"/>
          <w:lang w:val="en-US" w:eastAsia="zh-CN"/>
        </w:rPr>
      </w:pPr>
      <w:r>
        <w:rPr>
          <w:rFonts w:ascii="Times New Roman" w:eastAsia="仿宋_GB2312" w:cs="宋体" w:hAnsiTheme="minorHAnsi"/>
          <w:b w:val="0"/>
          <w:color w:val="auto"/>
          <w:kern w:val="0"/>
          <w:sz w:val="32"/>
          <w:szCs w:val="32"/>
          <w:lang w:val="en-US" w:eastAsia="zh-CN" w:bidi="ar-SA"/>
        </w:rPr>
        <w:t>本单位2024年度无政府性基金预算财政拨款收入和国有资本经营预算财政拨款收入。</w:t>
      </w: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本单位2024年度财政拨款本年收入1,381.35万元，完成年初预算的91.9%，比年初预算减少122.46万元，决算数小于预算数主要原因是</w:t>
      </w:r>
      <w:r>
        <w:rPr>
          <w:rFonts w:hint="eastAsia" w:ascii="Times New Roman" w:hAnsi="Times New Roman" w:eastAsia="仿宋_GB2312" w:cs="Times New Roman"/>
          <w:kern w:val="2"/>
          <w:sz w:val="32"/>
          <w:szCs w:val="32"/>
          <w:lang w:val="en-US" w:eastAsia="zh-CN"/>
        </w:rPr>
        <w:t>人员经费决算收入的减少</w:t>
      </w:r>
      <w:r>
        <w:rPr>
          <w:rFonts w:ascii="Times New Roman" w:eastAsia="仿宋_GB2312"/>
          <w:b w:val="0"/>
          <w:sz w:val="32"/>
          <w:szCs w:val="32"/>
        </w:rPr>
        <w:t>；本年支出1,381.35万元，完成年初预算的91.9%，比年初预算减少122.46万元，决算数小于预算数主要原因是</w:t>
      </w:r>
      <w:r>
        <w:rPr>
          <w:rFonts w:hint="eastAsia" w:ascii="Times New Roman" w:hAnsi="Times New Roman" w:eastAsia="仿宋_GB2312" w:cs="Times New Roman"/>
          <w:kern w:val="2"/>
          <w:sz w:val="32"/>
          <w:szCs w:val="32"/>
          <w:lang w:val="en-US" w:eastAsia="zh-CN"/>
        </w:rPr>
        <w:t>人员经费决算支出的减少</w:t>
      </w:r>
      <w:r>
        <w:rPr>
          <w:rFonts w:ascii="Times New Roman" w:eastAsia="仿宋_GB2312"/>
          <w:b w:val="0"/>
          <w:sz w:val="32"/>
          <w:szCs w:val="32"/>
        </w:rPr>
        <w:t>。具体情况如下：</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1.一般公共预算财政拨款本年收入完成年初预算的91.9%，比年初预算减少122.46万元，主要原因是</w:t>
      </w:r>
      <w:r>
        <w:rPr>
          <w:rFonts w:hint="eastAsia" w:ascii="Times New Roman" w:hAnsi="Times New Roman" w:eastAsia="仿宋_GB2312" w:cs="Times New Roman"/>
          <w:kern w:val="2"/>
          <w:sz w:val="32"/>
          <w:szCs w:val="32"/>
          <w:lang w:val="en-US" w:eastAsia="zh-CN"/>
        </w:rPr>
        <w:t>人员经费决算收入的减少</w:t>
      </w:r>
      <w:r>
        <w:rPr>
          <w:rFonts w:ascii="Times New Roman" w:eastAsia="仿宋_GB2312"/>
          <w:b w:val="0"/>
          <w:sz w:val="32"/>
          <w:szCs w:val="32"/>
        </w:rPr>
        <w:t>；支出完成年初预算的91.9%，比年初预算减少122.46万元，主要原因是</w:t>
      </w:r>
      <w:r>
        <w:rPr>
          <w:rFonts w:hint="eastAsia" w:ascii="Times New Roman" w:hAnsi="Times New Roman" w:eastAsia="仿宋_GB2312" w:cs="Times New Roman"/>
          <w:kern w:val="2"/>
          <w:sz w:val="32"/>
          <w:szCs w:val="32"/>
          <w:lang w:val="en-US" w:eastAsia="zh-CN"/>
        </w:rPr>
        <w:t>人员经费决算支出的减少，同时工作任务完成，节约部分支出</w:t>
      </w:r>
      <w:r>
        <w:rPr>
          <w:rFonts w:ascii="Times New Roman" w:eastAsia="仿宋_GB2312"/>
          <w:b w:val="0"/>
          <w:sz w:val="32"/>
          <w:szCs w:val="32"/>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none"/>
          <w:lang w:val="en-US" w:eastAsia="zh-CN" w:bidi="ar-SA"/>
        </w:rPr>
      </w:pPr>
      <w:r>
        <w:rPr>
          <w:rFonts w:hint="eastAsia" w:ascii="Times New Roman" w:eastAsia="仿宋_GB2312" w:cs="宋体"/>
          <w:b w:val="0"/>
          <w:color w:val="auto"/>
          <w:kern w:val="0"/>
          <w:sz w:val="32"/>
          <w:szCs w:val="32"/>
          <w:lang w:val="en-US" w:eastAsia="zh-CN" w:bidi="ar-SA"/>
        </w:rPr>
        <w:t xml:space="preserve">  </w:t>
      </w:r>
      <w:r>
        <w:rPr>
          <w:rFonts w:ascii="Times New Roman" w:eastAsia="仿宋_GB2312" w:cs="宋体" w:hAnsiTheme="minorHAnsi"/>
          <w:b w:val="0"/>
          <w:color w:val="auto"/>
          <w:kern w:val="0"/>
          <w:sz w:val="32"/>
          <w:szCs w:val="32"/>
          <w:lang w:val="en-US" w:eastAsia="zh-CN" w:bidi="ar-SA"/>
        </w:rPr>
        <w:t>本单位2024年度无政府性基金预算财政拨款收入和国有资本经营预算财政拨款收入。</w:t>
      </w: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2024年度财政拨款支出1,381.35万元，主要用于以下方面：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社会保障和就业（类）支出591.69万元，占42.8%，主要用于离退休人员经费、职工基 本养老保险等人员经费等支出；卫生健康（类）支出33.07万元，占2.4%，主要用于职工医疗保险等人员经费支出等支出；交通运输（类）支出716.23万元，占51.9%，主要用于人员工资、津贴补贴、日常公用经费、</w:t>
      </w:r>
      <w:r>
        <w:rPr>
          <w:rFonts w:hint="eastAsia" w:ascii="Times New Roman" w:eastAsia="仿宋_GB2312"/>
          <w:b w:val="0"/>
          <w:sz w:val="32"/>
          <w:szCs w:val="32"/>
          <w:lang w:val="en-US" w:eastAsia="zh-CN"/>
        </w:rPr>
        <w:t>专项公用、专项项目</w:t>
      </w:r>
      <w:r>
        <w:rPr>
          <w:rFonts w:ascii="Times New Roman" w:eastAsia="仿宋_GB2312"/>
          <w:b w:val="0"/>
          <w:sz w:val="32"/>
          <w:szCs w:val="32"/>
        </w:rPr>
        <w:t>等支出；住房保障（类）支出40.37万元，占2.9%，主要用于职工住房公积金等人员经费支出</w:t>
      </w:r>
      <w:r>
        <w:rPr>
          <w:rFonts w:hint="eastAsia" w:ascii="Times New Roman" w:eastAsia="仿宋_GB2312"/>
          <w:b w:val="0"/>
          <w:sz w:val="32"/>
          <w:szCs w:val="32"/>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2024年度财政拨款基本支出1,129.92万元，其中：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1,022.79万元，主要包括基本工资、津贴补贴、奖金、绩效工资、机关事业部门基本养老保险缴费、职业年金缴费、职工基本医疗保险缴费、公务员医疗补助缴费、住房公积金、医疗费、其他社会保障缴费、其他工资福利支出、</w:t>
      </w:r>
      <w:r>
        <w:rPr>
          <w:rFonts w:ascii="Times New Roman" w:hAnsi="Times New Roman" w:eastAsia="仿宋_GB2312"/>
          <w:kern w:val="2"/>
          <w:sz w:val="32"/>
          <w:szCs w:val="32"/>
          <w:lang w:val="zh-CN"/>
        </w:rPr>
        <w:t>退休费、</w:t>
      </w:r>
      <w:r>
        <w:rPr>
          <w:rFonts w:hint="eastAsia" w:ascii="Times New Roman" w:hAnsi="Times New Roman" w:eastAsia="仿宋_GB2312"/>
          <w:kern w:val="2"/>
          <w:sz w:val="32"/>
          <w:szCs w:val="32"/>
          <w:lang w:val="en-US" w:eastAsia="zh-CN"/>
        </w:rPr>
        <w:t>退职（役）费、</w:t>
      </w:r>
      <w:bookmarkStart w:id="0" w:name="_GoBack"/>
      <w:bookmarkEnd w:id="0"/>
      <w:r>
        <w:rPr>
          <w:rFonts w:ascii="Times New Roman" w:eastAsia="仿宋_GB2312"/>
          <w:b w:val="0"/>
          <w:sz w:val="32"/>
          <w:szCs w:val="32"/>
        </w:rPr>
        <w:t>抚恤金、生活补助、奖励金、其他对个人和家庭的补助支出。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公用经费107.13万元，主要包括</w:t>
      </w:r>
      <w:r>
        <w:rPr>
          <w:rFonts w:ascii="Times New Roman" w:hAnsi="Times New Roman" w:eastAsia="仿宋_GB2312"/>
          <w:kern w:val="2"/>
          <w:sz w:val="32"/>
          <w:szCs w:val="32"/>
          <w:lang w:val="zh-CN"/>
        </w:rPr>
        <w:t>主要包括办公费</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取暖费、维修（护）费、培训费、工会经费、福利费、公务用车运行维护费、其他商品和服务支出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本单位2024年度“三公”经费财政拨款支出预算为17.00万元，支出决算为14.23万元，完成预算的83.7%，较预算减少2.77万元，降低16.3%，主要原因是</w:t>
      </w:r>
      <w:r>
        <w:rPr>
          <w:rFonts w:hint="eastAsia" w:ascii="Times New Roman" w:eastAsia="仿宋_GB2312"/>
          <w:b w:val="0"/>
          <w:sz w:val="32"/>
          <w:szCs w:val="32"/>
          <w:lang w:val="en-US" w:eastAsia="zh-CN"/>
        </w:rPr>
        <w:t>厉行节约，减少支出</w:t>
      </w:r>
      <w:r>
        <w:rPr>
          <w:rFonts w:ascii="Times New Roman" w:eastAsia="仿宋_GB2312"/>
          <w:b w:val="0"/>
          <w:sz w:val="32"/>
          <w:szCs w:val="32"/>
        </w:rPr>
        <w:t>；较2023年度决算减少1.42万元，降低9.1%，主要原因是</w:t>
      </w:r>
      <w:r>
        <w:rPr>
          <w:rFonts w:hint="eastAsia" w:ascii="Times New Roman" w:eastAsia="仿宋_GB2312"/>
          <w:b w:val="0"/>
          <w:sz w:val="32"/>
          <w:szCs w:val="32"/>
          <w:lang w:val="en-US" w:eastAsia="zh-CN"/>
        </w:rPr>
        <w:t>2024下半年取消3辆公车租赁，公车维修费降低</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left"/>
        <w:rPr>
          <w:rFonts w:ascii="Times New Roman" w:hAnsi="Times New Roman" w:eastAsia="仿宋_GB2312"/>
          <w:kern w:val="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本单位2024年度因公出国（境）费支出预算为0万元,支出决算0万元。完成预算的0%。因公出国（境）费支出较</w:t>
      </w:r>
      <w:r>
        <w:rPr>
          <w:rFonts w:ascii="Times New Roman" w:hAnsi="Times New Roman" w:eastAsia="仿宋_GB2312"/>
          <w:kern w:val="2"/>
          <w:sz w:val="32"/>
          <w:szCs w:val="32"/>
        </w:rPr>
        <w:t>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；较上年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lang w:val="en-US" w:eastAsia="zh-CN"/>
        </w:rPr>
        <w:t>本单位无此项支出费用</w:t>
      </w:r>
      <w:r>
        <w:rPr>
          <w:rFonts w:ascii="Times New Roman" w:hAnsi="Times New Roman" w:eastAsia="仿宋_GB2312"/>
          <w:kern w:val="2"/>
          <w:sz w:val="32"/>
          <w:szCs w:val="32"/>
        </w:rPr>
        <w:t>。无本</w:t>
      </w:r>
      <w:r>
        <w:rPr>
          <w:rFonts w:hint="eastAsia" w:ascii="Times New Roman" w:hAnsi="Times New Roman" w:eastAsia="仿宋_GB2312"/>
          <w:kern w:val="2"/>
          <w:sz w:val="32"/>
          <w:szCs w:val="32"/>
          <w:lang w:val="en-US" w:eastAsia="zh-CN"/>
        </w:rPr>
        <w:t>单位</w:t>
      </w:r>
      <w:r>
        <w:rPr>
          <w:rFonts w:ascii="Times New Roman" w:hAnsi="Times New Roman" w:eastAsia="仿宋_GB2312"/>
          <w:kern w:val="2"/>
          <w:sz w:val="32"/>
          <w:szCs w:val="32"/>
        </w:rPr>
        <w:t>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本单位2024年度公务用车购置及运行维护费预算为17.00万元，支出决算14.23万元，完成预算的83.7%,较预算减少2.77万元，降低16.3%,主要原因是</w:t>
      </w:r>
      <w:r>
        <w:rPr>
          <w:rFonts w:hint="eastAsia" w:ascii="Times New Roman" w:eastAsia="仿宋_GB2312"/>
          <w:b w:val="0"/>
          <w:sz w:val="32"/>
          <w:szCs w:val="32"/>
          <w:lang w:val="en-US" w:eastAsia="zh-CN"/>
        </w:rPr>
        <w:t>厉行节约，减少支出</w:t>
      </w:r>
      <w:r>
        <w:rPr>
          <w:rFonts w:ascii="Times New Roman" w:eastAsia="仿宋_GB2312"/>
          <w:b w:val="0"/>
          <w:sz w:val="32"/>
          <w:szCs w:val="32"/>
        </w:rPr>
        <w:t>；较上年减少1.42万元，降低9.1%,主要原因是</w:t>
      </w:r>
      <w:r>
        <w:rPr>
          <w:rFonts w:hint="eastAsia" w:ascii="Times New Roman" w:eastAsia="仿宋_GB2312"/>
          <w:b w:val="0"/>
          <w:sz w:val="32"/>
          <w:szCs w:val="32"/>
          <w:lang w:val="en-US" w:eastAsia="zh-CN"/>
        </w:rPr>
        <w:t>2024下半年取消3辆公车租赁，公车维修费降低</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本单位2024年度公务用车购置量0辆，发生“公务用车购置”经费支出0万元。公务用车购置费支出</w:t>
      </w:r>
      <w:r>
        <w:rPr>
          <w:rFonts w:hint="eastAsia" w:ascii="Times New Roman" w:eastAsia="仿宋_GB2312"/>
          <w:b w:val="0"/>
          <w:sz w:val="32"/>
          <w:szCs w:val="32"/>
          <w:lang w:val="en-US" w:eastAsia="zh-CN"/>
        </w:rPr>
        <w:t>与</w:t>
      </w:r>
      <w:r>
        <w:rPr>
          <w:rFonts w:ascii="Times New Roman" w:hAnsi="Times New Roman" w:eastAsia="仿宋_GB2312" w:cs="Times New Roman"/>
          <w:kern w:val="2"/>
          <w:sz w:val="32"/>
          <w:szCs w:val="32"/>
          <w:lang w:val="zh-CN"/>
        </w:rPr>
        <w:t>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val="en-US" w:eastAsia="zh-CN"/>
        </w:rPr>
        <w:t>本年度没有公车购置费用</w:t>
      </w:r>
      <w:r>
        <w:rPr>
          <w:rFonts w:ascii="Times New Roman" w:eastAsia="仿宋_GB2312"/>
          <w:b w:val="0"/>
          <w:sz w:val="32"/>
          <w:szCs w:val="32"/>
        </w:rPr>
        <w:t>；</w:t>
      </w:r>
      <w:r>
        <w:rPr>
          <w:rFonts w:hint="eastAsia" w:ascii="Times New Roman" w:eastAsia="仿宋_GB2312"/>
          <w:b w:val="0"/>
          <w:sz w:val="32"/>
          <w:szCs w:val="32"/>
          <w:lang w:val="en-US" w:eastAsia="zh-CN"/>
        </w:rPr>
        <w:t>与</w:t>
      </w:r>
      <w:r>
        <w:rPr>
          <w:rFonts w:ascii="Times New Roman" w:eastAsia="仿宋_GB2312"/>
          <w:b w:val="0"/>
          <w:sz w:val="32"/>
          <w:szCs w:val="32"/>
        </w:rPr>
        <w:t>上年</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Fonts w:ascii="Times New Roman" w:hAnsi="Times New Roman" w:eastAsia="仿宋_GB2312"/>
          <w:sz w:val="32"/>
          <w:szCs w:val="32"/>
          <w:highlight w:val="none"/>
        </w:rPr>
        <w:t>未发生</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公务用车购置</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经费支出</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公务用车运行维护费支出14.23万元：</w:t>
      </w:r>
      <w:r>
        <w:rPr>
          <w:rFonts w:ascii="Times New Roman" w:eastAsia="仿宋_GB2312"/>
          <w:b w:val="0"/>
          <w:sz w:val="32"/>
          <w:szCs w:val="32"/>
        </w:rPr>
        <w:t>本单位2024年度单位公务用车保有量9辆，发生运行维护费支出14.23万元。公车运行维护费支出较预算减少2.77万元，降低16.3%,主要原因是</w:t>
      </w:r>
      <w:r>
        <w:rPr>
          <w:rFonts w:hint="eastAsia" w:ascii="Times New Roman" w:eastAsia="仿宋_GB2312"/>
          <w:b w:val="0"/>
          <w:sz w:val="32"/>
          <w:szCs w:val="32"/>
          <w:lang w:val="en-US" w:eastAsia="zh-CN"/>
        </w:rPr>
        <w:t>厉行节约，减少支出</w:t>
      </w:r>
      <w:r>
        <w:rPr>
          <w:rFonts w:ascii="Times New Roman" w:eastAsia="仿宋_GB2312"/>
          <w:b w:val="0"/>
          <w:sz w:val="32"/>
          <w:szCs w:val="32"/>
        </w:rPr>
        <w:t>；较上年减少1.42万元，降低9.1%，主要原因是</w:t>
      </w:r>
      <w:r>
        <w:rPr>
          <w:rFonts w:hint="eastAsia" w:ascii="Times New Roman" w:eastAsia="仿宋_GB2312"/>
          <w:b w:val="0"/>
          <w:sz w:val="32"/>
          <w:szCs w:val="32"/>
          <w:lang w:val="en-US" w:eastAsia="zh-CN"/>
        </w:rPr>
        <w:t>2024下半年取消3辆公车租赁，公车维修费降低</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本单位2024年度公务接待费支出预算为0万元，支出决算0万元，完成预算的0%。公务接待费支出</w:t>
      </w:r>
      <w:r>
        <w:rPr>
          <w:rFonts w:hint="eastAsia" w:ascii="Times New Roman" w:eastAsia="仿宋_GB2312"/>
          <w:b w:val="0"/>
          <w:sz w:val="32"/>
          <w:szCs w:val="32"/>
          <w:lang w:val="en-US" w:eastAsia="zh-CN"/>
        </w:rPr>
        <w:t>与</w:t>
      </w:r>
      <w:r>
        <w:rPr>
          <w:rFonts w:ascii="Times New Roman" w:eastAsia="仿宋_GB2312"/>
          <w:b w:val="0"/>
          <w:sz w:val="32"/>
          <w:szCs w:val="32"/>
        </w:rPr>
        <w:t>预算</w:t>
      </w:r>
      <w:r>
        <w:rPr>
          <w:rFonts w:hint="eastAsia" w:ascii="Times New Roman" w:eastAsia="仿宋_GB2312"/>
          <w:b w:val="0"/>
          <w:sz w:val="32"/>
          <w:szCs w:val="32"/>
          <w:lang w:val="en-US" w:eastAsia="zh-CN"/>
        </w:rPr>
        <w:t>持平</w:t>
      </w:r>
      <w:r>
        <w:rPr>
          <w:rFonts w:ascii="Times New Roman" w:eastAsia="仿宋_GB2312"/>
          <w:b w:val="0"/>
          <w:sz w:val="32"/>
          <w:szCs w:val="32"/>
        </w:rPr>
        <w:t>，主要原因是</w:t>
      </w:r>
      <w:r>
        <w:rPr>
          <w:rStyle w:val="13"/>
          <w:rFonts w:hint="eastAsia" w:ascii="仿宋_GB2312" w:hAnsi="仿宋_GB2312" w:eastAsia="仿宋_GB2312" w:cs="仿宋_GB2312"/>
          <w:b w:val="0"/>
          <w:bCs w:val="0"/>
          <w:i w:val="0"/>
          <w:iCs w:val="0"/>
          <w:caps w:val="0"/>
          <w:color w:val="333333"/>
          <w:spacing w:val="0"/>
          <w:sz w:val="33"/>
          <w:szCs w:val="33"/>
          <w:rtl w:val="0"/>
        </w:rPr>
        <w:t>本单位无相关费用的支出</w:t>
      </w:r>
      <w:r>
        <w:rPr>
          <w:rFonts w:ascii="Times New Roman" w:eastAsia="仿宋_GB2312"/>
          <w:b w:val="0"/>
          <w:sz w:val="32"/>
          <w:szCs w:val="32"/>
        </w:rPr>
        <w:t>；</w:t>
      </w:r>
      <w:r>
        <w:rPr>
          <w:rFonts w:hint="eastAsia" w:ascii="Times New Roman" w:hAnsi="Times New Roman" w:eastAsia="仿宋_GB2312" w:cs="Times New Roman"/>
          <w:kern w:val="2"/>
          <w:sz w:val="32"/>
          <w:szCs w:val="32"/>
          <w:lang w:val="en-US" w:eastAsia="zh-CN"/>
        </w:rPr>
        <w:t>与</w:t>
      </w:r>
      <w:r>
        <w:rPr>
          <w:rFonts w:ascii="Times New Roman" w:hAnsi="Times New Roman" w:eastAsia="仿宋_GB2312" w:cs="Times New Roman"/>
          <w:kern w:val="2"/>
          <w:sz w:val="32"/>
          <w:szCs w:val="32"/>
          <w:lang w:val="zh-CN"/>
        </w:rPr>
        <w:t>上年度</w:t>
      </w:r>
      <w:r>
        <w:rPr>
          <w:rFonts w:hint="eastAsia" w:ascii="Times New Roman" w:hAnsi="Times New Roman" w:eastAsia="仿宋_GB2312" w:cs="Times New Roman"/>
          <w:kern w:val="2"/>
          <w:sz w:val="32"/>
          <w:szCs w:val="32"/>
          <w:lang w:val="en-US" w:eastAsia="zh-CN"/>
        </w:rPr>
        <w:t>持平</w:t>
      </w:r>
      <w:r>
        <w:rPr>
          <w:rFonts w:hint="eastAsia" w:ascii="Times New Roman" w:hAnsi="Times New Roman" w:eastAsia="仿宋_GB2312" w:cs="Times New Roman"/>
          <w:kern w:val="2"/>
          <w:sz w:val="32"/>
          <w:szCs w:val="32"/>
          <w:lang w:val="zh-CN"/>
        </w:rPr>
        <w:t>，</w:t>
      </w:r>
      <w:r>
        <w:rPr>
          <w:rFonts w:ascii="Times New Roman" w:hAnsi="Times New Roman" w:eastAsia="仿宋_GB2312" w:cs="Times New Roman"/>
          <w:kern w:val="2"/>
          <w:sz w:val="32"/>
          <w:szCs w:val="32"/>
          <w:lang w:val="zh-CN"/>
        </w:rPr>
        <w:t>主要是</w:t>
      </w:r>
      <w:r>
        <w:rPr>
          <w:rStyle w:val="13"/>
          <w:rFonts w:hint="eastAsia" w:ascii="仿宋_GB2312" w:hAnsi="仿宋_GB2312" w:eastAsia="仿宋_GB2312" w:cs="仿宋_GB2312"/>
          <w:b w:val="0"/>
          <w:bCs w:val="0"/>
          <w:i w:val="0"/>
          <w:iCs w:val="0"/>
          <w:caps w:val="0"/>
          <w:color w:val="333333"/>
          <w:spacing w:val="0"/>
          <w:sz w:val="33"/>
          <w:szCs w:val="33"/>
          <w:rtl w:val="0"/>
        </w:rPr>
        <w:t>本单位无相关费用的支出</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w:t>
      </w:r>
      <w:r>
        <w:rPr>
          <w:rFonts w:hint="eastAsia" w:ascii="Times New Roman" w:eastAsia="仿宋_GB2312"/>
          <w:b w:val="0"/>
          <w:sz w:val="32"/>
          <w:szCs w:val="32"/>
          <w:lang w:val="en-US" w:eastAsia="zh-CN"/>
        </w:rPr>
        <w:t>107.13</w:t>
      </w:r>
      <w:r>
        <w:rPr>
          <w:rFonts w:ascii="Times New Roman" w:eastAsia="仿宋_GB2312"/>
          <w:b w:val="0"/>
          <w:sz w:val="32"/>
          <w:szCs w:val="32"/>
        </w:rPr>
        <w:t>万元，较2023年度</w:t>
      </w:r>
      <w:r>
        <w:rPr>
          <w:rFonts w:hint="eastAsia" w:ascii="Times New Roman" w:eastAsia="仿宋_GB2312"/>
          <w:b w:val="0"/>
          <w:sz w:val="32"/>
          <w:szCs w:val="32"/>
          <w:lang w:val="en-US" w:eastAsia="zh-CN"/>
        </w:rPr>
        <w:t>减少5.3</w:t>
      </w:r>
      <w:r>
        <w:rPr>
          <w:rFonts w:ascii="Times New Roman" w:eastAsia="仿宋_GB2312"/>
          <w:b w:val="0"/>
          <w:sz w:val="32"/>
          <w:szCs w:val="32"/>
        </w:rPr>
        <w:t>万元，</w:t>
      </w:r>
      <w:r>
        <w:rPr>
          <w:rFonts w:hint="eastAsia" w:ascii="Times New Roman" w:eastAsia="仿宋_GB2312"/>
          <w:b w:val="0"/>
          <w:sz w:val="32"/>
          <w:szCs w:val="32"/>
          <w:lang w:val="en-US" w:eastAsia="zh-CN"/>
        </w:rPr>
        <w:t>降低4.7</w:t>
      </w:r>
      <w:r>
        <w:rPr>
          <w:rFonts w:ascii="Times New Roman" w:eastAsia="仿宋_GB2312"/>
          <w:b w:val="0"/>
          <w:sz w:val="32"/>
          <w:szCs w:val="32"/>
        </w:rPr>
        <w:t>%。主要原因是</w:t>
      </w:r>
      <w:r>
        <w:rPr>
          <w:rFonts w:hint="eastAsia" w:ascii="Times New Roman" w:eastAsia="仿宋_GB2312"/>
          <w:b w:val="0"/>
          <w:sz w:val="32"/>
          <w:szCs w:val="32"/>
          <w:lang w:val="en-US" w:eastAsia="zh-CN"/>
        </w:rPr>
        <w:t>厉行节约，减少支出</w:t>
      </w:r>
      <w:r>
        <w:rPr>
          <w:rFonts w:ascii="Times New Roman" w:eastAsia="仿宋_GB2312"/>
          <w:b w:val="0"/>
          <w:sz w:val="32"/>
          <w:szCs w:val="32"/>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75.58万元，从采购类型来看，政府采购货物支出6.48万元、政府采购工程支出0万元、政府采购服务支出69.10万元。授予中小企业合同金额75.58万元，占政府采购支出总额的100%，其中授予小微企业合同金额69.49万元，占政府采购支出总额的91.9%。</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截至2024年12月31日，本单位共有车辆9辆，</w:t>
      </w:r>
      <w:r>
        <w:rPr>
          <w:rFonts w:hint="eastAsia" w:ascii="Times New Roman" w:eastAsia="仿宋_GB2312"/>
          <w:b w:val="0"/>
          <w:sz w:val="32"/>
          <w:szCs w:val="32"/>
          <w:lang w:val="en-US" w:eastAsia="zh-CN"/>
        </w:rPr>
        <w:t>与</w:t>
      </w:r>
      <w:r>
        <w:rPr>
          <w:rFonts w:ascii="Times New Roman" w:eastAsia="仿宋_GB2312"/>
          <w:b w:val="0"/>
          <w:sz w:val="32"/>
          <w:szCs w:val="32"/>
        </w:rPr>
        <w:t>上年</w:t>
      </w:r>
      <w:r>
        <w:rPr>
          <w:rFonts w:hint="eastAsia" w:ascii="Times New Roman" w:eastAsia="仿宋_GB2312"/>
          <w:b w:val="0"/>
          <w:sz w:val="32"/>
          <w:szCs w:val="32"/>
          <w:lang w:val="en-US" w:eastAsia="zh-CN"/>
        </w:rPr>
        <w:t>持平</w:t>
      </w:r>
      <w:r>
        <w:rPr>
          <w:rFonts w:ascii="Times New Roman" w:eastAsia="仿宋_GB2312"/>
          <w:b w:val="0"/>
          <w:sz w:val="32"/>
          <w:szCs w:val="32"/>
        </w:rPr>
        <w:t>。其中，副部（省）级及以上领导用车0辆，主要负责人用车0辆，机要通信用车0辆，应急保障用车0辆，执法执勤用车4辆，特种专业技术用车0辆，离退休干部用车1辆，其他用车4辆，其他用车主要是。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251.44</w:t>
      </w:r>
      <w:r>
        <w:rPr>
          <w:rFonts w:ascii="Times New Roman" w:eastAsia="仿宋_GB2312"/>
          <w:b w:val="0"/>
          <w:sz w:val="32"/>
          <w:szCs w:val="32"/>
        </w:rPr>
        <w:t>万元。其中，一般公共预算项目</w:t>
      </w:r>
      <w:r>
        <w:rPr>
          <w:rFonts w:hint="eastAsia" w:ascii="Times New Roman" w:eastAsia="仿宋_GB2312"/>
          <w:b w:val="0"/>
          <w:sz w:val="32"/>
          <w:szCs w:val="32"/>
          <w:lang w:val="en-US" w:eastAsia="zh-CN"/>
        </w:rPr>
        <w:t>11</w:t>
      </w:r>
      <w:r>
        <w:rPr>
          <w:rFonts w:ascii="Times New Roman" w:eastAsia="仿宋_GB2312"/>
          <w:b w:val="0"/>
          <w:sz w:val="32"/>
          <w:szCs w:val="32"/>
        </w:rPr>
        <w:t>个，涉及资金</w:t>
      </w:r>
      <w:r>
        <w:rPr>
          <w:rFonts w:hint="eastAsia" w:ascii="Times New Roman" w:eastAsia="仿宋_GB2312"/>
          <w:b w:val="0"/>
          <w:sz w:val="32"/>
          <w:szCs w:val="32"/>
          <w:lang w:val="en-US" w:eastAsia="zh-CN"/>
        </w:rPr>
        <w:t>251.44</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pPr>
        <w:pStyle w:val="10"/>
        <w:widowControl/>
        <w:spacing w:beforeAutospacing="0" w:afterAutospacing="0"/>
        <w:ind w:firstLine="640" w:firstLineChars="200"/>
        <w:rPr>
          <w:rFonts w:ascii="Times New Roman" w:eastAsia="仿宋_GB2312"/>
          <w:b w:val="0"/>
          <w:sz w:val="32"/>
          <w:szCs w:val="32"/>
        </w:rPr>
      </w:pPr>
      <w:r>
        <w:rPr>
          <w:rFonts w:hint="eastAsia" w:ascii="Times New Roman" w:hAnsi="Times New Roman" w:eastAsia="仿宋_GB2312"/>
          <w:kern w:val="2"/>
          <w:sz w:val="32"/>
          <w:szCs w:val="32"/>
          <w:lang w:val="en-US" w:eastAsia="zh-CN"/>
        </w:rPr>
        <w:t>本单位</w:t>
      </w: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en-US" w:eastAsia="zh-CN"/>
        </w:rPr>
        <w:t>物业管理费</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聘用人员劳务费用</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11</w:t>
      </w:r>
      <w:r>
        <w:rPr>
          <w:rFonts w:ascii="Times New Roman" w:hAnsi="Times New Roman" w:eastAsia="仿宋_GB2312"/>
          <w:kern w:val="2"/>
          <w:sz w:val="32"/>
          <w:szCs w:val="32"/>
          <w:lang w:val="zh-CN"/>
        </w:rPr>
        <w:t>个项目开展</w:t>
      </w:r>
      <w:r>
        <w:rPr>
          <w:rFonts w:hint="eastAsia" w:ascii="Times New Roman" w:hAnsi="Times New Roman" w:eastAsia="仿宋_GB2312"/>
          <w:kern w:val="2"/>
          <w:sz w:val="32"/>
          <w:szCs w:val="32"/>
          <w:lang w:val="en-US" w:eastAsia="zh-CN"/>
        </w:rPr>
        <w:t>自评</w:t>
      </w:r>
      <w:r>
        <w:rPr>
          <w:rFonts w:ascii="Times New Roman" w:hAnsi="Times New Roman" w:eastAsia="仿宋_GB2312"/>
          <w:kern w:val="2"/>
          <w:sz w:val="32"/>
          <w:szCs w:val="32"/>
          <w:lang w:val="zh-CN"/>
        </w:rPr>
        <w:t>，涉及一般公共预算支出</w:t>
      </w:r>
      <w:r>
        <w:rPr>
          <w:rFonts w:hint="eastAsia" w:ascii="Times New Roman" w:hAnsi="Times New Roman" w:eastAsia="仿宋_GB2312"/>
          <w:kern w:val="2"/>
          <w:sz w:val="32"/>
          <w:szCs w:val="32"/>
          <w:lang w:val="en-US" w:eastAsia="zh-CN"/>
        </w:rPr>
        <w:t>251.44</w:t>
      </w:r>
      <w:r>
        <w:rPr>
          <w:rFonts w:ascii="Times New Roman" w:hAnsi="Times New Roman" w:eastAsia="仿宋_GB2312"/>
          <w:kern w:val="2"/>
          <w:sz w:val="32"/>
          <w:szCs w:val="32"/>
          <w:lang w:val="zh-CN"/>
        </w:rPr>
        <w:t>万元，政府性基金预算支出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万元。从评价情况来看，</w:t>
      </w:r>
      <w:r>
        <w:rPr>
          <w:rFonts w:hint="eastAsia" w:ascii="Times New Roman" w:hAnsi="Times New Roman" w:eastAsia="仿宋_GB2312"/>
          <w:sz w:val="32"/>
          <w:szCs w:val="32"/>
          <w:highlight w:val="none"/>
          <w:lang w:val="en-US" w:eastAsia="zh-CN"/>
        </w:rPr>
        <w:t>各</w:t>
      </w:r>
      <w:r>
        <w:rPr>
          <w:rFonts w:hint="eastAsia" w:ascii="Times New Roman" w:hAnsi="Times New Roman" w:eastAsia="仿宋_GB2312"/>
          <w:kern w:val="2"/>
          <w:sz w:val="32"/>
          <w:szCs w:val="32"/>
          <w:lang w:val="en-US" w:eastAsia="zh-CN"/>
        </w:rPr>
        <w:t>个项目</w:t>
      </w:r>
      <w:r>
        <w:rPr>
          <w:rFonts w:hint="eastAsia" w:ascii="Times New Roman" w:hAnsi="Times New Roman" w:eastAsia="仿宋_GB2312"/>
          <w:kern w:val="2"/>
          <w:sz w:val="32"/>
          <w:szCs w:val="32"/>
          <w:lang w:val="zh-CN"/>
        </w:rPr>
        <w:t>绩效目标设定基本清晰准确，绩效指标全面完整、科学合理，绩效标准设立的基本恰当适宜、易于评价，可以深入分析原因，容易查找实际与预算的差距</w:t>
      </w:r>
      <w:r>
        <w:rPr>
          <w:rFonts w:ascii="Times New Roman" w:hAnsi="Times New Roman" w:eastAsia="仿宋_GB2312"/>
          <w:kern w:val="2"/>
          <w:sz w:val="32"/>
          <w:szCs w:val="32"/>
          <w:lang w:val="zh-CN"/>
        </w:rPr>
        <w:t>。</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val="en-US" w:eastAsia="zh-CN"/>
        </w:rPr>
        <w:t>单位</w:t>
      </w:r>
      <w:r>
        <w:rPr>
          <w:rFonts w:ascii="Times New Roman" w:eastAsia="仿宋_GB2312"/>
          <w:b/>
          <w:sz w:val="32"/>
          <w:szCs w:val="32"/>
        </w:rPr>
        <w:t>决算中项目绩效自评结果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w:t>
      </w:r>
      <w:r>
        <w:rPr>
          <w:rFonts w:hint="eastAsia" w:ascii="Times New Roman" w:eastAsia="仿宋_GB2312"/>
          <w:b w:val="0"/>
          <w:sz w:val="32"/>
          <w:szCs w:val="32"/>
          <w:lang w:val="en-US" w:eastAsia="zh-CN"/>
        </w:rPr>
        <w:t>单位</w:t>
      </w:r>
      <w:r>
        <w:rPr>
          <w:rFonts w:ascii="Times New Roman" w:eastAsia="仿宋_GB2312"/>
          <w:b w:val="0"/>
          <w:sz w:val="32"/>
          <w:szCs w:val="32"/>
        </w:rPr>
        <w:t>决算公开中反映</w:t>
      </w:r>
      <w:r>
        <w:rPr>
          <w:rFonts w:hint="eastAsia" w:ascii="Times New Roman" w:eastAsia="仿宋_GB2312"/>
          <w:b w:val="0"/>
          <w:sz w:val="32"/>
          <w:szCs w:val="32"/>
          <w:lang w:val="en-US" w:eastAsia="zh-CN"/>
        </w:rPr>
        <w:t>聘用人员劳务费</w:t>
      </w:r>
      <w:r>
        <w:rPr>
          <w:rFonts w:ascii="Times New Roman" w:eastAsia="仿宋_GB2312"/>
          <w:b w:val="0"/>
          <w:sz w:val="32"/>
          <w:szCs w:val="32"/>
        </w:rPr>
        <w:t>等</w:t>
      </w:r>
      <w:r>
        <w:rPr>
          <w:rFonts w:hint="eastAsia" w:ascii="Times New Roman" w:eastAsia="仿宋_GB2312"/>
          <w:b w:val="0"/>
          <w:sz w:val="32"/>
          <w:szCs w:val="32"/>
          <w:lang w:val="en-US" w:eastAsia="zh-CN"/>
        </w:rPr>
        <w:t>11</w:t>
      </w:r>
      <w:r>
        <w:rPr>
          <w:rFonts w:ascii="Times New Roman" w:eastAsia="仿宋_GB2312"/>
          <w:b w:val="0"/>
          <w:sz w:val="32"/>
          <w:szCs w:val="32"/>
        </w:rPr>
        <w:t>个项目绩效自评结果。</w:t>
      </w:r>
    </w:p>
    <w:p>
      <w:pPr>
        <w:widowControl/>
        <w:numPr>
          <w:ilvl w:val="0"/>
          <w:numId w:val="2"/>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党组织活动经费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为99.9</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2.56</w:t>
      </w:r>
      <w:r>
        <w:rPr>
          <w:rFonts w:ascii="Times New Roman" w:eastAsia="仿宋_GB2312"/>
          <w:b w:val="0"/>
          <w:sz w:val="32"/>
          <w:szCs w:val="32"/>
        </w:rPr>
        <w:t>万元，执行数为</w:t>
      </w:r>
      <w:r>
        <w:rPr>
          <w:rFonts w:hint="eastAsia" w:ascii="Times New Roman" w:eastAsia="仿宋_GB2312"/>
          <w:b w:val="0"/>
          <w:sz w:val="32"/>
          <w:szCs w:val="32"/>
          <w:lang w:val="en-US" w:eastAsia="zh-CN"/>
        </w:rPr>
        <w:t>2.56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2"/>
        <w:gridCol w:w="979"/>
        <w:gridCol w:w="797"/>
        <w:gridCol w:w="856"/>
        <w:gridCol w:w="867"/>
        <w:gridCol w:w="813"/>
        <w:gridCol w:w="1126"/>
        <w:gridCol w:w="1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1025" w:type="dxa"/>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301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115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3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03"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1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5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35"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6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301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9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党组织活动经费（专项资金)</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9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0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2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3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2.5595</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3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2.5595</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3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3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08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330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 w:hRule="atLeast"/>
          <w:jc w:val="center"/>
        </w:trPr>
        <w:tc>
          <w:tcPr>
            <w:tcW w:w="3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8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1.通过党组织专项资金的运用，保障处党委和所属党支部党建活动的正常开展。2.订阅党报党刊，组织党员进行党性教育，警示教育，革命传统教育等。</w:t>
            </w:r>
          </w:p>
        </w:tc>
        <w:tc>
          <w:tcPr>
            <w:tcW w:w="330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党组织活动经费预算资金2.5595万元已支付完成。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jc w:val="center"/>
        </w:trPr>
        <w:tc>
          <w:tcPr>
            <w:tcW w:w="3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8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3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3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8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30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3016"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3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9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党组织活动的次数</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≥3次</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5次</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组织活动人员的参加率</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党性教育的周期</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1次</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1次</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项目资金的控制额度</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2.5595万元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3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93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99.98%</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提高党员的理论素养</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显著提高</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显著提高</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3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93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党员的满意程度</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016"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8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301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800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3016"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1155"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宗力军</w:t>
            </w:r>
          </w:p>
        </w:tc>
        <w:tc>
          <w:tcPr>
            <w:tcW w:w="93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03"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16"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950"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335"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16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67668716</w:t>
            </w:r>
          </w:p>
        </w:tc>
      </w:tr>
    </w:tbl>
    <w:p>
      <w:pPr>
        <w:widowControl/>
        <w:numPr>
          <w:ilvl w:val="0"/>
          <w:numId w:val="0"/>
        </w:numPr>
        <w:spacing w:before="0" w:beforeLines="0" w:beforeAutospacing="0" w:after="0" w:afterLines="0" w:afterAutospacing="0" w:line="360" w:lineRule="auto"/>
        <w:jc w:val="left"/>
        <w:rPr>
          <w:rFonts w:ascii="Times New Roman" w:eastAsia="仿宋_GB2312"/>
          <w:b w:val="0"/>
          <w:sz w:val="32"/>
          <w:szCs w:val="32"/>
        </w:rPr>
      </w:pPr>
    </w:p>
    <w:p>
      <w:pPr>
        <w:widowControl/>
        <w:numPr>
          <w:ilvl w:val="0"/>
          <w:numId w:val="2"/>
        </w:numPr>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电梯运维费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2.8</w:t>
      </w:r>
      <w:r>
        <w:rPr>
          <w:rFonts w:ascii="Times New Roman" w:eastAsia="仿宋_GB2312"/>
          <w:b w:val="0"/>
          <w:sz w:val="32"/>
          <w:szCs w:val="32"/>
        </w:rPr>
        <w:t>万元，执行数为</w:t>
      </w:r>
      <w:r>
        <w:rPr>
          <w:rFonts w:hint="eastAsia" w:ascii="Times New Roman" w:eastAsia="仿宋_GB2312"/>
          <w:b w:val="0"/>
          <w:sz w:val="32"/>
          <w:szCs w:val="32"/>
          <w:lang w:val="en-US" w:eastAsia="zh-CN"/>
        </w:rPr>
        <w:t>2.8</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2"/>
        <w:gridCol w:w="980"/>
        <w:gridCol w:w="721"/>
        <w:gridCol w:w="882"/>
        <w:gridCol w:w="894"/>
        <w:gridCol w:w="835"/>
        <w:gridCol w:w="1126"/>
        <w:gridCol w:w="1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电梯运维费（专项资金）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通过支付电费保障电梯的正常运行。</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电梯运维费预算资金2.8万元已全部支付完成。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用电电梯的数量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2部</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2部</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正常的使用率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电梯使用时间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电梯运维费成本</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电梯因欠费停用的天数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≤1天</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0天</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工作人员的满意度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路志华</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67668708</w:t>
            </w:r>
          </w:p>
        </w:tc>
      </w:tr>
    </w:tbl>
    <w:p>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公务用车租赁费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5.14</w:t>
      </w:r>
      <w:r>
        <w:rPr>
          <w:rFonts w:ascii="Times New Roman" w:eastAsia="仿宋_GB2312"/>
          <w:b w:val="0"/>
          <w:sz w:val="32"/>
          <w:szCs w:val="32"/>
        </w:rPr>
        <w:t>万元，执行数为</w:t>
      </w:r>
      <w:r>
        <w:rPr>
          <w:rFonts w:hint="eastAsia" w:ascii="Times New Roman" w:eastAsia="仿宋_GB2312"/>
          <w:b w:val="0"/>
          <w:sz w:val="32"/>
          <w:szCs w:val="32"/>
          <w:lang w:val="en-US" w:eastAsia="zh-CN"/>
        </w:rPr>
        <w:t>5.14</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2"/>
        <w:gridCol w:w="892"/>
        <w:gridCol w:w="891"/>
        <w:gridCol w:w="748"/>
        <w:gridCol w:w="938"/>
        <w:gridCol w:w="901"/>
        <w:gridCol w:w="1125"/>
        <w:gridCol w:w="13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公务用车租赁费（专项资金）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5.1376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5.1376</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5.1376</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5.1376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5.1376</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5.1376</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1.提高工作效率，降低车辆维护费和人员费用。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2.保障工作的及时顺利完成，提高工作效率。</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公务用车租赁费资金5.1376万元已全部支付完成。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租车的数量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3辆</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正常的使用率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公车的服务周期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租赁费的成本</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5.1376万元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5.1376万元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工作用车的次数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≥2次</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3次</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车辆使用人员的满意度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何瑾哲</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67668708</w:t>
            </w:r>
          </w:p>
        </w:tc>
      </w:tr>
    </w:tbl>
    <w:p>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业务咨询委托费（统计费）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3.5</w:t>
      </w:r>
      <w:r>
        <w:rPr>
          <w:rFonts w:ascii="Times New Roman" w:eastAsia="仿宋_GB2312"/>
          <w:b w:val="0"/>
          <w:sz w:val="32"/>
          <w:szCs w:val="32"/>
        </w:rPr>
        <w:t>万元，执行数为</w:t>
      </w:r>
      <w:r>
        <w:rPr>
          <w:rFonts w:hint="eastAsia" w:ascii="Times New Roman" w:eastAsia="仿宋_GB2312"/>
          <w:b w:val="0"/>
          <w:sz w:val="32"/>
          <w:szCs w:val="32"/>
          <w:lang w:val="en-US" w:eastAsia="zh-CN"/>
        </w:rPr>
        <w:t>3.5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p>
      <w:pPr>
        <w:widowControl/>
        <w:numPr>
          <w:ilvl w:val="0"/>
          <w:numId w:val="0"/>
        </w:numPr>
        <w:spacing w:before="0" w:beforeLines="0" w:beforeAutospacing="0" w:after="0" w:afterLines="0" w:afterAutospacing="0" w:line="360" w:lineRule="auto"/>
        <w:ind w:leftChars="200"/>
        <w:jc w:val="left"/>
        <w:rPr>
          <w:rFonts w:hint="default" w:ascii="Times New Roman" w:eastAsia="仿宋_GB2312"/>
          <w:b w:val="0"/>
          <w:sz w:val="32"/>
          <w:szCs w:val="32"/>
          <w:lang w:val="en-US" w:eastAsia="zh-CN"/>
        </w:rPr>
      </w:pP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2"/>
        <w:gridCol w:w="892"/>
        <w:gridCol w:w="891"/>
        <w:gridCol w:w="748"/>
        <w:gridCol w:w="938"/>
        <w:gridCol w:w="901"/>
        <w:gridCol w:w="1125"/>
        <w:gridCol w:w="13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业务咨询委托费（统计费）（专项资金）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3.4989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3.4989</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3.4989</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3.4989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3.4989</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3.4989</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1.对下属管理单位及本级企业进行工作部署和培训，做到统计培训全覆盖，加大宣传力度，提高填报质量，保证审核通过率。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2.对统计调查对象报送数据质量的事中事后跟踪检查。</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业务咨询委托费（统计）资金3.4989万元已全部支付完成。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上报业户数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≥120户</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150户</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上报数据的回退率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上报数据的周期性</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17次</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17次</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项目实际支出数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3.4989万元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3.4989万元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统计工作的覆盖率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统计对象的满意程度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任伟炜</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83608709</w:t>
            </w:r>
          </w:p>
        </w:tc>
      </w:tr>
    </w:tbl>
    <w:p>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12328交通服务监督电话经费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4.77</w:t>
      </w:r>
      <w:r>
        <w:rPr>
          <w:rFonts w:ascii="Times New Roman" w:eastAsia="仿宋_GB2312"/>
          <w:b w:val="0"/>
          <w:sz w:val="32"/>
          <w:szCs w:val="32"/>
        </w:rPr>
        <w:t>万元，执行数为</w:t>
      </w:r>
      <w:r>
        <w:rPr>
          <w:rFonts w:hint="eastAsia" w:ascii="Times New Roman" w:eastAsia="仿宋_GB2312"/>
          <w:b w:val="0"/>
          <w:sz w:val="32"/>
          <w:szCs w:val="32"/>
          <w:lang w:val="en-US" w:eastAsia="zh-CN"/>
        </w:rPr>
        <w:t>4.77</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2"/>
        <w:gridCol w:w="979"/>
        <w:gridCol w:w="797"/>
        <w:gridCol w:w="856"/>
        <w:gridCol w:w="867"/>
        <w:gridCol w:w="813"/>
        <w:gridCol w:w="1126"/>
        <w:gridCol w:w="1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Style w:val="25"/>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12328交通服务监督电话经费（专项资金）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建立服务规范和操作规程，加强对人员的培训与考核;提高人员业务素质，提供文明优质热线服务。</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12328交通服务监督电话经费资金4.77万元已全部支付完成。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Style w:val="25"/>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项目的数量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2个</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工作质量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显著提高</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显著提高</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项目资金的使用时间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项目实际支出金额</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4.77万元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服务的改善程度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热线用户对服务热线的满意度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Style w:val="25"/>
                <w:rFonts w:eastAsia="宋体"/>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张永峰</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83608927</w:t>
            </w:r>
          </w:p>
        </w:tc>
      </w:tr>
    </w:tbl>
    <w:p>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聘用人员劳务费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112.63</w:t>
      </w:r>
      <w:r>
        <w:rPr>
          <w:rFonts w:ascii="Times New Roman" w:eastAsia="仿宋_GB2312"/>
          <w:b w:val="0"/>
          <w:sz w:val="32"/>
          <w:szCs w:val="32"/>
        </w:rPr>
        <w:t>万元，执行数为</w:t>
      </w:r>
      <w:r>
        <w:rPr>
          <w:rFonts w:hint="eastAsia" w:ascii="Times New Roman" w:eastAsia="仿宋_GB2312"/>
          <w:b w:val="0"/>
          <w:sz w:val="32"/>
          <w:szCs w:val="32"/>
          <w:lang w:val="en-US" w:eastAsia="zh-CN"/>
        </w:rPr>
        <w:t>112.63</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1"/>
        <w:gridCol w:w="765"/>
        <w:gridCol w:w="1029"/>
        <w:gridCol w:w="609"/>
        <w:gridCol w:w="1117"/>
        <w:gridCol w:w="1052"/>
        <w:gridCol w:w="1108"/>
        <w:gridCol w:w="11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聘用人员劳务费用（专项资金）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112.630452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112.630452</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112.630452</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112.630452</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112.630452</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112.630452</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用于支付22名劳务派遣辅助管理人员的工资待遇、养老保险、医疗保险、工伤保险、失业保险、生育保险等费用，以便于更好的服务于工作。</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聘用人员劳务费用资金112.630452万元已全部支付完成。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劳务派遣人员的数量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22人</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考核的合格率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劳务派遣的周期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项目资金成本</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112.630452万元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112.630452万元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机构正常运转</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正常运转</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正常运转</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劳务派遣人员的满意度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宿建忠</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67668716</w:t>
            </w:r>
          </w:p>
        </w:tc>
      </w:tr>
    </w:tbl>
    <w:p>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物业管理费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55.76</w:t>
      </w:r>
      <w:r>
        <w:rPr>
          <w:rFonts w:ascii="Times New Roman" w:eastAsia="仿宋_GB2312"/>
          <w:b w:val="0"/>
          <w:sz w:val="32"/>
          <w:szCs w:val="32"/>
        </w:rPr>
        <w:t>万元，执行数为</w:t>
      </w:r>
      <w:r>
        <w:rPr>
          <w:rFonts w:hint="eastAsia" w:ascii="Times New Roman" w:eastAsia="仿宋_GB2312"/>
          <w:b w:val="0"/>
          <w:sz w:val="32"/>
          <w:szCs w:val="32"/>
          <w:lang w:val="en-US" w:eastAsia="zh-CN"/>
        </w:rPr>
        <w:t>55.76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1"/>
        <w:gridCol w:w="934"/>
        <w:gridCol w:w="839"/>
        <w:gridCol w:w="793"/>
        <w:gridCol w:w="896"/>
        <w:gridCol w:w="852"/>
        <w:gridCol w:w="1126"/>
        <w:gridCol w:w="13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物业管理费（专项资金）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55.76</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55.76</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55.76</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55.76</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55.76</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通过支付保安保洁服务费用，完成办公场所的保安保洁的工作，改善办公环境，促进工作的正常开展。</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物业管理费资金55.76万元已全部支付完成。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保安保洁人数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16人</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16人</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物业服务合格率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保安保洁服务周期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项目的资金成本</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≤55.76万元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55.76万元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提升后勤保障能力</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较上年提升</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较上年提升</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员工的满意度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路志华</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67668708</w:t>
            </w:r>
          </w:p>
        </w:tc>
      </w:tr>
    </w:tbl>
    <w:p>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业务咨询委托费（律师费）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w:t>
      </w:r>
      <w:r>
        <w:rPr>
          <w:rFonts w:ascii="Times New Roman" w:eastAsia="仿宋_GB2312"/>
          <w:b w:val="0"/>
          <w:sz w:val="32"/>
          <w:szCs w:val="32"/>
        </w:rPr>
        <w:t>万元，执行数为</w:t>
      </w:r>
      <w:r>
        <w:rPr>
          <w:rFonts w:hint="eastAsia" w:ascii="Times New Roman" w:eastAsia="仿宋_GB2312"/>
          <w:b w:val="0"/>
          <w:sz w:val="32"/>
          <w:szCs w:val="32"/>
          <w:lang w:val="en-US" w:eastAsia="zh-CN"/>
        </w:rPr>
        <w:t>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p>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2"/>
        <w:gridCol w:w="979"/>
        <w:gridCol w:w="644"/>
        <w:gridCol w:w="909"/>
        <w:gridCol w:w="922"/>
        <w:gridCol w:w="858"/>
        <w:gridCol w:w="1126"/>
        <w:gridCol w:w="1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业务咨询委托费（律师费）（专项资金）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1.通过聘请法律顾问，解决涉及单位和行业的各种涉法问题。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2.保证各项工作符合法律规范，年内进行法律咨询20例。</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律师费预算资金5万元已全部支付完成。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进行法律咨询服务的数量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≥20例</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20例</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达到合同设置的要求</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达到要求</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达到要求</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服务周期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律师费的金额</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纠纷的解决率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员工的满意度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何瑾哲</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67668708</w:t>
            </w:r>
          </w:p>
        </w:tc>
      </w:tr>
    </w:tbl>
    <w:p>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专项设备维修费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55</w:t>
      </w:r>
      <w:r>
        <w:rPr>
          <w:rFonts w:ascii="Times New Roman" w:eastAsia="仿宋_GB2312"/>
          <w:b w:val="0"/>
          <w:sz w:val="32"/>
          <w:szCs w:val="32"/>
        </w:rPr>
        <w:t>万元，执行数为</w:t>
      </w:r>
      <w:r>
        <w:rPr>
          <w:rFonts w:hint="eastAsia" w:ascii="Times New Roman" w:eastAsia="仿宋_GB2312"/>
          <w:b w:val="0"/>
          <w:sz w:val="32"/>
          <w:szCs w:val="32"/>
          <w:lang w:val="en-US" w:eastAsia="zh-CN"/>
        </w:rPr>
        <w:t>55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2"/>
        <w:gridCol w:w="979"/>
        <w:gridCol w:w="644"/>
        <w:gridCol w:w="909"/>
        <w:gridCol w:w="922"/>
        <w:gridCol w:w="858"/>
        <w:gridCol w:w="1126"/>
        <w:gridCol w:w="1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专用设备维修费（专项资金）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55</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1.项目实施的完成情况的统计和项目维修维护后的达标情况，保障办公大楼的顺利运转。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2.保障各项业务工作的正常开展。</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专用设备维修费预算资金55万元已全部支付完成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项目的数量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6项</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6项</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消防设备正常运行率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专业设备维修的时限</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项目的成本</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确保设备正常运转</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正常运转</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正常运转</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员工的满意度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路志华</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67668708</w:t>
            </w:r>
          </w:p>
        </w:tc>
      </w:tr>
    </w:tbl>
    <w:p>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12328数字中继线租赁费</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1.8</w:t>
      </w:r>
      <w:r>
        <w:rPr>
          <w:rFonts w:ascii="Times New Roman" w:eastAsia="仿宋_GB2312"/>
          <w:b w:val="0"/>
          <w:sz w:val="32"/>
          <w:szCs w:val="32"/>
        </w:rPr>
        <w:t>万元，执行数为</w:t>
      </w:r>
      <w:r>
        <w:rPr>
          <w:rFonts w:hint="eastAsia" w:ascii="Times New Roman" w:eastAsia="仿宋_GB2312"/>
          <w:b w:val="0"/>
          <w:sz w:val="32"/>
          <w:szCs w:val="32"/>
          <w:lang w:val="en-US" w:eastAsia="zh-CN"/>
        </w:rPr>
        <w:t>1.8</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p>
      <w:pPr>
        <w:widowControl/>
        <w:numPr>
          <w:ilvl w:val="0"/>
          <w:numId w:val="0"/>
        </w:numPr>
        <w:spacing w:before="0" w:beforeLines="0" w:beforeAutospacing="0" w:after="0" w:afterLines="0" w:afterAutospacing="0" w:line="360" w:lineRule="auto"/>
        <w:ind w:leftChars="200"/>
        <w:jc w:val="left"/>
        <w:rPr>
          <w:rFonts w:ascii="Times New Roman" w:eastAsia="仿宋_GB2312"/>
          <w:b w:val="0"/>
          <w:sz w:val="32"/>
          <w:szCs w:val="32"/>
        </w:rPr>
      </w:pP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2"/>
        <w:gridCol w:w="980"/>
        <w:gridCol w:w="721"/>
        <w:gridCol w:w="882"/>
        <w:gridCol w:w="894"/>
        <w:gridCol w:w="835"/>
        <w:gridCol w:w="1126"/>
        <w:gridCol w:w="1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12328数字中继线租赁费（专项资金）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通过租赁数字中继线，确保数据中心机房网络畅通，避免应用系统的中断，避免出现各类投诉事件的发生，系统运行投诉率2%以下。</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12328数字中继线租赁费预算资金1.8万元已全部支付完成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数字中继线租赁条数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1条</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1条</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数字中继线联网率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≥99%</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服务期限</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项目实际支出金额</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故障率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客户满意度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何瑾哲</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67668708</w:t>
            </w:r>
          </w:p>
        </w:tc>
      </w:tr>
    </w:tbl>
    <w:p>
      <w:pPr>
        <w:widowControl/>
        <w:numPr>
          <w:ilvl w:val="0"/>
          <w:numId w:val="2"/>
        </w:numPr>
        <w:spacing w:before="0" w:beforeLines="0" w:beforeAutospacing="0" w:after="0" w:afterLines="0" w:afterAutospacing="0" w:line="360" w:lineRule="auto"/>
        <w:ind w:left="0" w:leftChars="0"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办公设备购置</w:t>
      </w:r>
      <w:r>
        <w:rPr>
          <w:rFonts w:ascii="Times New Roman" w:eastAsia="仿宋_GB2312"/>
          <w:b w:val="0"/>
          <w:sz w:val="32"/>
          <w:szCs w:val="32"/>
        </w:rPr>
        <w:t>项目绩效自评情况：根据年初设定的绩效目标，项目绩效自评得分</w:t>
      </w:r>
      <w:r>
        <w:rPr>
          <w:rFonts w:hint="eastAsia" w:ascii="Times New Roman" w:eastAsia="仿宋_GB2312"/>
          <w:b w:val="0"/>
          <w:sz w:val="32"/>
          <w:szCs w:val="32"/>
          <w:lang w:val="en-US" w:eastAsia="zh-CN"/>
        </w:rPr>
        <w:t>为100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2.48</w:t>
      </w:r>
      <w:r>
        <w:rPr>
          <w:rFonts w:ascii="Times New Roman" w:eastAsia="仿宋_GB2312"/>
          <w:b w:val="0"/>
          <w:sz w:val="32"/>
          <w:szCs w:val="32"/>
        </w:rPr>
        <w:t>万元，执行数为</w:t>
      </w:r>
      <w:r>
        <w:rPr>
          <w:rFonts w:hint="eastAsia" w:ascii="Times New Roman" w:eastAsia="仿宋_GB2312"/>
          <w:b w:val="0"/>
          <w:sz w:val="32"/>
          <w:szCs w:val="32"/>
          <w:lang w:val="en-US" w:eastAsia="zh-CN"/>
        </w:rPr>
        <w:t>2.48</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%。项目绩效目标完成情况：</w:t>
      </w:r>
      <w:r>
        <w:rPr>
          <w:rFonts w:hint="eastAsia" w:ascii="Times New Roman" w:hAnsi="Times New Roman" w:eastAsia="仿宋_GB2312"/>
          <w:kern w:val="2"/>
          <w:sz w:val="32"/>
          <w:szCs w:val="32"/>
          <w:rtl w:val="0"/>
          <w:lang w:val="en-US" w:eastAsia="zh-CN"/>
        </w:rPr>
        <w:t>通过项目实施，完成了年初设定的各项绩效目标，完成100%</w:t>
      </w:r>
      <w:r>
        <w:rPr>
          <w:rFonts w:ascii="Times New Roman" w:eastAsia="仿宋_GB2312"/>
          <w:b w:val="0"/>
          <w:sz w:val="32"/>
          <w:szCs w:val="32"/>
        </w:rPr>
        <w:t>。</w:t>
      </w:r>
      <w:r>
        <w:rPr>
          <w:rFonts w:hint="eastAsia" w:ascii="Times New Roman" w:eastAsia="仿宋_GB2312"/>
          <w:b w:val="0"/>
          <w:sz w:val="32"/>
          <w:szCs w:val="32"/>
          <w:lang w:val="en-US" w:eastAsia="zh-CN"/>
        </w:rPr>
        <w:t>未发现问题</w:t>
      </w:r>
      <w:r>
        <w:rPr>
          <w:rFonts w:ascii="Times New Roman" w:eastAsia="仿宋_GB2312"/>
          <w:b w:val="0"/>
          <w:sz w:val="32"/>
          <w:szCs w:val="32"/>
        </w:rPr>
        <w:t>。</w:t>
      </w:r>
    </w:p>
    <w:tbl>
      <w:tblPr>
        <w:tblStyle w:val="11"/>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91"/>
        <w:gridCol w:w="934"/>
        <w:gridCol w:w="839"/>
        <w:gridCol w:w="793"/>
        <w:gridCol w:w="895"/>
        <w:gridCol w:w="853"/>
        <w:gridCol w:w="1126"/>
        <w:gridCol w:w="13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1025" w:type="dxa"/>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市级部门预算项目绩效自评表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填报单位：石家庄市交通运输局</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办公设备购置（专项资金）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石家庄市交通运输服务中心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2.479</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2.479</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2.479</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2.479</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2.479</w:t>
            </w: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通过购买空调设备，改善信息中心12328服务热线的职工办公环境，提高办公效率。</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办公设备购置预算资金2.479万元已全部支付完成。</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购置数量</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1套</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Style w:val="26"/>
                <w:lang w:val="en-US" w:eastAsia="zh-CN" w:bidi="ar"/>
              </w:rPr>
              <w:t>套</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设备验收合格率</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设备购买周期</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预算控制数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≤2.479万元</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2.479万元</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业务保障能力提升情况</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较上年提升</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较上年提升</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单位工作人员满意度</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136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何瑾哲</w:t>
            </w: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67668708</w:t>
            </w:r>
          </w:p>
        </w:tc>
      </w:tr>
    </w:tbl>
    <w:p>
      <w:pPr>
        <w:widowControl/>
        <w:spacing w:before="0" w:beforeLines="0" w:beforeAutospacing="0" w:after="0" w:afterLines="0" w:afterAutospacing="0" w:line="360" w:lineRule="auto"/>
        <w:jc w:val="left"/>
        <w:rPr>
          <w:rFonts w:ascii="Times New Roman" w:eastAsia="仿宋_GB2312"/>
          <w:sz w:val="32"/>
          <w:szCs w:val="32"/>
        </w:rPr>
      </w:pPr>
    </w:p>
    <w:p>
      <w:pPr>
        <w:widowControl/>
        <w:spacing w:before="0" w:beforeLines="0" w:beforeAutospacing="0" w:after="0" w:afterLines="0" w:afterAutospacing="0" w:line="360" w:lineRule="auto"/>
        <w:ind w:firstLine="640" w:firstLineChars="200"/>
        <w:jc w:val="left"/>
        <w:rPr>
          <w:rFonts w:ascii="Times New Roman" w:eastAsia="黑体"/>
          <w:b w:val="0"/>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w:t>
      </w:r>
      <w:r>
        <w:rPr>
          <w:rFonts w:hint="eastAsia" w:ascii="Times New Roman" w:eastAsia="仿宋_GB2312"/>
          <w:b/>
          <w:sz w:val="32"/>
          <w:szCs w:val="32"/>
          <w:lang w:val="en-US" w:eastAsia="zh-CN"/>
        </w:rPr>
        <w:t>一</w:t>
      </w:r>
      <w:r>
        <w:rPr>
          <w:rFonts w:ascii="Times New Roman" w:eastAsia="仿宋_GB2312"/>
          <w:b/>
          <w:sz w:val="32"/>
          <w:szCs w:val="32"/>
        </w:rPr>
        <w:t>、“三公”经费：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w:t>
      </w:r>
      <w:r>
        <w:rPr>
          <w:rFonts w:hint="eastAsia" w:ascii="Times New Roman" w:eastAsia="仿宋_GB2312"/>
          <w:b/>
          <w:sz w:val="32"/>
          <w:szCs w:val="32"/>
          <w:lang w:val="en-US" w:eastAsia="zh-CN"/>
        </w:rPr>
        <w:t>二</w:t>
      </w:r>
      <w:r>
        <w:rPr>
          <w:rFonts w:ascii="Times New Roman" w:eastAsia="仿宋_GB2312"/>
          <w:b/>
          <w:sz w:val="32"/>
          <w:szCs w:val="32"/>
        </w:rPr>
        <w:t>、公务用车购置：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w:t>
      </w:r>
      <w:r>
        <w:rPr>
          <w:rFonts w:hint="eastAsia" w:ascii="Times New Roman" w:eastAsia="仿宋_GB2312"/>
          <w:b/>
          <w:sz w:val="32"/>
          <w:szCs w:val="32"/>
          <w:lang w:val="en-US" w:eastAsia="zh-CN"/>
        </w:rPr>
        <w:t>三</w:t>
      </w:r>
      <w:r>
        <w:rPr>
          <w:rFonts w:ascii="Times New Roman" w:eastAsia="仿宋_GB2312"/>
          <w:b/>
          <w:sz w:val="32"/>
          <w:szCs w:val="32"/>
        </w:rPr>
        <w:t>、机关运行经费：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F84C05F-FFE1-4A25-8906-D4D41E1BF76F}"/>
  </w:font>
  <w:font w:name="黑体">
    <w:panose1 w:val="02010609060101010101"/>
    <w:charset w:val="86"/>
    <w:family w:val="auto"/>
    <w:pitch w:val="default"/>
    <w:sig w:usb0="800002BF" w:usb1="38CF7CFA" w:usb2="00000016" w:usb3="00000000" w:csb0="00040001" w:csb1="00000000"/>
    <w:embedRegular r:id="rId2" w:fontKey="{E9266AA5-A45F-4AE9-8F56-4036A374CAD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3C1E413-5851-4CA6-8E44-A782B6DBD02B}"/>
  </w:font>
  <w:font w:name="仿宋">
    <w:panose1 w:val="02010609060101010101"/>
    <w:charset w:val="86"/>
    <w:family w:val="modern"/>
    <w:pitch w:val="default"/>
    <w:sig w:usb0="800002BF" w:usb1="38CF7CFA" w:usb2="00000016" w:usb3="00000000" w:csb0="00040001" w:csb1="00000000"/>
    <w:embedRegular r:id="rId4" w:fontKey="{ECAB0D8A-A85A-45A5-9089-D31BB3027449}"/>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7FF61C24-4723-4C66-92F4-77FC152BF718}"/>
  </w:font>
  <w:font w:name="方正小标宋_GBK">
    <w:panose1 w:val="02000000000000000000"/>
    <w:charset w:val="86"/>
    <w:family w:val="script"/>
    <w:pitch w:val="default"/>
    <w:sig w:usb0="00000000" w:usb1="00000000" w:usb2="00000000" w:usb3="00000000" w:csb0="00000000" w:csb1="00000000"/>
    <w:embedRegular r:id="rId6" w:fontKey="{20DBD8B1-31AE-44E0-9D82-AF0CD4ED2070}"/>
  </w:font>
  <w:font w:name="仿宋_GB2312">
    <w:panose1 w:val="02010609030101010101"/>
    <w:charset w:val="86"/>
    <w:family w:val="auto"/>
    <w:pitch w:val="default"/>
    <w:sig w:usb0="00000001" w:usb1="080E0000" w:usb2="00000000" w:usb3="00000000" w:csb0="00040000" w:csb1="00000000"/>
    <w:embedRegular r:id="rId7" w:fontKey="{ACB4E10B-3CD0-4C4E-A857-43A018CE01E5}"/>
  </w:font>
  <w:font w:name="ArialUnicodeMS">
    <w:altName w:val="Malgun Gothic"/>
    <w:panose1 w:val="00000000000000000000"/>
    <w:charset w:val="81"/>
    <w:family w:val="auto"/>
    <w:pitch w:val="default"/>
    <w:sig w:usb0="00000000" w:usb1="00000000" w:usb2="00000010" w:usb3="00000000" w:csb0="00080001" w:csb1="00000000"/>
    <w:embedRegular r:id="rId8" w:fontKey="{95546E4F-1582-45DA-8413-1563B20099E9}"/>
  </w:font>
  <w:font w:name="方正仿宋_GB2312">
    <w:panose1 w:val="02000000000000000000"/>
    <w:charset w:val="86"/>
    <w:family w:val="auto"/>
    <w:pitch w:val="default"/>
    <w:sig w:usb0="00000000" w:usb1="00000000" w:usb2="00000000" w:usb3="00000000" w:csb0="00000000" w:csb1="00000000"/>
    <w:embedRegular r:id="rId9" w:fontKey="{B8B8A4A4-0F0D-4F88-8725-5462684FADBE}"/>
  </w:font>
  <w:font w:name="方正小标宋简体">
    <w:panose1 w:val="03000509000000000000"/>
    <w:charset w:val="86"/>
    <w:family w:val="auto"/>
    <w:pitch w:val="default"/>
    <w:sig w:usb0="00000001" w:usb1="080E0000" w:usb2="00000000" w:usb3="00000000" w:csb0="00040000" w:csb1="00000000"/>
    <w:embedRegular r:id="rId10" w:fontKey="{254CCBE1-42BC-4ED8-A822-2D2D87DC10A5}"/>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C99D9E"/>
    <w:multiLevelType w:val="singleLevel"/>
    <w:tmpl w:val="B5C99D9E"/>
    <w:lvl w:ilvl="0" w:tentative="0">
      <w:start w:val="1"/>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137806"/>
    <w:rsid w:val="00236F8C"/>
    <w:rsid w:val="00822154"/>
    <w:rsid w:val="00C65689"/>
    <w:rsid w:val="00CC2C8E"/>
    <w:rsid w:val="00D713E7"/>
    <w:rsid w:val="010E7E3C"/>
    <w:rsid w:val="01A03C5A"/>
    <w:rsid w:val="01A3146F"/>
    <w:rsid w:val="01A5267D"/>
    <w:rsid w:val="01AF6A8D"/>
    <w:rsid w:val="024808A2"/>
    <w:rsid w:val="025C3821"/>
    <w:rsid w:val="02DA3B1B"/>
    <w:rsid w:val="02E57B4D"/>
    <w:rsid w:val="03450B90"/>
    <w:rsid w:val="037B12D4"/>
    <w:rsid w:val="03804D63"/>
    <w:rsid w:val="038C645D"/>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4532"/>
    <w:rsid w:val="0AA954BE"/>
    <w:rsid w:val="0AD65BF1"/>
    <w:rsid w:val="0AE70639"/>
    <w:rsid w:val="0AF42B6C"/>
    <w:rsid w:val="0B397A43"/>
    <w:rsid w:val="0B4F5E6D"/>
    <w:rsid w:val="0B753AE2"/>
    <w:rsid w:val="0BB67D0A"/>
    <w:rsid w:val="0BC56230"/>
    <w:rsid w:val="0BCF21BD"/>
    <w:rsid w:val="0C4E53E8"/>
    <w:rsid w:val="0C6712D6"/>
    <w:rsid w:val="0C9F7900"/>
    <w:rsid w:val="0CB23317"/>
    <w:rsid w:val="0D101068"/>
    <w:rsid w:val="0D124843"/>
    <w:rsid w:val="0D4E13BE"/>
    <w:rsid w:val="0D7557DF"/>
    <w:rsid w:val="0D853E34"/>
    <w:rsid w:val="0D9C2A57"/>
    <w:rsid w:val="0DC3019B"/>
    <w:rsid w:val="0DFA5D82"/>
    <w:rsid w:val="0E030AD1"/>
    <w:rsid w:val="0E1E52CE"/>
    <w:rsid w:val="0E866524"/>
    <w:rsid w:val="0E9268D3"/>
    <w:rsid w:val="0E957F1F"/>
    <w:rsid w:val="0F0E7284"/>
    <w:rsid w:val="0F28110F"/>
    <w:rsid w:val="0F37083F"/>
    <w:rsid w:val="0F7000B9"/>
    <w:rsid w:val="0F7470AF"/>
    <w:rsid w:val="0F891DB8"/>
    <w:rsid w:val="0F8D3287"/>
    <w:rsid w:val="0FAA3B86"/>
    <w:rsid w:val="0FCF29CB"/>
    <w:rsid w:val="10191346"/>
    <w:rsid w:val="102A01A6"/>
    <w:rsid w:val="105A290D"/>
    <w:rsid w:val="10754A6C"/>
    <w:rsid w:val="108B537D"/>
    <w:rsid w:val="10B11DB1"/>
    <w:rsid w:val="11177F57"/>
    <w:rsid w:val="111F2835"/>
    <w:rsid w:val="11217C97"/>
    <w:rsid w:val="11464C20"/>
    <w:rsid w:val="115E4926"/>
    <w:rsid w:val="118A1FFA"/>
    <w:rsid w:val="11C5056D"/>
    <w:rsid w:val="11E35B5A"/>
    <w:rsid w:val="11E42DD6"/>
    <w:rsid w:val="125F5A1B"/>
    <w:rsid w:val="126979D6"/>
    <w:rsid w:val="128E7164"/>
    <w:rsid w:val="129C2810"/>
    <w:rsid w:val="129E45A7"/>
    <w:rsid w:val="13074404"/>
    <w:rsid w:val="136A5C00"/>
    <w:rsid w:val="13B97B08"/>
    <w:rsid w:val="13C527AC"/>
    <w:rsid w:val="14711797"/>
    <w:rsid w:val="147B6F17"/>
    <w:rsid w:val="14D42061"/>
    <w:rsid w:val="15081C8B"/>
    <w:rsid w:val="15090D5C"/>
    <w:rsid w:val="15CF053D"/>
    <w:rsid w:val="15E0131A"/>
    <w:rsid w:val="15E11DC0"/>
    <w:rsid w:val="162A7402"/>
    <w:rsid w:val="16457D9F"/>
    <w:rsid w:val="17223EFF"/>
    <w:rsid w:val="17AA5F28"/>
    <w:rsid w:val="17B713F6"/>
    <w:rsid w:val="184350A0"/>
    <w:rsid w:val="18935485"/>
    <w:rsid w:val="18A34206"/>
    <w:rsid w:val="18DE3B2C"/>
    <w:rsid w:val="1906685D"/>
    <w:rsid w:val="19111683"/>
    <w:rsid w:val="19353916"/>
    <w:rsid w:val="193E101D"/>
    <w:rsid w:val="19886BF8"/>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6839B4"/>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2A672A"/>
    <w:rsid w:val="204B327F"/>
    <w:rsid w:val="204C2B10"/>
    <w:rsid w:val="207D30AD"/>
    <w:rsid w:val="209064B9"/>
    <w:rsid w:val="20970D81"/>
    <w:rsid w:val="20C350CB"/>
    <w:rsid w:val="20D165D5"/>
    <w:rsid w:val="210878E6"/>
    <w:rsid w:val="210E1408"/>
    <w:rsid w:val="211069AD"/>
    <w:rsid w:val="21573FAB"/>
    <w:rsid w:val="2172069C"/>
    <w:rsid w:val="21987BC4"/>
    <w:rsid w:val="21BE314A"/>
    <w:rsid w:val="21DA3976"/>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125F43"/>
    <w:rsid w:val="24857B00"/>
    <w:rsid w:val="24F25212"/>
    <w:rsid w:val="251B0465"/>
    <w:rsid w:val="254B0AC6"/>
    <w:rsid w:val="25571AB6"/>
    <w:rsid w:val="25AD59AF"/>
    <w:rsid w:val="25B40AD6"/>
    <w:rsid w:val="25BE7872"/>
    <w:rsid w:val="25BF702A"/>
    <w:rsid w:val="25CB1156"/>
    <w:rsid w:val="26390459"/>
    <w:rsid w:val="264D2D17"/>
    <w:rsid w:val="26844BFB"/>
    <w:rsid w:val="26D50E55"/>
    <w:rsid w:val="271A539C"/>
    <w:rsid w:val="273823FA"/>
    <w:rsid w:val="274972D4"/>
    <w:rsid w:val="27AA3D97"/>
    <w:rsid w:val="280A3758"/>
    <w:rsid w:val="28292E99"/>
    <w:rsid w:val="289057C5"/>
    <w:rsid w:val="28A67C7A"/>
    <w:rsid w:val="28EA3248"/>
    <w:rsid w:val="28F879DA"/>
    <w:rsid w:val="294B7731"/>
    <w:rsid w:val="29514455"/>
    <w:rsid w:val="299A6B70"/>
    <w:rsid w:val="29D21FF2"/>
    <w:rsid w:val="2A2502EE"/>
    <w:rsid w:val="2A611B0F"/>
    <w:rsid w:val="2AC1762B"/>
    <w:rsid w:val="2AE3589F"/>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EE52A3"/>
    <w:rsid w:val="2E0725DC"/>
    <w:rsid w:val="2E1B4BB8"/>
    <w:rsid w:val="2E256CB6"/>
    <w:rsid w:val="2E5F27E4"/>
    <w:rsid w:val="2EBD223E"/>
    <w:rsid w:val="2EC10AD1"/>
    <w:rsid w:val="2ECB6A5A"/>
    <w:rsid w:val="2EE65418"/>
    <w:rsid w:val="2EFC0112"/>
    <w:rsid w:val="2F031ACD"/>
    <w:rsid w:val="2F0F6197"/>
    <w:rsid w:val="2F2B0348"/>
    <w:rsid w:val="2F2B730D"/>
    <w:rsid w:val="2F9F3DC1"/>
    <w:rsid w:val="2FED1D00"/>
    <w:rsid w:val="2FFC7AC2"/>
    <w:rsid w:val="301430AF"/>
    <w:rsid w:val="30630612"/>
    <w:rsid w:val="308E59B0"/>
    <w:rsid w:val="30B10568"/>
    <w:rsid w:val="30E55DD3"/>
    <w:rsid w:val="30E60399"/>
    <w:rsid w:val="31155F9E"/>
    <w:rsid w:val="31267A90"/>
    <w:rsid w:val="31356AA5"/>
    <w:rsid w:val="313E22F0"/>
    <w:rsid w:val="31B0194C"/>
    <w:rsid w:val="31CE17D1"/>
    <w:rsid w:val="32270449"/>
    <w:rsid w:val="323E4515"/>
    <w:rsid w:val="326B5E9E"/>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5E638D"/>
    <w:rsid w:val="346A2989"/>
    <w:rsid w:val="348865E9"/>
    <w:rsid w:val="348F70D5"/>
    <w:rsid w:val="349D2BAD"/>
    <w:rsid w:val="34B25886"/>
    <w:rsid w:val="35277FF8"/>
    <w:rsid w:val="35763460"/>
    <w:rsid w:val="35776F72"/>
    <w:rsid w:val="35997371"/>
    <w:rsid w:val="35DD4D47"/>
    <w:rsid w:val="360134DF"/>
    <w:rsid w:val="360B1E2F"/>
    <w:rsid w:val="360D500F"/>
    <w:rsid w:val="36330424"/>
    <w:rsid w:val="369662B0"/>
    <w:rsid w:val="36FE3ABA"/>
    <w:rsid w:val="37072BDE"/>
    <w:rsid w:val="37455334"/>
    <w:rsid w:val="37527C32"/>
    <w:rsid w:val="37731921"/>
    <w:rsid w:val="37E509C0"/>
    <w:rsid w:val="37E96FB8"/>
    <w:rsid w:val="37F64663"/>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89482C"/>
    <w:rsid w:val="3C963DF6"/>
    <w:rsid w:val="3CBE41D5"/>
    <w:rsid w:val="3CD23B7D"/>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31D09"/>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955B30"/>
    <w:rsid w:val="45FE7734"/>
    <w:rsid w:val="461F0A8B"/>
    <w:rsid w:val="4648721E"/>
    <w:rsid w:val="46663E71"/>
    <w:rsid w:val="466A37AC"/>
    <w:rsid w:val="46844B01"/>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7FB2147"/>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42B7A"/>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AD48DA"/>
    <w:rsid w:val="4EBA03C3"/>
    <w:rsid w:val="4EBC5459"/>
    <w:rsid w:val="4ED94CB0"/>
    <w:rsid w:val="4EEC2ED3"/>
    <w:rsid w:val="4F0E56EA"/>
    <w:rsid w:val="4F2E11BC"/>
    <w:rsid w:val="4F3C4343"/>
    <w:rsid w:val="4F416688"/>
    <w:rsid w:val="4F5620B0"/>
    <w:rsid w:val="4F58180B"/>
    <w:rsid w:val="4F616EB4"/>
    <w:rsid w:val="4F6654EE"/>
    <w:rsid w:val="4F7379C6"/>
    <w:rsid w:val="4F872BDB"/>
    <w:rsid w:val="4FA033E9"/>
    <w:rsid w:val="4FA743DA"/>
    <w:rsid w:val="4FB3565A"/>
    <w:rsid w:val="4FC340B6"/>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9E7209"/>
    <w:rsid w:val="53A639C0"/>
    <w:rsid w:val="53B00F05"/>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5C4324"/>
    <w:rsid w:val="579C7F80"/>
    <w:rsid w:val="57B30D7C"/>
    <w:rsid w:val="57B35BE8"/>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0892A80"/>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5D6B81"/>
    <w:rsid w:val="668506C7"/>
    <w:rsid w:val="669E59F1"/>
    <w:rsid w:val="66A2024B"/>
    <w:rsid w:val="66CB5E2D"/>
    <w:rsid w:val="6704732B"/>
    <w:rsid w:val="670F6731"/>
    <w:rsid w:val="67585CB0"/>
    <w:rsid w:val="67770F0C"/>
    <w:rsid w:val="67B03535"/>
    <w:rsid w:val="67C00FDA"/>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AE1248"/>
    <w:rsid w:val="6AD625F3"/>
    <w:rsid w:val="6B7218BE"/>
    <w:rsid w:val="6B750BA9"/>
    <w:rsid w:val="6BB93285"/>
    <w:rsid w:val="6C0C698C"/>
    <w:rsid w:val="6C222401"/>
    <w:rsid w:val="6C56267F"/>
    <w:rsid w:val="6C7A7DA0"/>
    <w:rsid w:val="6C826EF9"/>
    <w:rsid w:val="6C9318F8"/>
    <w:rsid w:val="6CAE4C93"/>
    <w:rsid w:val="6CAF2361"/>
    <w:rsid w:val="6CB14F16"/>
    <w:rsid w:val="6CEC2069"/>
    <w:rsid w:val="6D0B1869"/>
    <w:rsid w:val="6D4E54AA"/>
    <w:rsid w:val="6D65402D"/>
    <w:rsid w:val="6D683822"/>
    <w:rsid w:val="6D8D136C"/>
    <w:rsid w:val="6DA33C3A"/>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00540"/>
    <w:rsid w:val="74463733"/>
    <w:rsid w:val="7453319A"/>
    <w:rsid w:val="748A2F40"/>
    <w:rsid w:val="74D84FF7"/>
    <w:rsid w:val="74F85778"/>
    <w:rsid w:val="75272439"/>
    <w:rsid w:val="758F1E9B"/>
    <w:rsid w:val="75CE266B"/>
    <w:rsid w:val="76120141"/>
    <w:rsid w:val="768216BE"/>
    <w:rsid w:val="76A26DFB"/>
    <w:rsid w:val="76C23B43"/>
    <w:rsid w:val="76FD6F97"/>
    <w:rsid w:val="770218E8"/>
    <w:rsid w:val="779469CE"/>
    <w:rsid w:val="77C875A5"/>
    <w:rsid w:val="78A27DF6"/>
    <w:rsid w:val="79285B3A"/>
    <w:rsid w:val="79411177"/>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823A11"/>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uiPriority w:val="0"/>
    <w:rPr>
      <w:rFonts w:ascii="Calibri" w:hAnsi="Calibri" w:cs="Calibri"/>
      <w:color w:val="000000"/>
      <w:sz w:val="20"/>
      <w:szCs w:val="20"/>
      <w:u w:val="none"/>
    </w:rPr>
  </w:style>
  <w:style w:type="character" w:customStyle="1" w:styleId="26">
    <w:name w:val="font81"/>
    <w:basedOn w:val="13"/>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1453.84</c:v>
                </c:pt>
                <c:pt idx="1">
                  <c:v>1381.35</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13813538.1</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11299183.58</c:v>
                </c:pt>
                <c:pt idx="1">
                  <c:v>2514354.52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1453.84</c:v>
                </c:pt>
                <c:pt idx="1">
                  <c:v>1453.84</c:v>
                </c:pt>
                <c:pt idx="2">
                  <c:v>1453.84</c:v>
                </c:pt>
                <c:pt idx="3">
                  <c:v>1453.84</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1381.35</c:v>
                </c:pt>
                <c:pt idx="1">
                  <c:v>1381.35</c:v>
                </c:pt>
                <c:pt idx="2">
                  <c:v>1381.35</c:v>
                </c:pt>
                <c:pt idx="3">
                  <c:v>1381.35</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1503.81</c:v>
                </c:pt>
                <c:pt idx="1">
                  <c:v>1503.81</c:v>
                </c:pt>
                <c:pt idx="2">
                  <c:v>1503.81</c:v>
                </c:pt>
                <c:pt idx="3">
                  <c:v>1503.81</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1381.35</c:v>
                </c:pt>
                <c:pt idx="1">
                  <c:v>1381.35</c:v>
                </c:pt>
                <c:pt idx="2">
                  <c:v>1381.35</c:v>
                </c:pt>
                <c:pt idx="3">
                  <c:v>1381.35</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591.69</c:v>
                </c:pt>
                <c:pt idx="8">
                  <c:v>33.07</c:v>
                </c:pt>
                <c:pt idx="9">
                  <c:v>0</c:v>
                </c:pt>
                <c:pt idx="10">
                  <c:v>0</c:v>
                </c:pt>
                <c:pt idx="11">
                  <c:v>0</c:v>
                </c:pt>
                <c:pt idx="12">
                  <c:v>716.23</c:v>
                </c:pt>
                <c:pt idx="13">
                  <c:v>0</c:v>
                </c:pt>
                <c:pt idx="14">
                  <c:v>0</c:v>
                </c:pt>
                <c:pt idx="15">
                  <c:v>0</c:v>
                </c:pt>
                <c:pt idx="16">
                  <c:v>0</c:v>
                </c:pt>
                <c:pt idx="17">
                  <c:v>0</c:v>
                </c:pt>
                <c:pt idx="18">
                  <c:v>40.37</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0</TotalTime>
  <ScaleCrop>false</ScaleCrop>
  <LinksUpToDate>false</LinksUpToDate>
  <CharactersWithSpaces>2170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jy</cp:lastModifiedBy>
  <cp:lastPrinted>2023-08-04T01:00:00Z</cp:lastPrinted>
  <dcterms:modified xsi:type="dcterms:W3CDTF">2025-09-09T06:35:54Z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