
<file path=[Content_Types].xml><?xml version="1.0" encoding="utf-8"?>
<Types xmlns="http://schemas.openxmlformats.org/package/2006/content-types">
  <Default Extension="xml" ContentType="application/xml"/>
  <Default Extension="xlsx" ContentType="application/vnd.openxmlformats-officedocument.spreadsheetml.sheet"/>
  <Default Extension="jpeg" ContentType="image/jpeg"/>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olors1.xml" ContentType="application/vnd.ms-office.chartcolorstyle+xml"/>
  <Override PartName="/word/charts/colors2.xml" ContentType="application/vnd.ms-office.chartcolorstyle+xml"/>
  <Override PartName="/word/charts/colors3.xml" ContentType="application/vnd.ms-office.chartcolorstyle+xml"/>
  <Override PartName="/word/charts/colors4.xml" ContentType="application/vnd.ms-office.chartcolorstyle+xml"/>
  <Override PartName="/word/charts/colors5.xml" ContentType="application/vnd.ms-office.chartcolorstyle+xml"/>
  <Override PartName="/word/charts/style1.xml" ContentType="application/vnd.ms-office.chartstyle+xml"/>
  <Override PartName="/word/charts/style2.xml" ContentType="application/vnd.ms-office.chartstyle+xml"/>
  <Override PartName="/word/charts/style3.xml" ContentType="application/vnd.ms-office.chartstyle+xml"/>
  <Override PartName="/word/charts/style4.xml" ContentType="application/vnd.ms-office.chartstyle+xml"/>
  <Override PartName="/word/charts/style5.xml" ContentType="application/vnd.ms-office.chartstyle+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10.odttf" ContentType="application/vnd.openxmlformats-officedocument.obfuscatedFont"/>
  <Override PartName="/word/fonts/font1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nts/font8.odttf" ContentType="application/vnd.openxmlformats-officedocument.obfuscatedFont"/>
  <Override PartName="/word/fonts/font9.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600" w:lineRule="auto"/>
        <w:jc w:val="both"/>
        <w:rPr>
          <w:rFonts w:hint="eastAsia" w:ascii="楷体_GB2312" w:hAnsi="楷体_GB2312" w:eastAsia="楷体_GB2312" w:cs="楷体_GB2312"/>
          <w:color w:val="000000"/>
          <w:sz w:val="40"/>
          <w:szCs w:val="40"/>
        </w:rPr>
      </w:pPr>
      <w:r>
        <mc:AlternateContent>
          <mc:Choice Requires="wps">
            <w:drawing>
              <wp:anchor distT="0" distB="0" distL="114300" distR="114300" simplePos="0" relativeHeight="251660288" behindDoc="0" locked="0" layoutInCell="1" allowOverlap="1">
                <wp:simplePos x="0" y="0"/>
                <wp:positionH relativeFrom="column">
                  <wp:posOffset>-142240</wp:posOffset>
                </wp:positionH>
                <wp:positionV relativeFrom="paragraph">
                  <wp:posOffset>253365</wp:posOffset>
                </wp:positionV>
                <wp:extent cx="6026785" cy="2862580"/>
                <wp:effectExtent l="0" t="0" r="0" b="0"/>
                <wp:wrapNone/>
                <wp:docPr id="1" name="文本框 1" descr="7b0a2020202022776f7264617274223a20227b5c2269645c223a32353030323136362c5c227469645c223a5c225c227d220a7d0a"/>
                <wp:cNvGraphicFramePr/>
                <a:graphic xmlns:a="http://schemas.openxmlformats.org/drawingml/2006/main">
                  <a:graphicData uri="http://schemas.microsoft.com/office/word/2010/wordprocessingShape">
                    <wps:wsp>
                      <wps:cNvSpPr txBox="1"/>
                      <wps:spPr>
                        <a:xfrm>
                          <a:off x="0" y="0"/>
                          <a:ext cx="6026785" cy="2862580"/>
                        </a:xfrm>
                        <a:prstGeom prst="rect">
                          <a:avLst/>
                        </a:prstGeom>
                        <a:noFill/>
                        <a:ln>
                          <a:noFill/>
                        </a:ln>
                        <a:effectLst/>
                      </wps:spPr>
                      <wps:txbx>
                        <w:txbxContent>
                          <w:p>
                            <w:pPr>
                              <w:spacing w:line="1400" w:lineRule="exact"/>
                              <w:jc w:val="left"/>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p>
                          <w:p>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2024年度</w:t>
                            </w:r>
                          </w:p>
                          <w:p>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部门决算公开文本</w:t>
                            </w:r>
                          </w:p>
                        </w:txbxContent>
                      </wps:txbx>
                      <wps:bodyPr upright="1"/>
                    </wps:wsp>
                  </a:graphicData>
                </a:graphic>
              </wp:anchor>
            </w:drawing>
          </mc:Choice>
          <mc:Fallback>
            <w:pict>
              <v:shape id="_x0000_s1026" o:spid="_x0000_s1026" o:spt="202" alt="7b0a2020202022776f7264617274223a20227b5c2269645c223a32353030323136362c5c227469645c223a5c225c227d220a7d0a" type="#_x0000_t202" style="position:absolute;left:0pt;margin-left:-11.2pt;margin-top:19.95pt;height:225.4pt;width:474.55pt;z-index:251660288;mso-width-relative:page;mso-height-relative:page;" filled="f" stroked="f" coordsize="21600,21600" o:gfxdata="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">
                <v:fill on="f" focussize="0,0"/>
                <v:stroke on="f"/>
                <v:imagedata o:title=""/>
                <o:lock v:ext="edit" aspectratio="f"/>
                <v:textbox>
                  <w:txbxContent>
                    <w:p>
                      <w:pPr>
                        <w:spacing w:line="1400" w:lineRule="exact"/>
                        <w:jc w:val="left"/>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p>
                    <w:p>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2024年度</w:t>
                      </w:r>
                    </w:p>
                    <w:p>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部门决算公开文本</w:t>
                      </w:r>
                    </w:p>
                  </w:txbxContent>
                </v:textbox>
              </v:shape>
            </w:pict>
          </mc:Fallback>
        </mc:AlternateContent>
      </w:r>
      <w:r>
        <w:drawing>
          <wp:anchor distT="0" distB="0" distL="114300" distR="114300" simplePos="0" relativeHeight="251659264" behindDoc="1" locked="0" layoutInCell="1" allowOverlap="1">
            <wp:simplePos x="0" y="0"/>
            <wp:positionH relativeFrom="column">
              <wp:posOffset>-1857375</wp:posOffset>
            </wp:positionH>
            <wp:positionV relativeFrom="paragraph">
              <wp:posOffset>-1579245</wp:posOffset>
            </wp:positionV>
            <wp:extent cx="8646795" cy="11107420"/>
            <wp:effectExtent l="0" t="0" r="1905" b="5080"/>
            <wp:wrapNone/>
            <wp:docPr id="15" name="图片 15" descr="7b0a202020202266696c746572223a202230220a7d0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图片 15" descr="7b0a202020202266696c746572223a202230220a7d0a"/>
                    <pic:cNvPicPr>
                      <a:picLocks noChangeAspect="1"/>
                    </pic:cNvPicPr>
                  </pic:nvPicPr>
                  <pic:blipFill>
                    <a:blip r:embed="rId10">
                      <a:lum bright="6000"/>
                    </a:blip>
                    <a:srcRect t="559" b="3637"/>
                    <a:stretch>
                      <a:fillRect/>
                    </a:stretch>
                  </pic:blipFill>
                  <pic:spPr>
                    <a:xfrm>
                      <a:off x="0" y="0"/>
                      <a:ext cx="8646795" cy="11107420"/>
                    </a:xfrm>
                    <a:prstGeom prst="rect">
                      <a:avLst/>
                    </a:prstGeom>
                  </pic:spPr>
                </pic:pic>
              </a:graphicData>
            </a:graphic>
          </wp:anchor>
        </w:drawing>
      </w:r>
    </w:p>
    <w:p>
      <w:pPr>
        <w:spacing w:line="600" w:lineRule="auto"/>
        <w:jc w:val="both"/>
        <w:rPr>
          <w:rFonts w:hint="eastAsia" w:ascii="楷体_GB2312" w:hAnsi="楷体_GB2312" w:eastAsia="楷体_GB2312" w:cs="楷体_GB2312"/>
          <w:color w:val="000000"/>
          <w:sz w:val="40"/>
          <w:szCs w:val="40"/>
        </w:rPr>
      </w:pPr>
    </w:p>
    <w:p>
      <w:pPr>
        <w:spacing w:line="600" w:lineRule="auto"/>
        <w:jc w:val="both"/>
        <w:rPr>
          <w:rFonts w:hint="eastAsia" w:ascii="楷体_GB2312" w:hAnsi="楷体_GB2312" w:eastAsia="楷体_GB2312" w:cs="楷体_GB2312"/>
          <w:color w:val="000000"/>
          <w:sz w:val="40"/>
          <w:szCs w:val="40"/>
        </w:rPr>
      </w:pPr>
    </w:p>
    <w:p>
      <w:pPr>
        <w:spacing w:line="600" w:lineRule="auto"/>
        <w:jc w:val="both"/>
        <w:rPr>
          <w:rFonts w:hint="eastAsia" w:ascii="楷体_GB2312" w:hAnsi="楷体_GB2312" w:eastAsia="楷体_GB2312" w:cs="楷体_GB2312"/>
          <w:color w:val="000000"/>
          <w:sz w:val="40"/>
          <w:szCs w:val="40"/>
        </w:rPr>
      </w:pPr>
    </w:p>
    <w:p>
      <w:pPr>
        <w:spacing w:line="600" w:lineRule="auto"/>
        <w:jc w:val="both"/>
        <w:rPr>
          <w:rFonts w:hint="eastAsia" w:ascii="楷体_GB2312" w:hAnsi="楷体_GB2312" w:eastAsia="楷体_GB2312" w:cs="楷体_GB2312"/>
          <w:color w:val="000000"/>
          <w:sz w:val="40"/>
          <w:szCs w:val="40"/>
        </w:rPr>
      </w:pPr>
    </w:p>
    <w:p>
      <w:pPr>
        <w:spacing w:line="600" w:lineRule="auto"/>
        <w:jc w:val="both"/>
        <w:rPr>
          <w:rFonts w:hint="eastAsia" w:ascii="楷体_GB2312" w:hAnsi="楷体_GB2312" w:eastAsia="楷体_GB2312" w:cs="楷体_GB2312"/>
          <w:color w:val="000000"/>
          <w:sz w:val="40"/>
          <w:szCs w:val="40"/>
        </w:rPr>
      </w:pPr>
    </w:p>
    <w:p>
      <w:pPr>
        <w:spacing w:line="600" w:lineRule="auto"/>
        <w:jc w:val="both"/>
        <w:rPr>
          <w:rFonts w:hint="eastAsia" w:ascii="楷体_GB2312" w:hAnsi="楷体_GB2312" w:eastAsia="楷体_GB2312" w:cs="楷体_GB2312"/>
          <w:color w:val="000000"/>
          <w:sz w:val="40"/>
          <w:szCs w:val="40"/>
        </w:rPr>
      </w:pPr>
    </w:p>
    <w:p>
      <w:pPr>
        <w:spacing w:line="600" w:lineRule="auto"/>
        <w:jc w:val="both"/>
        <w:rPr>
          <w:rFonts w:hint="eastAsia" w:ascii="楷体_GB2312" w:hAnsi="楷体_GB2312" w:eastAsia="楷体_GB2312" w:cs="楷体_GB2312"/>
          <w:color w:val="000000"/>
          <w:sz w:val="40"/>
          <w:szCs w:val="40"/>
        </w:rPr>
      </w:pPr>
    </w:p>
    <w:p>
      <w:pPr>
        <w:spacing w:line="600" w:lineRule="auto"/>
        <w:jc w:val="both"/>
        <w:rPr>
          <w:rFonts w:hint="eastAsia" w:ascii="楷体_GB2312" w:hAnsi="楷体_GB2312" w:eastAsia="楷体_GB2312" w:cs="楷体_GB2312"/>
          <w:color w:val="000000"/>
          <w:sz w:val="40"/>
          <w:szCs w:val="40"/>
        </w:rPr>
      </w:pPr>
    </w:p>
    <w:p>
      <w:pPr>
        <w:spacing w:line="600" w:lineRule="auto"/>
        <w:jc w:val="both"/>
        <w:rPr>
          <w:rFonts w:hint="eastAsia" w:ascii="楷体_GB2312" w:hAnsi="楷体_GB2312" w:eastAsia="楷体_GB2312" w:cs="楷体_GB2312"/>
          <w:color w:val="000000"/>
          <w:sz w:val="40"/>
          <w:szCs w:val="40"/>
        </w:rPr>
      </w:pPr>
    </w:p>
    <w:p>
      <w:pPr>
        <w:spacing w:line="600" w:lineRule="auto"/>
        <w:jc w:val="both"/>
        <w:rPr>
          <w:rFonts w:hint="eastAsia" w:ascii="楷体_GB2312" w:hAnsi="楷体_GB2312" w:eastAsia="楷体_GB2312" w:cs="楷体_GB2312"/>
          <w:color w:val="000000"/>
          <w:sz w:val="40"/>
          <w:szCs w:val="40"/>
        </w:rPr>
      </w:pPr>
    </w:p>
    <w:p>
      <w:pPr>
        <w:spacing w:line="600" w:lineRule="auto"/>
        <w:jc w:val="both"/>
        <w:rPr>
          <w:rFonts w:hint="eastAsia" w:ascii="楷体_GB2312" w:hAnsi="楷体_GB2312" w:eastAsia="楷体_GB2312" w:cs="楷体_GB2312"/>
          <w:color w:val="000000"/>
          <w:sz w:val="40"/>
          <w:szCs w:val="40"/>
        </w:rPr>
      </w:pPr>
    </w:p>
    <w:p>
      <w:pPr>
        <w:spacing w:line="600" w:lineRule="auto"/>
        <w:jc w:val="left"/>
        <w:rPr>
          <w:rFonts w:hint="eastAsia" w:ascii="楷体_GB2312" w:hAnsi="楷体_GB2312" w:eastAsia="楷体_GB2312" w:cs="楷体_GB2312"/>
          <w:color w:val="000000"/>
          <w:sz w:val="40"/>
          <w:szCs w:val="40"/>
          <w:lang w:val="en-US" w:eastAsia="zh-CN"/>
        </w:rPr>
      </w:pPr>
      <w:r>
        <w:rPr>
          <w:rFonts w:hint="eastAsia" w:ascii="黑体" w:hAnsi="黑体" w:eastAsia="黑体" w:cs="黑体"/>
          <w:color w:val="000000"/>
          <w:sz w:val="40"/>
          <w:szCs w:val="40"/>
        </w:rPr>
        <w:t>预算代码</w:t>
      </w:r>
      <w:r>
        <w:rPr>
          <w:rFonts w:hint="eastAsia" w:ascii="楷体_GB2312" w:hAnsi="楷体_GB2312" w:eastAsia="楷体_GB2312" w:cs="楷体_GB2312"/>
          <w:color w:val="000000"/>
          <w:sz w:val="40"/>
          <w:szCs w:val="40"/>
        </w:rPr>
        <w:t>：</w:t>
      </w:r>
      <w:r>
        <w:rPr>
          <w:rFonts w:hint="eastAsia" w:ascii="楷体_GB2312" w:hAnsi="楷体_GB2312" w:eastAsia="楷体_GB2312" w:cs="楷体_GB2312"/>
          <w:color w:val="000000"/>
          <w:sz w:val="40"/>
          <w:szCs w:val="40"/>
          <w:lang w:val="en-US" w:eastAsia="zh-CN"/>
        </w:rPr>
        <w:t>348</w:t>
      </w:r>
    </w:p>
    <w:p>
      <w:pPr>
        <w:spacing w:line="600" w:lineRule="auto"/>
        <w:jc w:val="left"/>
        <w:rPr>
          <w:rFonts w:hint="eastAsia" w:ascii="楷体_GB2312" w:hAnsi="楷体_GB2312" w:eastAsia="楷体_GB2312" w:cs="楷体_GB2312"/>
          <w:color w:val="000000"/>
          <w:sz w:val="40"/>
          <w:szCs w:val="40"/>
        </w:rPr>
      </w:pPr>
      <w:r>
        <w:rPr>
          <w:rFonts w:hint="eastAsia" w:ascii="黑体" w:hAnsi="黑体" w:eastAsia="黑体" w:cs="黑体"/>
          <w:color w:val="000000"/>
          <w:sz w:val="40"/>
          <w:szCs w:val="40"/>
          <w:lang w:eastAsia="zh-CN"/>
        </w:rPr>
        <w:t>部门</w:t>
      </w:r>
      <w:bookmarkStart w:id="3" w:name="_GoBack"/>
      <w:bookmarkEnd w:id="3"/>
      <w:r>
        <w:rPr>
          <w:rFonts w:hint="eastAsia" w:ascii="黑体" w:hAnsi="黑体" w:eastAsia="黑体" w:cs="黑体"/>
          <w:color w:val="000000"/>
          <w:sz w:val="40"/>
          <w:szCs w:val="40"/>
        </w:rPr>
        <w:t>名称</w:t>
      </w:r>
      <w:r>
        <w:rPr>
          <w:rFonts w:hint="eastAsia" w:ascii="楷体_GB2312" w:hAnsi="楷体_GB2312" w:eastAsia="楷体_GB2312" w:cs="楷体_GB2312"/>
          <w:color w:val="000000"/>
          <w:sz w:val="40"/>
          <w:szCs w:val="40"/>
        </w:rPr>
        <w:t>：石家庄市交通运输局(</w:t>
      </w:r>
      <w:r>
        <w:rPr>
          <w:rFonts w:hint="eastAsia" w:ascii="楷体_GB2312" w:hAnsi="楷体_GB2312" w:eastAsia="楷体_GB2312" w:cs="楷体_GB2312"/>
          <w:color w:val="000000"/>
          <w:sz w:val="40"/>
          <w:szCs w:val="40"/>
          <w:lang w:eastAsia="zh-CN"/>
        </w:rPr>
        <w:t>汇总</w:t>
      </w:r>
      <w:r>
        <w:rPr>
          <w:rFonts w:hint="eastAsia" w:ascii="楷体_GB2312" w:hAnsi="楷体_GB2312" w:eastAsia="楷体_GB2312" w:cs="楷体_GB2312"/>
          <w:color w:val="000000"/>
          <w:sz w:val="40"/>
          <w:szCs w:val="40"/>
        </w:rPr>
        <w:t>)</w:t>
      </w:r>
    </w:p>
    <w:p>
      <w:pPr>
        <w:rPr>
          <w:rFonts w:hint="eastAsia" w:ascii="楷体_GB2312" w:hAnsi="楷体_GB2312" w:eastAsia="楷体_GB2312" w:cs="楷体_GB2312"/>
          <w:color w:val="000000"/>
          <w:sz w:val="40"/>
          <w:szCs w:val="40"/>
        </w:rPr>
      </w:pPr>
      <w:r>
        <w:rPr>
          <w:rFonts w:hint="eastAsia" w:ascii="楷体_GB2312" w:hAnsi="楷体_GB2312" w:eastAsia="楷体_GB2312" w:cs="楷体_GB2312"/>
          <w:color w:val="000000"/>
          <w:sz w:val="40"/>
          <w:szCs w:val="40"/>
        </w:rPr>
        <w:br w:type="page"/>
      </w:r>
    </w:p>
    <w:p>
      <w:pPr>
        <w:pStyle w:val="2"/>
        <w:rPr>
          <w:rFonts w:hint="eastAsia"/>
        </w:rPr>
      </w:pPr>
    </w:p>
    <w:p>
      <w:pPr>
        <w:rPr>
          <w:rFonts w:hint="eastAsia" w:ascii="黑体" w:hAnsi="黑体" w:eastAsia="黑体" w:cs="黑体"/>
          <w:b/>
          <w:bCs/>
          <w:sz w:val="32"/>
          <w:szCs w:val="36"/>
          <w:highlight w:val="yellow"/>
        </w:rPr>
      </w:pPr>
    </w:p>
    <w:p>
      <w:pPr>
        <w:widowControl/>
        <w:spacing w:before="0" w:beforeLines="0" w:beforeAutospacing="0" w:after="0" w:afterLines="0" w:afterAutospacing="0" w:line="360" w:lineRule="auto"/>
        <w:jc w:val="center"/>
        <w:rPr>
          <w:rFonts w:ascii="Times New Roman" w:eastAsia="方正小标宋_GBK"/>
          <w:b w:val="0"/>
          <w:sz w:val="72"/>
          <w:szCs w:val="72"/>
        </w:rPr>
      </w:pPr>
      <w:r>
        <w:rPr>
          <w:rFonts w:ascii="Times New Roman" w:eastAsia="方正小标宋_GBK"/>
          <w:b w:val="0"/>
          <w:sz w:val="72"/>
          <w:szCs w:val="72"/>
        </w:rPr>
        <w:t>石家庄市交通运输局</w:t>
      </w:r>
    </w:p>
    <w:p>
      <w:pPr>
        <w:widowControl/>
        <w:spacing w:before="0" w:beforeLines="0" w:beforeAutospacing="0" w:after="0" w:afterLines="0" w:afterAutospacing="0" w:line="360" w:lineRule="auto"/>
        <w:jc w:val="center"/>
        <w:rPr>
          <w:rFonts w:ascii="Times New Roman" w:eastAsia="方正小标宋_GBK"/>
          <w:spacing w:val="-34"/>
          <w:sz w:val="72"/>
          <w:szCs w:val="72"/>
        </w:rPr>
      </w:pPr>
      <w:r>
        <w:rPr>
          <w:rFonts w:ascii="Times New Roman" w:eastAsia="仿宋_GB2312"/>
          <w:b w:val="0"/>
          <w:spacing w:val="-34"/>
          <w:sz w:val="72"/>
          <w:szCs w:val="72"/>
        </w:rPr>
        <w:t>2024</w:t>
      </w:r>
      <w:r>
        <w:rPr>
          <w:rFonts w:ascii="Times New Roman" w:eastAsia="方正小标宋_GBK"/>
          <w:b w:val="0"/>
          <w:spacing w:val="-34"/>
          <w:sz w:val="72"/>
          <w:szCs w:val="72"/>
        </w:rPr>
        <w:t>年度部门决算公开文本</w:t>
      </w:r>
    </w:p>
    <w:p>
      <w:pPr>
        <w:spacing w:line="36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480" w:lineRule="auto"/>
        <w:jc w:val="both"/>
        <w:rPr>
          <w:rFonts w:ascii="黑体" w:hAnsi="黑体" w:eastAsia="黑体" w:cs="黑体"/>
          <w:sz w:val="56"/>
          <w:szCs w:val="72"/>
        </w:rPr>
      </w:pPr>
    </w:p>
    <w:p>
      <w:pPr>
        <w:widowControl/>
        <w:spacing w:before="0" w:beforeLines="0" w:beforeAutospacing="0" w:after="0" w:afterLines="0" w:afterAutospacing="0" w:line="360" w:lineRule="auto"/>
        <w:jc w:val="center"/>
        <w:rPr>
          <w:rFonts w:ascii="Times New Roman" w:eastAsia="楷体_GB2312"/>
          <w:b w:val="0"/>
          <w:sz w:val="44"/>
          <w:szCs w:val="44"/>
        </w:rPr>
      </w:pPr>
      <w:r>
        <w:rPr>
          <w:rFonts w:ascii="Times New Roman" w:eastAsia="楷体_GB2312"/>
          <w:b w:val="0"/>
          <w:sz w:val="44"/>
          <w:szCs w:val="44"/>
        </w:rPr>
        <w:t>石家庄市交通运输局</w:t>
      </w:r>
    </w:p>
    <w:p>
      <w:pPr>
        <w:widowControl/>
        <w:spacing w:before="0" w:beforeLines="0" w:beforeAutospacing="0" w:after="0" w:afterLines="0" w:afterAutospacing="0" w:line="360" w:lineRule="auto"/>
        <w:jc w:val="center"/>
        <w:rPr>
          <w:rFonts w:ascii="Times New Roman" w:eastAsia="楷体_GB2312"/>
          <w:sz w:val="44"/>
          <w:szCs w:val="44"/>
        </w:rPr>
      </w:pPr>
      <w:r>
        <w:rPr>
          <w:rFonts w:ascii="Times New Roman" w:eastAsia="楷体_GB2312"/>
          <w:b w:val="0"/>
          <w:sz w:val="44"/>
          <w:szCs w:val="44"/>
        </w:rPr>
        <w:t>二〇二五年</w:t>
      </w:r>
      <w:r>
        <w:rPr>
          <w:rFonts w:hint="eastAsia" w:ascii="Times New Roman" w:eastAsia="楷体_GB2312"/>
          <w:b w:val="0"/>
          <w:sz w:val="44"/>
          <w:szCs w:val="44"/>
          <w:lang w:eastAsia="zh-CN"/>
        </w:rPr>
        <w:t>九</w:t>
      </w:r>
      <w:r>
        <w:rPr>
          <w:rFonts w:ascii="Times New Roman" w:eastAsia="楷体_GB2312"/>
          <w:b w:val="0"/>
          <w:sz w:val="44"/>
          <w:szCs w:val="44"/>
        </w:rPr>
        <w:t>月</w:t>
      </w:r>
    </w:p>
    <w:p>
      <w:pPr>
        <w:snapToGrid w:val="0"/>
        <w:jc w:val="left"/>
        <w:rPr>
          <w:rFonts w:hint="eastAsia" w:ascii="楷体_GB2312" w:hAnsi="楷体_GB2312" w:eastAsia="楷体_GB2312" w:cs="楷体_GB2312"/>
          <w:color w:val="000000" w:themeColor="text1"/>
          <w:kern w:val="0"/>
          <w:sz w:val="44"/>
          <w:szCs w:val="44"/>
          <w:lang w:val="en-US"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p>
    <w:p>
      <w:pPr>
        <w:snapToGrid w:val="0"/>
        <w:jc w:val="left"/>
        <w:rPr>
          <w:rFonts w:hint="default" w:ascii="楷体_GB2312" w:hAnsi="楷体_GB2312" w:eastAsia="楷体_GB2312" w:cs="楷体_GB2312"/>
          <w:color w:val="000000" w:themeColor="text1"/>
          <w:kern w:val="0"/>
          <w:sz w:val="44"/>
          <w:szCs w:val="44"/>
          <w:lang w:val="en-US"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sectPr>
          <w:footerReference r:id="rId3" w:type="default"/>
          <w:pgSz w:w="11906" w:h="16838"/>
          <w:pgMar w:top="1531" w:right="1984" w:bottom="1531" w:left="1984" w:header="851" w:footer="992" w:gutter="0"/>
          <w:pgBorders>
            <w:top w:val="none" w:sz="0" w:space="0"/>
            <w:left w:val="none" w:sz="0" w:space="0"/>
            <w:bottom w:val="none" w:sz="0" w:space="0"/>
            <w:right w:val="none" w:sz="0" w:space="0"/>
          </w:pgBorders>
          <w:cols w:space="0" w:num="1"/>
          <w:rtlGutter w:val="0"/>
          <w:docGrid w:type="lines" w:linePitch="312" w:charSpace="0"/>
        </w:sectPr>
      </w:pPr>
    </w:p>
    <w:p>
      <w:pPr>
        <w:widowControl/>
        <w:spacing w:line="600" w:lineRule="exact"/>
        <w:jc w:val="left"/>
        <w:rPr>
          <w:rFonts w:ascii="黑体" w:hAnsi="黑体" w:eastAsia="黑体" w:cs="黑体"/>
          <w:bCs/>
          <w:sz w:val="32"/>
          <w:szCs w:val="32"/>
        </w:rPr>
      </w:pPr>
    </w:p>
    <w:p>
      <w:pPr>
        <w:tabs>
          <w:tab w:val="left" w:pos="2728"/>
        </w:tabs>
        <w:jc w:val="center"/>
        <w:rPr>
          <w:rFonts w:ascii="黑体" w:hAnsi="Times New Roman" w:eastAsia="黑体" w:cs="Times New Roman"/>
          <w:sz w:val="48"/>
          <w:szCs w:val="48"/>
        </w:rPr>
      </w:pPr>
    </w:p>
    <w:p>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目录</w:t>
      </w:r>
    </w:p>
    <w:p>
      <w:pPr>
        <w:widowControl/>
        <w:spacing w:after="160" w:line="580" w:lineRule="exact"/>
        <w:ind w:firstLine="640" w:firstLineChars="200"/>
        <w:rPr>
          <w:rFonts w:ascii="Times New Roman" w:hAnsi="Times New Roman" w:eastAsia="黑体" w:cs="Times New Roman"/>
          <w:sz w:val="32"/>
          <w:szCs w:val="32"/>
        </w:rPr>
      </w:pPr>
    </w:p>
    <w:p>
      <w:pPr>
        <w:widowControl/>
        <w:spacing w:before="0" w:beforeLines="0" w:beforeAutospacing="0" w:after="0" w:afterLines="0" w:afterAutospacing="0" w:line="360" w:lineRule="auto"/>
        <w:jc w:val="left"/>
        <w:rPr>
          <w:rFonts w:ascii="Times New Roman" w:eastAsia="黑体"/>
          <w:sz w:val="32"/>
          <w:szCs w:val="32"/>
        </w:rPr>
      </w:pPr>
      <w:r>
        <w:rPr>
          <w:rFonts w:ascii="Times New Roman" w:eastAsia="黑体"/>
          <w:b w:val="0"/>
          <w:sz w:val="32"/>
          <w:szCs w:val="32"/>
        </w:rPr>
        <w:t>第一部分部门概况</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一、部门职责</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二、机构设置</w:t>
      </w:r>
    </w:p>
    <w:p>
      <w:pPr>
        <w:widowControl/>
        <w:spacing w:before="0" w:beforeLines="0" w:beforeAutospacing="0" w:after="0" w:afterLines="0" w:afterAutospacing="0" w:line="360" w:lineRule="auto"/>
        <w:jc w:val="left"/>
        <w:outlineLvl w:val="0"/>
        <w:rPr>
          <w:rFonts w:ascii="Times New Roman" w:eastAsia="黑体"/>
          <w:sz w:val="32"/>
          <w:szCs w:val="32"/>
        </w:rPr>
      </w:pPr>
      <w:r>
        <w:rPr>
          <w:rFonts w:ascii="Times New Roman" w:eastAsia="黑体"/>
          <w:b w:val="0"/>
          <w:sz w:val="32"/>
          <w:szCs w:val="32"/>
        </w:rPr>
        <w:t>第二部分2024年度部门决算报表</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一、收入支出决算总表</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二、收入决算表</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三、支出决算表</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四、财政拨款收入支出决算总表</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五、一般公共预算财政拨款支出决算表</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六、一般公共预算财政拨款基本支出决算明细表</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七、政府性基金预算财政拨款收入支出决算表</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八、国有资本经营预算财政拨款支出决算表</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九、财政拨款“三公”经费支出决算表</w:t>
      </w:r>
    </w:p>
    <w:p>
      <w:pPr>
        <w:widowControl/>
        <w:spacing w:before="0" w:beforeLines="0" w:beforeAutospacing="0" w:after="0" w:afterLines="0" w:afterAutospacing="0" w:line="360" w:lineRule="auto"/>
        <w:jc w:val="left"/>
        <w:rPr>
          <w:rFonts w:ascii="Times New Roman" w:eastAsia="黑体"/>
          <w:sz w:val="32"/>
          <w:szCs w:val="32"/>
        </w:rPr>
      </w:pPr>
      <w:r>
        <w:rPr>
          <w:rFonts w:ascii="Times New Roman" w:eastAsia="黑体"/>
          <w:b w:val="0"/>
          <w:sz w:val="32"/>
          <w:szCs w:val="32"/>
        </w:rPr>
        <w:t>第三部分2024年度部门决算情况说明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一、收入支出决算总体情况说明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二、收入决算情况说明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三、支出决算情况说明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四、财政拨款收入支出决算总体情况说明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五、财政拨款“三公”经费支出决算情况说明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六、机关运行经费支出说明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七、政府采购支出说明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八、国有资产占用情况说明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九、关于2024年度绩效评价情况的说明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十、其他需要说明的情况</w:t>
      </w:r>
    </w:p>
    <w:p>
      <w:pPr>
        <w:widowControl/>
        <w:spacing w:before="0" w:beforeLines="0" w:beforeAutospacing="0" w:after="0" w:afterLines="0" w:afterAutospacing="0" w:line="360" w:lineRule="auto"/>
        <w:jc w:val="left"/>
        <w:rPr>
          <w:rFonts w:ascii="Times New Roman" w:eastAsia="黑体"/>
          <w:sz w:val="32"/>
          <w:szCs w:val="32"/>
        </w:rPr>
      </w:pPr>
      <w:r>
        <w:rPr>
          <w:rFonts w:ascii="Times New Roman" w:eastAsia="黑体"/>
          <w:b w:val="0"/>
          <w:sz w:val="32"/>
          <w:szCs w:val="32"/>
        </w:rPr>
        <w:t>第四部分名词解释</w:t>
      </w:r>
    </w:p>
    <w:p>
      <w:pPr>
        <w:widowControl/>
        <w:spacing w:after="160" w:line="580" w:lineRule="exact"/>
        <w:rPr>
          <w:rFonts w:hint="eastAsia" w:ascii="Times New Roman" w:hAnsi="Times New Roman" w:eastAsia="黑体" w:cs="Times New Roman"/>
          <w:sz w:val="32"/>
          <w:szCs w:val="32"/>
          <w:lang w:val="en-US" w:eastAsia="zh-CN"/>
        </w:rPr>
        <w:sectPr>
          <w:headerReference r:id="rId5" w:type="first"/>
          <w:footerReference r:id="rId7" w:type="first"/>
          <w:headerReference r:id="rId4" w:type="default"/>
          <w:footerReference r:id="rId6" w:type="default"/>
          <w:pgSz w:w="11906" w:h="16838"/>
          <w:pgMar w:top="1474" w:right="1531" w:bottom="1474" w:left="1531" w:header="851" w:footer="992" w:gutter="0"/>
          <w:pgBorders>
            <w:top w:val="none" w:sz="0" w:space="0"/>
            <w:left w:val="none" w:sz="0" w:space="0"/>
            <w:bottom w:val="none" w:sz="0" w:space="0"/>
            <w:right w:val="none" w:sz="0" w:space="0"/>
          </w:pgBorders>
          <w:cols w:space="0" w:num="1"/>
          <w:titlePg/>
          <w:docGrid w:type="lines" w:linePitch="312" w:charSpace="0"/>
        </w:sectPr>
      </w:pPr>
    </w:p>
    <w:p>
      <w:pPr>
        <w:widowControl/>
        <w:spacing w:before="0" w:beforeLines="0" w:beforeAutospacing="0" w:after="0" w:afterLines="0" w:afterAutospacing="0" w:line="360" w:lineRule="auto"/>
        <w:jc w:val="center"/>
        <w:outlineLvl w:val="0"/>
        <w:rPr>
          <w:rFonts w:ascii="Times New Roman" w:eastAsia="黑体"/>
          <w:b w:val="0"/>
          <w:sz w:val="44"/>
          <w:szCs w:val="44"/>
        </w:rPr>
      </w:pPr>
    </w:p>
    <w:p>
      <w:pPr>
        <w:widowControl/>
        <w:spacing w:before="0" w:beforeLines="0" w:beforeAutospacing="0" w:after="0" w:afterLines="0" w:afterAutospacing="0" w:line="360" w:lineRule="auto"/>
        <w:jc w:val="center"/>
        <w:outlineLvl w:val="0"/>
        <w:rPr>
          <w:rFonts w:ascii="Times New Roman" w:eastAsia="黑体"/>
          <w:b w:val="0"/>
          <w:sz w:val="44"/>
          <w:szCs w:val="44"/>
        </w:rPr>
      </w:pPr>
    </w:p>
    <w:p>
      <w:pPr>
        <w:widowControl/>
        <w:spacing w:before="0" w:beforeLines="0" w:beforeAutospacing="0" w:after="0" w:afterLines="0" w:afterAutospacing="0" w:line="360" w:lineRule="auto"/>
        <w:jc w:val="center"/>
        <w:outlineLvl w:val="0"/>
        <w:rPr>
          <w:rFonts w:ascii="Times New Roman" w:eastAsia="黑体"/>
          <w:b w:val="0"/>
          <w:sz w:val="44"/>
          <w:szCs w:val="44"/>
        </w:rPr>
      </w:pPr>
    </w:p>
    <w:p>
      <w:pPr>
        <w:widowControl/>
        <w:spacing w:before="0" w:beforeLines="0" w:beforeAutospacing="0" w:after="0" w:afterLines="0" w:afterAutospacing="0" w:line="360" w:lineRule="auto"/>
        <w:jc w:val="center"/>
        <w:outlineLvl w:val="0"/>
        <w:rPr>
          <w:rFonts w:ascii="Times New Roman" w:eastAsia="黑体"/>
          <w:b w:val="0"/>
          <w:sz w:val="44"/>
          <w:szCs w:val="44"/>
        </w:rPr>
      </w:pPr>
    </w:p>
    <w:p>
      <w:pPr>
        <w:widowControl/>
        <w:spacing w:before="0" w:beforeLines="0" w:beforeAutospacing="0" w:after="0" w:afterLines="0" w:afterAutospacing="0" w:line="360" w:lineRule="auto"/>
        <w:jc w:val="center"/>
        <w:outlineLvl w:val="0"/>
        <w:rPr>
          <w:rFonts w:ascii="Times New Roman" w:eastAsia="黑体"/>
          <w:b w:val="0"/>
          <w:sz w:val="44"/>
          <w:szCs w:val="44"/>
        </w:rPr>
      </w:pPr>
    </w:p>
    <w:p>
      <w:pPr>
        <w:widowControl/>
        <w:spacing w:before="0" w:beforeLines="0" w:beforeAutospacing="0" w:after="0" w:afterLines="0" w:afterAutospacing="0" w:line="360" w:lineRule="auto"/>
        <w:jc w:val="center"/>
        <w:outlineLvl w:val="0"/>
        <w:rPr>
          <w:rFonts w:ascii="Times New Roman" w:eastAsia="黑体"/>
          <w:b w:val="0"/>
          <w:sz w:val="44"/>
          <w:szCs w:val="44"/>
        </w:rPr>
      </w:pPr>
    </w:p>
    <w:p>
      <w:pPr>
        <w:widowControl/>
        <w:spacing w:before="0" w:beforeLines="0" w:beforeAutospacing="0" w:after="0" w:afterLines="0" w:afterAutospacing="0" w:line="360" w:lineRule="auto"/>
        <w:jc w:val="center"/>
        <w:outlineLvl w:val="0"/>
        <w:rPr>
          <w:rFonts w:ascii="Times New Roman" w:eastAsia="黑体"/>
          <w:b w:val="0"/>
          <w:sz w:val="44"/>
          <w:szCs w:val="44"/>
        </w:rPr>
      </w:pPr>
    </w:p>
    <w:p>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第一部分部门概况</w:t>
      </w:r>
    </w:p>
    <w:p>
      <w:pPr>
        <w:rPr>
          <w:rFonts w:ascii="Times New Roman" w:eastAsia="黑体"/>
          <w:b w:val="0"/>
          <w:sz w:val="32"/>
          <w:szCs w:val="32"/>
        </w:rPr>
      </w:pPr>
      <w:r>
        <w:rPr>
          <w:rFonts w:ascii="Times New Roman" w:eastAsia="黑体"/>
          <w:b w:val="0"/>
          <w:sz w:val="32"/>
          <w:szCs w:val="32"/>
        </w:rPr>
        <w:br w:type="page"/>
      </w:r>
    </w:p>
    <w:p>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一、部门职责</w:t>
      </w:r>
    </w:p>
    <w:p>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仿宋_GB2312" w:hAnsi="仿宋_GB2312" w:eastAsia="仿宋_GB2312" w:cs="仿宋_GB2312"/>
          <w:sz w:val="32"/>
          <w:szCs w:val="32"/>
        </w:rPr>
      </w:pPr>
      <w:r>
        <w:rPr>
          <w:rFonts w:hint="default" w:ascii="Arial" w:hAnsi="Arial" w:eastAsia="Arial" w:cs="Arial"/>
          <w:i w:val="0"/>
          <w:iCs w:val="0"/>
          <w:caps w:val="0"/>
          <w:color w:val="000000"/>
          <w:spacing w:val="0"/>
          <w:sz w:val="18"/>
          <w:szCs w:val="18"/>
          <w:highlight w:val="none"/>
          <w:shd w:val="clear" w:fill="FFFFFF"/>
        </w:rPr>
        <w:t> </w:t>
      </w:r>
      <w:r>
        <w:rPr>
          <w:rFonts w:hint="eastAsia" w:ascii="Arial" w:hAnsi="Arial" w:eastAsia="宋体" w:cs="Arial"/>
          <w:i w:val="0"/>
          <w:iCs w:val="0"/>
          <w:caps w:val="0"/>
          <w:color w:val="000000"/>
          <w:spacing w:val="0"/>
          <w:sz w:val="18"/>
          <w:szCs w:val="18"/>
          <w:highlight w:val="none"/>
          <w:shd w:val="clear" w:fill="FFFFFF"/>
          <w:lang w:val="en-US" w:eastAsia="zh-CN"/>
        </w:rPr>
        <w:t xml:space="preserve">  </w:t>
      </w:r>
      <w:r>
        <w:rPr>
          <w:rFonts w:hint="eastAsia" w:ascii="仿宋_GB2312" w:hAnsi="仿宋_GB2312" w:eastAsia="仿宋_GB2312" w:cs="仿宋_GB2312"/>
          <w:i w:val="0"/>
          <w:iCs w:val="0"/>
          <w:caps w:val="0"/>
          <w:color w:val="000000"/>
          <w:spacing w:val="0"/>
          <w:sz w:val="32"/>
          <w:szCs w:val="32"/>
          <w:highlight w:val="none"/>
          <w:shd w:val="clear" w:fill="FFFFFF"/>
          <w:lang w:val="en-US" w:eastAsia="zh-CN"/>
        </w:rPr>
        <w:t xml:space="preserve">  </w:t>
      </w:r>
      <w:r>
        <w:rPr>
          <w:rFonts w:hint="eastAsia" w:ascii="仿宋_GB2312" w:hAnsi="仿宋_GB2312" w:eastAsia="仿宋_GB2312" w:cs="仿宋_GB2312"/>
          <w:color w:val="000000"/>
          <w:kern w:val="0"/>
          <w:sz w:val="32"/>
          <w:szCs w:val="32"/>
          <w:lang w:val="en-US" w:eastAsia="zh-CN" w:bidi="ar"/>
        </w:rPr>
        <w:t>根据《石家庄市交通运输局职能配置、内设机构和人员编制规定》，石家庄市交通运输局的主要职责是：</w:t>
      </w:r>
    </w:p>
    <w:p>
      <w:pPr>
        <w:pStyle w:val="25"/>
        <w:keepNext w:val="0"/>
        <w:keepLines w:val="0"/>
        <w:widowControl w:val="0"/>
        <w:suppressLineNumbers w:val="0"/>
        <w:autoSpaceDE w:val="0"/>
        <w:autoSpaceDN/>
        <w:spacing w:line="600" w:lineRule="exact"/>
        <w:ind w:left="0" w:right="0"/>
        <w:jc w:val="both"/>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（一）拟订全市交通运输行业发展规划并组织实施；起草交通运输方面地方性法规和政府规章草案；参与拟订有关物流业发展规划并监督实施。</w:t>
      </w:r>
    </w:p>
    <w:p>
      <w:pPr>
        <w:pStyle w:val="25"/>
        <w:keepNext w:val="0"/>
        <w:keepLines w:val="0"/>
        <w:widowControl w:val="0"/>
        <w:suppressLineNumbers w:val="0"/>
        <w:autoSpaceDE w:val="0"/>
        <w:autoSpaceDN/>
        <w:spacing w:line="600" w:lineRule="exact"/>
        <w:ind w:left="0" w:right="0"/>
        <w:jc w:val="both"/>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会同有关部门编制全市综合交通运输体系规划并组织实施；协调规划全市综合交通运输体系建设，组织协调相关运输方式的合理布局和有效衔接;负责建立完善交通运输行业联运服务体系；拟订全市公路建设、城市公共交通（不含轨道交通,下同）建设和道路（含水路，下同）运输中长期发展规划；拟订公路建设与养护年度指令性计划并组织实施；负责交通运输枢纽规划和管理。</w:t>
      </w:r>
    </w:p>
    <w:p>
      <w:pPr>
        <w:pStyle w:val="25"/>
        <w:keepNext w:val="0"/>
        <w:keepLines w:val="0"/>
        <w:widowControl w:val="0"/>
        <w:suppressLineNumbers w:val="0"/>
        <w:autoSpaceDE w:val="0"/>
        <w:autoSpaceDN/>
        <w:spacing w:line="600" w:lineRule="exact"/>
        <w:ind w:left="0" w:right="0"/>
        <w:jc w:val="both"/>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承担全市公路建设市场监管责任。负责全市国省干线公路（含国防公路）的规划、建设、养护、管理，依法维护路产路权、保护公路设施，开发公路用地；依法查处超限超载运输车辆；负责交通运输工程建设、工程质量和安全生产的监管；负责全市交通基本建设项目招投标活动的监督管理；负责全市收费公路管理；配合做好国防交通有关工作。</w:t>
      </w:r>
    </w:p>
    <w:p>
      <w:pPr>
        <w:pStyle w:val="25"/>
        <w:keepNext w:val="0"/>
        <w:keepLines w:val="0"/>
        <w:widowControl w:val="0"/>
        <w:suppressLineNumbers w:val="0"/>
        <w:autoSpaceDE w:val="0"/>
        <w:autoSpaceDN/>
        <w:spacing w:line="600" w:lineRule="exact"/>
        <w:ind w:left="0" w:right="0"/>
        <w:jc w:val="both"/>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承担道路运输市场监管责任。负责道路运输经营、道路运输相关业务和城市公共交通等行业管理工作；负责市内公交站、场、点的规划、建设和管理，依法保护和支持合法经营，取缔非法运输；指导城乡客运及有关设施规划和管理；承担有关物流市场管理。</w:t>
      </w:r>
    </w:p>
    <w:p>
      <w:pPr>
        <w:pStyle w:val="25"/>
        <w:keepNext w:val="0"/>
        <w:keepLines w:val="0"/>
        <w:widowControl w:val="0"/>
        <w:suppressLineNumbers w:val="0"/>
        <w:autoSpaceDE w:val="0"/>
        <w:autoSpaceDN/>
        <w:spacing w:line="600" w:lineRule="exact"/>
        <w:ind w:left="0" w:right="0"/>
        <w:jc w:val="both"/>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（五）承担管辖水域水上交通安全监管责任。负责全市渔船检验和监督管理工作，会同有关部门，依法组织或参与事故调查处理。</w:t>
      </w:r>
    </w:p>
    <w:p>
      <w:pPr>
        <w:pStyle w:val="25"/>
        <w:keepNext w:val="0"/>
        <w:keepLines w:val="0"/>
        <w:widowControl w:val="0"/>
        <w:suppressLineNumbers w:val="0"/>
        <w:autoSpaceDE w:val="0"/>
        <w:autoSpaceDN/>
        <w:spacing w:line="600" w:lineRule="exact"/>
        <w:ind w:left="0" w:right="0"/>
        <w:jc w:val="both"/>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负责提出全市交通运输行业固定资产投资规模和方向、市财政性资金安排意见；负责监督市本级交通运输系统国有资产经营管理工作；负责全市交通运输资金的管理、使用和投资开发工作；指导交通系统内部审计工作；承担交通运输行业财政预算资金的绩效监督和管理工作。</w:t>
      </w:r>
    </w:p>
    <w:p>
      <w:pPr>
        <w:pStyle w:val="25"/>
        <w:keepNext w:val="0"/>
        <w:keepLines w:val="0"/>
        <w:widowControl w:val="0"/>
        <w:suppressLineNumbers w:val="0"/>
        <w:autoSpaceDE w:val="0"/>
        <w:autoSpaceDN/>
        <w:spacing w:line="600" w:lineRule="exact"/>
        <w:ind w:left="0" w:right="0"/>
        <w:jc w:val="both"/>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制订全市交通运输行业科技发展规划，组织行业科技创新应用，推动行业技术进步；负责交通运输行业信息化建设，监测分析交通运输运行情况，开展相关统计工作；指导交通运输行业环境保护和节能减排。</w:t>
      </w:r>
    </w:p>
    <w:p>
      <w:pPr>
        <w:pStyle w:val="25"/>
        <w:keepNext w:val="0"/>
        <w:keepLines w:val="0"/>
        <w:widowControl w:val="0"/>
        <w:suppressLineNumbers w:val="0"/>
        <w:autoSpaceDE w:val="0"/>
        <w:autoSpaceDN/>
        <w:spacing w:line="600" w:lineRule="exact"/>
        <w:ind w:left="0" w:right="0"/>
        <w:jc w:val="both"/>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（八）负责全市交通运输综合行政执法和队伍建设有关工作；统筹协调交通运输综合行政执法工作；负责交通运输行业体制改革工作。</w:t>
      </w:r>
    </w:p>
    <w:p>
      <w:pPr>
        <w:pStyle w:val="25"/>
        <w:keepNext w:val="0"/>
        <w:keepLines w:val="0"/>
        <w:widowControl w:val="0"/>
        <w:suppressLineNumbers w:val="0"/>
        <w:autoSpaceDE w:val="0"/>
        <w:autoSpaceDN/>
        <w:spacing w:line="600" w:lineRule="exact"/>
        <w:ind w:left="0" w:right="0"/>
        <w:jc w:val="both"/>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（九）负责交通运输系统安全生产和应急管理工作；牵头负责铁路沿线环境安全监管职责；按规定组织协调国家、省、市重点物资和紧急客货运输; 负责市内高速公路及国、省重点干线公路网运行监测和应急处置协调工作。</w:t>
      </w:r>
    </w:p>
    <w:p>
      <w:pPr>
        <w:pStyle w:val="25"/>
        <w:keepNext w:val="0"/>
        <w:keepLines w:val="0"/>
        <w:widowControl w:val="0"/>
        <w:suppressLineNumbers w:val="0"/>
        <w:autoSpaceDE w:val="0"/>
        <w:autoSpaceDN/>
        <w:spacing w:line="600" w:lineRule="exact"/>
        <w:ind w:left="0" w:right="0"/>
        <w:jc w:val="both"/>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（十）负责全市交通运输行业的涉外事宜，指导利用外资，开展交通运输经济技术合作与交流。</w:t>
      </w:r>
    </w:p>
    <w:p>
      <w:pPr>
        <w:pStyle w:val="25"/>
        <w:keepNext w:val="0"/>
        <w:keepLines w:val="0"/>
        <w:widowControl w:val="0"/>
        <w:suppressLineNumbers w:val="0"/>
        <w:autoSpaceDE w:val="0"/>
        <w:autoSpaceDN/>
        <w:spacing w:line="600" w:lineRule="exact"/>
        <w:ind w:left="0" w:right="0"/>
        <w:jc w:val="both"/>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（十一）推进京津冀协同发展交通一体化工作。</w:t>
      </w:r>
    </w:p>
    <w:p>
      <w:pPr>
        <w:pStyle w:val="25"/>
        <w:keepNext w:val="0"/>
        <w:keepLines w:val="0"/>
        <w:widowControl w:val="0"/>
        <w:suppressLineNumbers w:val="0"/>
        <w:autoSpaceDE w:val="0"/>
        <w:autoSpaceDN/>
        <w:spacing w:line="600" w:lineRule="exact"/>
        <w:ind w:left="0" w:right="0"/>
        <w:jc w:val="both"/>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（十二 ）指导各县（市、区）交通运输相关工作。</w:t>
      </w:r>
    </w:p>
    <w:p>
      <w:pPr>
        <w:pStyle w:val="25"/>
        <w:keepNext w:val="0"/>
        <w:keepLines w:val="0"/>
        <w:widowControl w:val="0"/>
        <w:suppressLineNumbers w:val="0"/>
        <w:autoSpaceDE w:val="0"/>
        <w:autoSpaceDN/>
        <w:spacing w:line="600" w:lineRule="exact"/>
        <w:ind w:left="0" w:right="0"/>
        <w:jc w:val="both"/>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（十三）完成市委、市政府交办的其他任务。</w:t>
      </w:r>
    </w:p>
    <w:p>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二、机构设置</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从决算编报单位构成看，纳入2024年度本部门决算汇编范围的独立核算单位（以下简称“单位”）共</w:t>
      </w:r>
      <w:r>
        <w:rPr>
          <w:rFonts w:hint="eastAsia" w:ascii="Times New Roman" w:eastAsia="仿宋_GB2312"/>
          <w:b w:val="0"/>
          <w:sz w:val="32"/>
          <w:szCs w:val="32"/>
          <w:lang w:val="en-US" w:eastAsia="zh-CN"/>
        </w:rPr>
        <w:t>8</w:t>
      </w:r>
      <w:r>
        <w:rPr>
          <w:rFonts w:ascii="Times New Roman" w:eastAsia="仿宋_GB2312"/>
          <w:b w:val="0"/>
          <w:sz w:val="32"/>
          <w:szCs w:val="32"/>
        </w:rPr>
        <w:t>个，具体情况如下：</w:t>
      </w:r>
    </w:p>
    <w:tbl>
      <w:tblPr>
        <w:tblStyle w:val="11"/>
        <w:tblpPr w:leftFromText="180" w:rightFromText="180" w:vertAnchor="text" w:horzAnchor="page" w:tblpXSpec="center" w:tblpY="10"/>
        <w:tblOverlap w:val="never"/>
        <w:tblW w:w="9580"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3863"/>
        <w:gridCol w:w="2737"/>
        <w:gridCol w:w="199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811" w:hRule="atLeast"/>
          <w:jc w:val="center"/>
        </w:trPr>
        <w:tc>
          <w:tcPr>
            <w:tcW w:w="98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序号</w:t>
            </w:r>
          </w:p>
        </w:tc>
        <w:tc>
          <w:tcPr>
            <w:tcW w:w="3863"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单位名称</w:t>
            </w:r>
          </w:p>
        </w:tc>
        <w:tc>
          <w:tcPr>
            <w:tcW w:w="2737"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单位基本性质</w:t>
            </w:r>
          </w:p>
        </w:tc>
        <w:tc>
          <w:tcPr>
            <w:tcW w:w="199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经费形式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96" w:hRule="atLeast"/>
          <w:jc w:val="center"/>
        </w:trPr>
        <w:tc>
          <w:tcPr>
            <w:tcW w:w="985"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1</w:t>
            </w:r>
          </w:p>
        </w:tc>
        <w:tc>
          <w:tcPr>
            <w:tcW w:w="3863"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石家庄市交通运输局(本级)</w:t>
            </w:r>
          </w:p>
        </w:tc>
        <w:tc>
          <w:tcPr>
            <w:tcW w:w="2737" w:type="dxa"/>
            <w:vAlign w:val="center"/>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行政单位</w:t>
            </w:r>
          </w:p>
        </w:tc>
        <w:tc>
          <w:tcPr>
            <w:tcW w:w="1995"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全额</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96" w:hRule="atLeast"/>
          <w:jc w:val="center"/>
        </w:trPr>
        <w:tc>
          <w:tcPr>
            <w:tcW w:w="985"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2</w:t>
            </w:r>
          </w:p>
        </w:tc>
        <w:tc>
          <w:tcPr>
            <w:tcW w:w="3863"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石家庄市交通运输服务中心</w:t>
            </w:r>
          </w:p>
        </w:tc>
        <w:tc>
          <w:tcPr>
            <w:tcW w:w="2737" w:type="dxa"/>
            <w:vAlign w:val="center"/>
          </w:tcPr>
          <w:p>
            <w:pPr>
              <w:spacing w:line="560" w:lineRule="exact"/>
              <w:jc w:val="center"/>
              <w:rPr>
                <w:rFonts w:hint="eastAsia" w:ascii="仿宋_GB2312" w:hAnsi="Calibri" w:eastAsia="仿宋_GB2312" w:cs="ArialUnicodeMS"/>
                <w:kern w:val="0"/>
                <w:sz w:val="28"/>
                <w:szCs w:val="28"/>
                <w:lang w:val="en-US" w:eastAsia="zh-CN"/>
              </w:rPr>
            </w:pPr>
            <w:r>
              <w:rPr>
                <w:rFonts w:hint="eastAsia" w:ascii="仿宋_GB2312" w:hAnsi="Calibri" w:eastAsia="仿宋_GB2312" w:cs="ArialUnicodeMS"/>
                <w:kern w:val="0"/>
                <w:sz w:val="28"/>
                <w:szCs w:val="28"/>
                <w:lang w:val="en-US" w:eastAsia="zh-CN"/>
              </w:rPr>
              <w:t>财政补助事业单位</w:t>
            </w:r>
          </w:p>
        </w:tc>
        <w:tc>
          <w:tcPr>
            <w:tcW w:w="1995"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全额</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96" w:hRule="atLeast"/>
          <w:jc w:val="center"/>
        </w:trPr>
        <w:tc>
          <w:tcPr>
            <w:tcW w:w="985"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3</w:t>
            </w:r>
          </w:p>
        </w:tc>
        <w:tc>
          <w:tcPr>
            <w:tcW w:w="3863"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石家庄市公路服务保障中心</w:t>
            </w:r>
          </w:p>
        </w:tc>
        <w:tc>
          <w:tcPr>
            <w:tcW w:w="2737" w:type="dxa"/>
            <w:vAlign w:val="center"/>
          </w:tcPr>
          <w:p>
            <w:pPr>
              <w:spacing w:line="560" w:lineRule="exact"/>
              <w:jc w:val="center"/>
              <w:rPr>
                <w:rFonts w:hint="eastAsia" w:ascii="仿宋_GB2312" w:hAnsi="Calibri" w:eastAsia="仿宋_GB2312" w:cs="ArialUnicodeMS"/>
                <w:kern w:val="0"/>
                <w:sz w:val="28"/>
                <w:szCs w:val="28"/>
                <w:lang w:val="en-US" w:eastAsia="zh-CN"/>
              </w:rPr>
            </w:pPr>
            <w:r>
              <w:rPr>
                <w:rFonts w:hint="eastAsia" w:ascii="仿宋_GB2312" w:hAnsi="Calibri" w:eastAsia="仿宋_GB2312" w:cs="ArialUnicodeMS"/>
                <w:kern w:val="0"/>
                <w:sz w:val="28"/>
                <w:szCs w:val="28"/>
                <w:lang w:val="en-US" w:eastAsia="zh-CN"/>
              </w:rPr>
              <w:t>财政补助事业单位</w:t>
            </w:r>
          </w:p>
        </w:tc>
        <w:tc>
          <w:tcPr>
            <w:tcW w:w="1995"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全额</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129" w:hRule="atLeast"/>
          <w:jc w:val="center"/>
        </w:trPr>
        <w:tc>
          <w:tcPr>
            <w:tcW w:w="985"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4</w:t>
            </w:r>
          </w:p>
        </w:tc>
        <w:tc>
          <w:tcPr>
            <w:tcW w:w="3863"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石家庄市交通运输综合行政执法支队</w:t>
            </w:r>
          </w:p>
        </w:tc>
        <w:tc>
          <w:tcPr>
            <w:tcW w:w="2737" w:type="dxa"/>
            <w:vAlign w:val="center"/>
          </w:tcPr>
          <w:p>
            <w:pPr>
              <w:spacing w:line="560" w:lineRule="exact"/>
              <w:jc w:val="center"/>
              <w:rPr>
                <w:rFonts w:hint="eastAsia" w:ascii="仿宋_GB2312" w:hAnsi="Calibri" w:eastAsia="仿宋_GB2312" w:cs="ArialUnicodeMS"/>
                <w:kern w:val="0"/>
                <w:sz w:val="28"/>
                <w:szCs w:val="28"/>
                <w:lang w:val="en-US" w:eastAsia="zh-CN"/>
              </w:rPr>
            </w:pPr>
            <w:r>
              <w:rPr>
                <w:rFonts w:hint="eastAsia" w:ascii="仿宋_GB2312" w:hAnsi="Calibri" w:eastAsia="仿宋_GB2312" w:cs="ArialUnicodeMS"/>
                <w:kern w:val="0"/>
                <w:sz w:val="28"/>
                <w:szCs w:val="28"/>
                <w:lang w:val="en-US" w:eastAsia="zh-CN"/>
              </w:rPr>
              <w:t>财政补助事业单位</w:t>
            </w:r>
          </w:p>
        </w:tc>
        <w:tc>
          <w:tcPr>
            <w:tcW w:w="1995"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全额</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96" w:hRule="atLeast"/>
          <w:jc w:val="center"/>
        </w:trPr>
        <w:tc>
          <w:tcPr>
            <w:tcW w:w="985"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5</w:t>
            </w:r>
          </w:p>
        </w:tc>
        <w:tc>
          <w:tcPr>
            <w:tcW w:w="3863"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石家庄市公路工程质量安全站</w:t>
            </w:r>
          </w:p>
        </w:tc>
        <w:tc>
          <w:tcPr>
            <w:tcW w:w="2737" w:type="dxa"/>
            <w:vAlign w:val="center"/>
          </w:tcPr>
          <w:p>
            <w:pPr>
              <w:spacing w:line="560" w:lineRule="exact"/>
              <w:jc w:val="center"/>
              <w:rPr>
                <w:rFonts w:hint="eastAsia" w:ascii="仿宋_GB2312" w:hAnsi="Calibri" w:eastAsia="仿宋_GB2312" w:cs="ArialUnicodeMS"/>
                <w:kern w:val="0"/>
                <w:sz w:val="28"/>
                <w:szCs w:val="28"/>
                <w:lang w:val="en-US" w:eastAsia="zh-CN"/>
              </w:rPr>
            </w:pPr>
            <w:r>
              <w:rPr>
                <w:rFonts w:hint="eastAsia" w:ascii="仿宋_GB2312" w:hAnsi="Calibri" w:eastAsia="仿宋_GB2312" w:cs="ArialUnicodeMS"/>
                <w:kern w:val="0"/>
                <w:sz w:val="28"/>
                <w:szCs w:val="28"/>
                <w:lang w:val="en-US" w:eastAsia="zh-CN"/>
              </w:rPr>
              <w:t>财政补助事业单位</w:t>
            </w:r>
          </w:p>
        </w:tc>
        <w:tc>
          <w:tcPr>
            <w:tcW w:w="1995"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全额</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96" w:hRule="atLeast"/>
          <w:jc w:val="center"/>
        </w:trPr>
        <w:tc>
          <w:tcPr>
            <w:tcW w:w="985"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6</w:t>
            </w:r>
          </w:p>
        </w:tc>
        <w:tc>
          <w:tcPr>
            <w:tcW w:w="3863"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石家庄市三环路管护中心</w:t>
            </w:r>
          </w:p>
        </w:tc>
        <w:tc>
          <w:tcPr>
            <w:tcW w:w="2737" w:type="dxa"/>
            <w:vAlign w:val="center"/>
          </w:tcPr>
          <w:p>
            <w:pPr>
              <w:spacing w:line="560" w:lineRule="exact"/>
              <w:jc w:val="center"/>
              <w:rPr>
                <w:rFonts w:hint="eastAsia" w:ascii="仿宋_GB2312" w:hAnsi="Calibri" w:eastAsia="仿宋_GB2312" w:cs="ArialUnicodeMS"/>
                <w:kern w:val="0"/>
                <w:sz w:val="28"/>
                <w:szCs w:val="28"/>
                <w:lang w:val="en-US" w:eastAsia="zh-CN"/>
              </w:rPr>
            </w:pPr>
            <w:r>
              <w:rPr>
                <w:rFonts w:hint="eastAsia" w:ascii="仿宋_GB2312" w:hAnsi="Calibri" w:eastAsia="仿宋_GB2312" w:cs="ArialUnicodeMS"/>
                <w:kern w:val="0"/>
                <w:sz w:val="28"/>
                <w:szCs w:val="28"/>
                <w:lang w:val="en-US" w:eastAsia="zh-CN"/>
              </w:rPr>
              <w:t>财政补助事业单位</w:t>
            </w:r>
          </w:p>
        </w:tc>
        <w:tc>
          <w:tcPr>
            <w:tcW w:w="1995"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全额</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754" w:hRule="atLeast"/>
          <w:jc w:val="center"/>
        </w:trPr>
        <w:tc>
          <w:tcPr>
            <w:tcW w:w="985"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7</w:t>
            </w:r>
          </w:p>
        </w:tc>
        <w:tc>
          <w:tcPr>
            <w:tcW w:w="3863"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石家庄市公路建设发展中心</w:t>
            </w:r>
          </w:p>
        </w:tc>
        <w:tc>
          <w:tcPr>
            <w:tcW w:w="2737" w:type="dxa"/>
            <w:vAlign w:val="center"/>
          </w:tcPr>
          <w:p>
            <w:pPr>
              <w:spacing w:line="560" w:lineRule="exact"/>
              <w:jc w:val="center"/>
              <w:rPr>
                <w:rFonts w:hint="eastAsia" w:ascii="仿宋_GB2312" w:hAnsi="Calibri" w:eastAsia="仿宋_GB2312" w:cs="ArialUnicodeMS"/>
                <w:kern w:val="0"/>
                <w:sz w:val="28"/>
                <w:szCs w:val="28"/>
                <w:lang w:val="en-US" w:eastAsia="zh-CN"/>
              </w:rPr>
            </w:pPr>
            <w:r>
              <w:rPr>
                <w:rFonts w:hint="eastAsia" w:ascii="仿宋_GB2312" w:hAnsi="Calibri" w:eastAsia="仿宋_GB2312" w:cs="ArialUnicodeMS"/>
                <w:kern w:val="0"/>
                <w:sz w:val="28"/>
                <w:szCs w:val="28"/>
                <w:lang w:val="en-US" w:eastAsia="zh-CN"/>
              </w:rPr>
              <w:t>财政补助事业单位</w:t>
            </w:r>
          </w:p>
        </w:tc>
        <w:tc>
          <w:tcPr>
            <w:tcW w:w="1995"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全额</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96" w:hRule="atLeast"/>
          <w:jc w:val="center"/>
        </w:trPr>
        <w:tc>
          <w:tcPr>
            <w:tcW w:w="985"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8</w:t>
            </w:r>
          </w:p>
        </w:tc>
        <w:tc>
          <w:tcPr>
            <w:tcW w:w="3863"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石家庄市邮政快递业安全服务中心</w:t>
            </w:r>
          </w:p>
        </w:tc>
        <w:tc>
          <w:tcPr>
            <w:tcW w:w="2737" w:type="dxa"/>
            <w:vAlign w:val="center"/>
          </w:tcPr>
          <w:p>
            <w:pPr>
              <w:spacing w:line="560" w:lineRule="exact"/>
              <w:jc w:val="center"/>
              <w:rPr>
                <w:rFonts w:hint="eastAsia" w:ascii="仿宋_GB2312" w:hAnsi="Calibri" w:eastAsia="仿宋_GB2312" w:cs="ArialUnicodeMS"/>
                <w:kern w:val="0"/>
                <w:sz w:val="28"/>
                <w:szCs w:val="28"/>
                <w:lang w:val="en-US" w:eastAsia="zh-CN"/>
              </w:rPr>
            </w:pPr>
            <w:r>
              <w:rPr>
                <w:rFonts w:hint="eastAsia" w:ascii="仿宋_GB2312" w:hAnsi="Calibri" w:eastAsia="仿宋_GB2312" w:cs="ArialUnicodeMS"/>
                <w:kern w:val="0"/>
                <w:sz w:val="28"/>
                <w:szCs w:val="28"/>
                <w:lang w:val="en-US" w:eastAsia="zh-CN"/>
              </w:rPr>
              <w:t>财政补助事业单位</w:t>
            </w:r>
          </w:p>
        </w:tc>
        <w:tc>
          <w:tcPr>
            <w:tcW w:w="1995" w:type="dxa"/>
            <w:vAlign w:val="center"/>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全额</w:t>
            </w:r>
          </w:p>
        </w:tc>
      </w:tr>
    </w:tbl>
    <w:p>
      <w:pPr>
        <w:rPr>
          <w:rFonts w:hint="eastAsia" w:ascii="Times New Roman" w:hAnsi="Times New Roman" w:eastAsia="黑体" w:cs="Times New Roman"/>
          <w:sz w:val="32"/>
          <w:szCs w:val="32"/>
          <w:highlight w:val="yellow"/>
        </w:rPr>
      </w:pPr>
      <w:r>
        <w:rPr>
          <w:rFonts w:hint="eastAsia" w:ascii="Times New Roman" w:hAnsi="Times New Roman" w:eastAsia="黑体" w:cs="Times New Roman"/>
          <w:sz w:val="32"/>
          <w:szCs w:val="32"/>
          <w:highlight w:val="yellow"/>
        </w:rPr>
        <w:br w:type="page"/>
      </w:r>
    </w:p>
    <w:p>
      <w:pPr>
        <w:widowControl/>
        <w:spacing w:before="0" w:beforeLines="0" w:beforeAutospacing="0" w:after="0" w:afterLines="0" w:afterAutospacing="0" w:line="360" w:lineRule="auto"/>
        <w:jc w:val="center"/>
        <w:outlineLvl w:val="0"/>
        <w:rPr>
          <w:rFonts w:ascii="Times New Roman" w:eastAsia="黑体"/>
          <w:b w:val="0"/>
          <w:sz w:val="44"/>
          <w:szCs w:val="44"/>
        </w:rPr>
      </w:pPr>
    </w:p>
    <w:p>
      <w:pPr>
        <w:widowControl/>
        <w:spacing w:before="0" w:beforeLines="0" w:beforeAutospacing="0" w:after="0" w:afterLines="0" w:afterAutospacing="0" w:line="360" w:lineRule="auto"/>
        <w:jc w:val="center"/>
        <w:outlineLvl w:val="0"/>
        <w:rPr>
          <w:rFonts w:ascii="Times New Roman" w:eastAsia="黑体"/>
          <w:b w:val="0"/>
          <w:sz w:val="44"/>
          <w:szCs w:val="44"/>
        </w:rPr>
      </w:pPr>
    </w:p>
    <w:p>
      <w:pPr>
        <w:widowControl/>
        <w:spacing w:before="0" w:beforeLines="0" w:beforeAutospacing="0" w:after="0" w:afterLines="0" w:afterAutospacing="0" w:line="360" w:lineRule="auto"/>
        <w:jc w:val="center"/>
        <w:outlineLvl w:val="0"/>
        <w:rPr>
          <w:rFonts w:ascii="Times New Roman" w:eastAsia="黑体"/>
          <w:b w:val="0"/>
          <w:sz w:val="44"/>
          <w:szCs w:val="44"/>
        </w:rPr>
      </w:pPr>
    </w:p>
    <w:p>
      <w:pPr>
        <w:widowControl/>
        <w:spacing w:before="0" w:beforeLines="0" w:beforeAutospacing="0" w:after="0" w:afterLines="0" w:afterAutospacing="0" w:line="360" w:lineRule="auto"/>
        <w:jc w:val="center"/>
        <w:outlineLvl w:val="0"/>
        <w:rPr>
          <w:rFonts w:ascii="Times New Roman" w:eastAsia="黑体"/>
          <w:b w:val="0"/>
          <w:sz w:val="44"/>
          <w:szCs w:val="44"/>
        </w:rPr>
      </w:pPr>
    </w:p>
    <w:p>
      <w:pPr>
        <w:widowControl/>
        <w:spacing w:before="0" w:beforeLines="0" w:beforeAutospacing="0" w:after="0" w:afterLines="0" w:afterAutospacing="0" w:line="360" w:lineRule="auto"/>
        <w:jc w:val="center"/>
        <w:outlineLvl w:val="0"/>
        <w:rPr>
          <w:rFonts w:ascii="Times New Roman" w:eastAsia="黑体"/>
          <w:b w:val="0"/>
          <w:sz w:val="44"/>
          <w:szCs w:val="44"/>
        </w:rPr>
      </w:pPr>
    </w:p>
    <w:p>
      <w:pPr>
        <w:widowControl/>
        <w:spacing w:before="0" w:beforeLines="0" w:beforeAutospacing="0" w:after="0" w:afterLines="0" w:afterAutospacing="0" w:line="360" w:lineRule="auto"/>
        <w:jc w:val="center"/>
        <w:outlineLvl w:val="0"/>
        <w:rPr>
          <w:rFonts w:ascii="Times New Roman" w:eastAsia="黑体"/>
          <w:b w:val="0"/>
          <w:sz w:val="44"/>
          <w:szCs w:val="44"/>
        </w:rPr>
      </w:pPr>
    </w:p>
    <w:p>
      <w:pPr>
        <w:widowControl/>
        <w:spacing w:before="0" w:beforeLines="0" w:beforeAutospacing="0" w:after="0" w:afterLines="0" w:afterAutospacing="0" w:line="360" w:lineRule="auto"/>
        <w:jc w:val="center"/>
        <w:outlineLvl w:val="0"/>
        <w:rPr>
          <w:rFonts w:ascii="Times New Roman" w:eastAsia="黑体"/>
          <w:b w:val="0"/>
          <w:sz w:val="44"/>
          <w:szCs w:val="44"/>
        </w:rPr>
      </w:pPr>
    </w:p>
    <w:p>
      <w:pPr>
        <w:widowControl/>
        <w:spacing w:before="0" w:beforeLines="0" w:beforeAutospacing="0" w:after="0" w:afterLines="0" w:afterAutospacing="0" w:line="360" w:lineRule="auto"/>
        <w:jc w:val="center"/>
        <w:outlineLvl w:val="0"/>
        <w:rPr>
          <w:rFonts w:ascii="Times New Roman" w:eastAsia="黑体"/>
          <w:b w:val="0"/>
          <w:sz w:val="44"/>
          <w:szCs w:val="44"/>
        </w:rPr>
      </w:pPr>
      <w:r>
        <w:rPr>
          <w:rFonts w:ascii="Times New Roman" w:eastAsia="黑体"/>
          <w:b w:val="0"/>
          <w:sz w:val="44"/>
          <w:szCs w:val="44"/>
        </w:rPr>
        <w:t>第二部分</w:t>
      </w:r>
      <w:r>
        <w:rPr>
          <w:rFonts w:ascii="Times New Roman" w:eastAsia="仿宋_GB2312"/>
          <w:b w:val="0"/>
          <w:sz w:val="44"/>
          <w:szCs w:val="44"/>
        </w:rPr>
        <w:t>2024</w:t>
      </w:r>
      <w:r>
        <w:rPr>
          <w:rFonts w:ascii="Times New Roman" w:eastAsia="黑体"/>
          <w:b w:val="0"/>
          <w:sz w:val="44"/>
          <w:szCs w:val="44"/>
        </w:rPr>
        <w:t>年度部门决算表</w:t>
      </w:r>
    </w:p>
    <w:p>
      <w:pPr>
        <w:rPr>
          <w:rFonts w:ascii="Times New Roman" w:eastAsia="黑体"/>
          <w:b w:val="0"/>
          <w:sz w:val="44"/>
          <w:szCs w:val="44"/>
        </w:rPr>
      </w:pPr>
      <w:r>
        <w:rPr>
          <w:rFonts w:ascii="Times New Roman" w:eastAsia="黑体"/>
          <w:b w:val="0"/>
          <w:sz w:val="44"/>
          <w:szCs w:val="44"/>
        </w:rPr>
        <w:br w:type="page"/>
      </w:r>
    </w:p>
    <w:p>
      <w:pPr>
        <w:widowControl/>
        <w:spacing w:before="0" w:beforeLines="0" w:beforeAutospacing="0" w:after="0" w:afterLines="0" w:afterAutospacing="0" w:line="360" w:lineRule="auto"/>
        <w:jc w:val="center"/>
        <w:outlineLvl w:val="0"/>
        <w:rPr>
          <w:rFonts w:ascii="Times New Roman" w:eastAsia="黑体"/>
          <w:b w:val="0"/>
          <w:sz w:val="44"/>
          <w:szCs w:val="44"/>
        </w:rPr>
      </w:pPr>
    </w:p>
    <w:tbl>
      <w:tblPr>
        <w:tblStyle w:val="11"/>
        <w:tblW w:w="11071" w:type="dxa"/>
        <w:tblInd w:w="-1229"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2758"/>
        <w:gridCol w:w="624"/>
        <w:gridCol w:w="611"/>
        <w:gridCol w:w="1317"/>
        <w:gridCol w:w="1628"/>
        <w:gridCol w:w="1547"/>
        <w:gridCol w:w="624"/>
        <w:gridCol w:w="1578"/>
        <w:gridCol w:w="384"/>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84" w:type="dxa"/>
          <w:trHeight w:val="361" w:hRule="atLeast"/>
        </w:trPr>
        <w:tc>
          <w:tcPr>
            <w:tcW w:w="10687" w:type="dxa"/>
            <w:gridSpan w:val="8"/>
            <w:tcBorders>
              <w:top w:val="nil"/>
              <w:left w:val="nil"/>
              <w:bottom w:val="nil"/>
              <w:right w:val="nil"/>
            </w:tcBorders>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收入支出决算总表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84" w:type="dxa"/>
          <w:trHeight w:val="357" w:hRule="atLeast"/>
        </w:trPr>
        <w:tc>
          <w:tcPr>
            <w:tcW w:w="10687" w:type="dxa"/>
            <w:gridSpan w:val="8"/>
            <w:tcBorders>
              <w:top w:val="nil"/>
              <w:left w:val="nil"/>
              <w:bottom w:val="nil"/>
              <w:right w:val="nil"/>
            </w:tcBorders>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公开</w:t>
            </w:r>
            <w:r>
              <w:rPr>
                <w:rFonts w:hint="eastAsia" w:ascii="Times New Roman" w:hAnsi="Times New Roman" w:eastAsia="宋体" w:cs="Times New Roman"/>
                <w:i w:val="0"/>
                <w:iCs w:val="0"/>
                <w:color w:val="000000"/>
                <w:sz w:val="20"/>
                <w:szCs w:val="20"/>
                <w:highlight w:val="none"/>
                <w:u w:val="none"/>
                <w:lang w:val="en-US" w:eastAsia="zh-CN"/>
              </w:rPr>
              <w:t>01</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84" w:type="dxa"/>
          <w:trHeight w:val="351" w:hRule="atLeast"/>
        </w:trPr>
        <w:tc>
          <w:tcPr>
            <w:tcW w:w="3993" w:type="dxa"/>
            <w:gridSpan w:val="3"/>
            <w:tcBorders>
              <w:top w:val="nil"/>
              <w:left w:val="nil"/>
              <w:bottom w:val="single" w:color="auto" w:sz="4" w:space="0"/>
              <w:right w:val="nil"/>
            </w:tcBorders>
            <w:noWrap/>
            <w:vAlign w:val="bottom"/>
          </w:tcPr>
          <w:p>
            <w:pPr>
              <w:jc w:val="both"/>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部门：石家庄市交通运输局</w:t>
            </w:r>
          </w:p>
        </w:tc>
        <w:tc>
          <w:tcPr>
            <w:tcW w:w="2945" w:type="dxa"/>
            <w:gridSpan w:val="2"/>
            <w:tcBorders>
              <w:top w:val="nil"/>
              <w:left w:val="nil"/>
              <w:bottom w:val="single" w:color="auto" w:sz="4" w:space="0"/>
              <w:right w:val="nil"/>
            </w:tcBorders>
            <w:noWrap/>
            <w:vAlign w:val="bottom"/>
          </w:tcPr>
          <w:p>
            <w:pPr>
              <w:jc w:val="center"/>
              <w:rPr>
                <w:rFonts w:hint="default" w:ascii="宋体" w:hAnsi="宋体" w:eastAsia="宋体" w:cs="宋体"/>
                <w:i w:val="0"/>
                <w:iCs w:val="0"/>
                <w:color w:val="000000"/>
                <w:kern w:val="0"/>
                <w:sz w:val="20"/>
                <w:szCs w:val="20"/>
                <w:highlight w:val="none"/>
                <w:u w:val="none"/>
                <w:lang w:val="en-US" w:eastAsia="zh-CN" w:bidi="ar"/>
              </w:rPr>
            </w:pPr>
            <w:r>
              <w:rPr>
                <w:rFonts w:hint="eastAsia" w:ascii="Times New Roman" w:hAnsi="Times New Roman" w:eastAsia="宋体" w:cs="Times New Roman"/>
                <w:i w:val="0"/>
                <w:iCs w:val="0"/>
                <w:color w:val="000000"/>
                <w:sz w:val="20"/>
                <w:szCs w:val="20"/>
                <w:highlight w:val="none"/>
                <w:u w:val="none"/>
                <w:lang w:val="en-US" w:eastAsia="zh-CN"/>
              </w:rPr>
              <w:t>2024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3749" w:type="dxa"/>
            <w:gridSpan w:val="3"/>
            <w:tcBorders>
              <w:top w:val="nil"/>
              <w:left w:val="nil"/>
              <w:bottom w:val="single" w:color="auto" w:sz="4" w:space="0"/>
              <w:right w:val="nil"/>
            </w:tcBorders>
            <w:noWrap/>
            <w:vAlign w:val="bottom"/>
          </w:tcPr>
          <w:p>
            <w:pPr>
              <w:jc w:val="right"/>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84" w:type="dxa"/>
          <w:trHeight w:val="544" w:hRule="atLeast"/>
        </w:trPr>
        <w:tc>
          <w:tcPr>
            <w:tcW w:w="5310" w:type="dxa"/>
            <w:gridSpan w:val="4"/>
            <w:tcBorders>
              <w:top w:val="single" w:color="auto"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收入</w:t>
            </w:r>
          </w:p>
        </w:tc>
        <w:tc>
          <w:tcPr>
            <w:tcW w:w="5377" w:type="dxa"/>
            <w:gridSpan w:val="4"/>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84" w:type="dxa"/>
          <w:trHeight w:val="308" w:hRule="atLeast"/>
        </w:trPr>
        <w:tc>
          <w:tcPr>
            <w:tcW w:w="2758"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1928"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决算数</w:t>
            </w: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1578"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决算数</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84" w:type="dxa"/>
          <w:trHeight w:val="476" w:hRule="atLeast"/>
        </w:trPr>
        <w:tc>
          <w:tcPr>
            <w:tcW w:w="2758"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624" w:type="dxa"/>
            <w:tcBorders>
              <w:top w:val="nil"/>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0"/>
                <w:szCs w:val="20"/>
                <w:highlight w:val="none"/>
                <w:u w:val="none"/>
              </w:rPr>
            </w:pPr>
          </w:p>
        </w:tc>
        <w:tc>
          <w:tcPr>
            <w:tcW w:w="1928"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Times New Roman" w:hAnsi="Times New Roman" w:eastAsia="宋体" w:cs="Times New Roman"/>
                <w:i w:val="0"/>
                <w:iCs w:val="0"/>
                <w:color w:val="000000"/>
                <w:sz w:val="20"/>
                <w:szCs w:val="20"/>
                <w:highlight w:val="none"/>
                <w:u w:val="none"/>
                <w:lang w:val="en-US" w:eastAsia="zh-CN"/>
              </w:rPr>
              <w:t>1</w:t>
            </w: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624" w:type="dxa"/>
            <w:tcBorders>
              <w:top w:val="nil"/>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0"/>
                <w:szCs w:val="20"/>
                <w:highlight w:val="none"/>
                <w:u w:val="none"/>
              </w:rPr>
            </w:pPr>
          </w:p>
        </w:tc>
        <w:tc>
          <w:tcPr>
            <w:tcW w:w="1578"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Times New Roman" w:hAnsi="Times New Roman" w:eastAsia="宋体" w:cs="Times New Roman"/>
                <w:i w:val="0"/>
                <w:iCs w:val="0"/>
                <w:color w:val="000000"/>
                <w:sz w:val="20"/>
                <w:szCs w:val="20"/>
                <w:highlight w:val="none"/>
                <w:u w:val="none"/>
                <w:lang w:val="en-US" w:eastAsia="zh-CN"/>
              </w:rPr>
              <w:t>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84" w:type="dxa"/>
          <w:trHeight w:val="476" w:hRule="atLeast"/>
        </w:trPr>
        <w:tc>
          <w:tcPr>
            <w:tcW w:w="2758"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一、一般公共预算财政拨款收入</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宋体" w:hAnsi="宋体" w:eastAsia="宋体" w:cs="宋体"/>
                <w:i w:val="0"/>
                <w:iCs w:val="0"/>
                <w:color w:val="000000"/>
                <w:sz w:val="20"/>
                <w:szCs w:val="20"/>
                <w:highlight w:val="none"/>
                <w:u w:val="none"/>
                <w:lang w:val="en-US" w:eastAsia="zh-CN"/>
              </w:rPr>
              <w:t>1</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184,843.29</w:t>
            </w: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一、一般公共服务支出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32</w:t>
            </w:r>
          </w:p>
        </w:tc>
        <w:tc>
          <w:tcPr>
            <w:tcW w:w="157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84" w:type="dxa"/>
          <w:trHeight w:val="476" w:hRule="atLeast"/>
        </w:trPr>
        <w:tc>
          <w:tcPr>
            <w:tcW w:w="2758"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二、政府性基金预算财政拨款收入</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1,054,095.23</w:t>
            </w: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二、外交支出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33</w:t>
            </w:r>
          </w:p>
        </w:tc>
        <w:tc>
          <w:tcPr>
            <w:tcW w:w="157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84" w:type="dxa"/>
          <w:trHeight w:val="476" w:hRule="atLeast"/>
        </w:trPr>
        <w:tc>
          <w:tcPr>
            <w:tcW w:w="2758"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三、国有资本经营预算财政拨款收入</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三、国防支出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34</w:t>
            </w:r>
          </w:p>
        </w:tc>
        <w:tc>
          <w:tcPr>
            <w:tcW w:w="157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84" w:type="dxa"/>
          <w:trHeight w:val="476" w:hRule="atLeast"/>
        </w:trPr>
        <w:tc>
          <w:tcPr>
            <w:tcW w:w="2758"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四、上级补助收入</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四、公共安全支出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35</w:t>
            </w:r>
          </w:p>
        </w:tc>
        <w:tc>
          <w:tcPr>
            <w:tcW w:w="157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84" w:type="dxa"/>
          <w:trHeight w:val="476" w:hRule="atLeast"/>
        </w:trPr>
        <w:tc>
          <w:tcPr>
            <w:tcW w:w="2758"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五、事业收入</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五、教育支出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36</w:t>
            </w:r>
          </w:p>
        </w:tc>
        <w:tc>
          <w:tcPr>
            <w:tcW w:w="157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84" w:type="dxa"/>
          <w:trHeight w:val="476" w:hRule="atLeast"/>
        </w:trPr>
        <w:tc>
          <w:tcPr>
            <w:tcW w:w="2758"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六、经营收入</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六、科学技术支出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37</w:t>
            </w:r>
          </w:p>
        </w:tc>
        <w:tc>
          <w:tcPr>
            <w:tcW w:w="157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84" w:type="dxa"/>
          <w:trHeight w:val="476" w:hRule="atLeast"/>
        </w:trPr>
        <w:tc>
          <w:tcPr>
            <w:tcW w:w="2758"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七、附属单位上缴收入</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7</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七、文化旅游体育与传媒支出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38</w:t>
            </w:r>
          </w:p>
        </w:tc>
        <w:tc>
          <w:tcPr>
            <w:tcW w:w="157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84" w:type="dxa"/>
          <w:trHeight w:val="476" w:hRule="atLeast"/>
        </w:trPr>
        <w:tc>
          <w:tcPr>
            <w:tcW w:w="2758"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八、其他收入</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8</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2,635.63</w:t>
            </w: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八、社会保障和就业支出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39</w:t>
            </w:r>
          </w:p>
        </w:tc>
        <w:tc>
          <w:tcPr>
            <w:tcW w:w="157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3,753.55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84" w:type="dxa"/>
          <w:trHeight w:val="476" w:hRule="atLeast"/>
        </w:trPr>
        <w:tc>
          <w:tcPr>
            <w:tcW w:w="2758" w:type="dxa"/>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9</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九、卫生健康支出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40</w:t>
            </w:r>
          </w:p>
        </w:tc>
        <w:tc>
          <w:tcPr>
            <w:tcW w:w="157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771.12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84" w:type="dxa"/>
          <w:trHeight w:val="476" w:hRule="atLeast"/>
        </w:trPr>
        <w:tc>
          <w:tcPr>
            <w:tcW w:w="2758" w:type="dxa"/>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10</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十、节能环保支出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41</w:t>
            </w:r>
          </w:p>
        </w:tc>
        <w:tc>
          <w:tcPr>
            <w:tcW w:w="157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84" w:type="dxa"/>
          <w:trHeight w:val="476" w:hRule="atLeast"/>
        </w:trPr>
        <w:tc>
          <w:tcPr>
            <w:tcW w:w="2758" w:type="dxa"/>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11</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十一、城乡社区支出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42</w:t>
            </w:r>
          </w:p>
        </w:tc>
        <w:tc>
          <w:tcPr>
            <w:tcW w:w="157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147,892.66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84" w:type="dxa"/>
          <w:trHeight w:val="476" w:hRule="atLeast"/>
        </w:trPr>
        <w:tc>
          <w:tcPr>
            <w:tcW w:w="2758" w:type="dxa"/>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12</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十二、农林水支出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43</w:t>
            </w:r>
          </w:p>
        </w:tc>
        <w:tc>
          <w:tcPr>
            <w:tcW w:w="157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84" w:type="dxa"/>
          <w:trHeight w:val="476" w:hRule="atLeast"/>
        </w:trPr>
        <w:tc>
          <w:tcPr>
            <w:tcW w:w="2758" w:type="dxa"/>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13</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十三、交通运输支出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44</w:t>
            </w:r>
          </w:p>
        </w:tc>
        <w:tc>
          <w:tcPr>
            <w:tcW w:w="157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423,382.11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84" w:type="dxa"/>
          <w:trHeight w:val="476" w:hRule="atLeast"/>
        </w:trPr>
        <w:tc>
          <w:tcPr>
            <w:tcW w:w="2758" w:type="dxa"/>
            <w:tcBorders>
              <w:top w:val="nil"/>
              <w:left w:val="single" w:color="000000" w:sz="4" w:space="0"/>
              <w:bottom w:val="single" w:color="auto"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auto"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14</w:t>
            </w:r>
          </w:p>
        </w:tc>
        <w:tc>
          <w:tcPr>
            <w:tcW w:w="1928" w:type="dxa"/>
            <w:gridSpan w:val="2"/>
            <w:tcBorders>
              <w:top w:val="nil"/>
              <w:left w:val="nil"/>
              <w:bottom w:val="single" w:color="auto"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auto"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十四、资源勘探工业信息等支出</w:t>
            </w:r>
          </w:p>
        </w:tc>
        <w:tc>
          <w:tcPr>
            <w:tcW w:w="624" w:type="dxa"/>
            <w:tcBorders>
              <w:top w:val="nil"/>
              <w:left w:val="nil"/>
              <w:bottom w:val="single" w:color="auto"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45</w:t>
            </w:r>
          </w:p>
        </w:tc>
        <w:tc>
          <w:tcPr>
            <w:tcW w:w="1578" w:type="dxa"/>
            <w:tcBorders>
              <w:top w:val="nil"/>
              <w:left w:val="nil"/>
              <w:bottom w:val="single" w:color="auto"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210.15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84" w:type="dxa"/>
          <w:trHeight w:val="476" w:hRule="atLeast"/>
        </w:trPr>
        <w:tc>
          <w:tcPr>
            <w:tcW w:w="2758"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15</w:t>
            </w:r>
          </w:p>
        </w:tc>
        <w:tc>
          <w:tcPr>
            <w:tcW w:w="1928"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十五、商业服务业等支出</w:t>
            </w: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46</w:t>
            </w:r>
          </w:p>
        </w:tc>
        <w:tc>
          <w:tcPr>
            <w:tcW w:w="1578"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84" w:type="dxa"/>
          <w:trHeight w:val="476" w:hRule="atLeast"/>
        </w:trPr>
        <w:tc>
          <w:tcPr>
            <w:tcW w:w="2758"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16</w:t>
            </w:r>
          </w:p>
        </w:tc>
        <w:tc>
          <w:tcPr>
            <w:tcW w:w="1928"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十六、金融支出</w:t>
            </w: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47</w:t>
            </w:r>
          </w:p>
        </w:tc>
        <w:tc>
          <w:tcPr>
            <w:tcW w:w="1578"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84" w:type="dxa"/>
          <w:trHeight w:val="476" w:hRule="atLeast"/>
        </w:trPr>
        <w:tc>
          <w:tcPr>
            <w:tcW w:w="2758"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17</w:t>
            </w:r>
          </w:p>
        </w:tc>
        <w:tc>
          <w:tcPr>
            <w:tcW w:w="1928"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十七、援助其他地区支出</w:t>
            </w: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48</w:t>
            </w:r>
          </w:p>
        </w:tc>
        <w:tc>
          <w:tcPr>
            <w:tcW w:w="1578"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84" w:type="dxa"/>
          <w:trHeight w:val="476" w:hRule="atLeast"/>
        </w:trPr>
        <w:tc>
          <w:tcPr>
            <w:tcW w:w="2758"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18</w:t>
            </w:r>
          </w:p>
        </w:tc>
        <w:tc>
          <w:tcPr>
            <w:tcW w:w="1928"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十八、自然资源海洋气象等支出</w:t>
            </w: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49</w:t>
            </w:r>
          </w:p>
        </w:tc>
        <w:tc>
          <w:tcPr>
            <w:tcW w:w="1578"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84" w:type="dxa"/>
          <w:trHeight w:val="476" w:hRule="atLeast"/>
        </w:trPr>
        <w:tc>
          <w:tcPr>
            <w:tcW w:w="2758"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19</w:t>
            </w:r>
          </w:p>
        </w:tc>
        <w:tc>
          <w:tcPr>
            <w:tcW w:w="1928"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十九、住房保障支出</w:t>
            </w: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50</w:t>
            </w:r>
          </w:p>
        </w:tc>
        <w:tc>
          <w:tcPr>
            <w:tcW w:w="1578"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964.74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84" w:type="dxa"/>
          <w:trHeight w:val="476" w:hRule="atLeast"/>
        </w:trPr>
        <w:tc>
          <w:tcPr>
            <w:tcW w:w="2758"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20</w:t>
            </w:r>
          </w:p>
        </w:tc>
        <w:tc>
          <w:tcPr>
            <w:tcW w:w="1928"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二十、粮油物资储备支出</w:t>
            </w: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51</w:t>
            </w:r>
          </w:p>
        </w:tc>
        <w:tc>
          <w:tcPr>
            <w:tcW w:w="1578"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84" w:type="dxa"/>
          <w:trHeight w:val="476" w:hRule="atLeast"/>
        </w:trPr>
        <w:tc>
          <w:tcPr>
            <w:tcW w:w="2758" w:type="dxa"/>
            <w:tcBorders>
              <w:top w:val="single" w:color="auto" w:sz="4" w:space="0"/>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21</w:t>
            </w:r>
          </w:p>
        </w:tc>
        <w:tc>
          <w:tcPr>
            <w:tcW w:w="1928" w:type="dxa"/>
            <w:gridSpan w:val="2"/>
            <w:tcBorders>
              <w:top w:val="single" w:color="auto" w:sz="4" w:space="0"/>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二十一、国有资本经营预算支出</w:t>
            </w:r>
          </w:p>
        </w:tc>
        <w:tc>
          <w:tcPr>
            <w:tcW w:w="624" w:type="dxa"/>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52</w:t>
            </w:r>
          </w:p>
        </w:tc>
        <w:tc>
          <w:tcPr>
            <w:tcW w:w="1578" w:type="dxa"/>
            <w:tcBorders>
              <w:top w:val="single" w:color="auto" w:sz="4" w:space="0"/>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84" w:type="dxa"/>
          <w:trHeight w:val="476" w:hRule="atLeast"/>
        </w:trPr>
        <w:tc>
          <w:tcPr>
            <w:tcW w:w="2758" w:type="dxa"/>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22</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二十二、灾害防治及应急管理支出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53</w:t>
            </w:r>
          </w:p>
        </w:tc>
        <w:tc>
          <w:tcPr>
            <w:tcW w:w="157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20,408.73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84" w:type="dxa"/>
          <w:trHeight w:val="476" w:hRule="atLeast"/>
        </w:trPr>
        <w:tc>
          <w:tcPr>
            <w:tcW w:w="2758" w:type="dxa"/>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23</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二十三、其他支出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54</w:t>
            </w:r>
          </w:p>
        </w:tc>
        <w:tc>
          <w:tcPr>
            <w:tcW w:w="157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632,016.72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84" w:type="dxa"/>
          <w:trHeight w:val="476" w:hRule="atLeast"/>
        </w:trPr>
        <w:tc>
          <w:tcPr>
            <w:tcW w:w="2758" w:type="dxa"/>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24</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二十四、债务还本支出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55</w:t>
            </w:r>
          </w:p>
        </w:tc>
        <w:tc>
          <w:tcPr>
            <w:tcW w:w="157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84" w:type="dxa"/>
          <w:trHeight w:val="476" w:hRule="atLeast"/>
        </w:trPr>
        <w:tc>
          <w:tcPr>
            <w:tcW w:w="2758" w:type="dxa"/>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25</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二十五、债务付息支出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56</w:t>
            </w:r>
          </w:p>
        </w:tc>
        <w:tc>
          <w:tcPr>
            <w:tcW w:w="157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13,597.64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84" w:type="dxa"/>
          <w:trHeight w:val="476" w:hRule="atLeast"/>
        </w:trPr>
        <w:tc>
          <w:tcPr>
            <w:tcW w:w="2758" w:type="dxa"/>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26</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二十六、抗疫特别国债安排的支出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57</w:t>
            </w:r>
          </w:p>
        </w:tc>
        <w:tc>
          <w:tcPr>
            <w:tcW w:w="157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84" w:type="dxa"/>
          <w:trHeight w:val="476" w:hRule="atLeast"/>
        </w:trPr>
        <w:tc>
          <w:tcPr>
            <w:tcW w:w="2758"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本年收入合计</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27</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1,241,574.16</w:t>
            </w: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本年支出合计</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58</w:t>
            </w:r>
          </w:p>
        </w:tc>
        <w:tc>
          <w:tcPr>
            <w:tcW w:w="157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1,242,997.43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84" w:type="dxa"/>
          <w:trHeight w:val="476" w:hRule="atLeast"/>
        </w:trPr>
        <w:tc>
          <w:tcPr>
            <w:tcW w:w="2758"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使用非财政拨款结余（含专用结余）</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28</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结余分配</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59</w:t>
            </w:r>
          </w:p>
        </w:tc>
        <w:tc>
          <w:tcPr>
            <w:tcW w:w="157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84" w:type="dxa"/>
          <w:trHeight w:val="476" w:hRule="atLeast"/>
        </w:trPr>
        <w:tc>
          <w:tcPr>
            <w:tcW w:w="2758"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年初结转和结余</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29</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5,272.59</w:t>
            </w: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年末结转和结余</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60</w:t>
            </w:r>
          </w:p>
        </w:tc>
        <w:tc>
          <w:tcPr>
            <w:tcW w:w="157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3,849.32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84" w:type="dxa"/>
          <w:trHeight w:val="476" w:hRule="atLeast"/>
        </w:trPr>
        <w:tc>
          <w:tcPr>
            <w:tcW w:w="2758"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30</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61</w:t>
            </w:r>
          </w:p>
        </w:tc>
        <w:tc>
          <w:tcPr>
            <w:tcW w:w="157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84" w:type="dxa"/>
          <w:trHeight w:val="308" w:hRule="atLeast"/>
        </w:trPr>
        <w:tc>
          <w:tcPr>
            <w:tcW w:w="2758"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31</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1,246,846.75</w:t>
            </w: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62</w:t>
            </w:r>
          </w:p>
        </w:tc>
        <w:tc>
          <w:tcPr>
            <w:tcW w:w="157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1,246,846.75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1071" w:type="dxa"/>
            <w:gridSpan w:val="9"/>
            <w:tcBorders>
              <w:top w:val="nil"/>
              <w:left w:val="nil"/>
              <w:bottom w:val="nil"/>
              <w:right w:val="nil"/>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注：1.本表反映部门本年度的总收支和年末结转结余情况。</w:t>
            </w:r>
          </w:p>
          <w:p>
            <w:pPr>
              <w:keepNext w:val="0"/>
              <w:keepLines w:val="0"/>
              <w:widowControl/>
              <w:suppressLineNumbers w:val="0"/>
              <w:ind w:firstLine="400" w:firstLineChars="20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2.本套报表金额转换时可能存在尾数误差。</w:t>
            </w:r>
          </w:p>
        </w:tc>
      </w:tr>
    </w:tbl>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9230" w:type="dxa"/>
        <w:jc w:val="center"/>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040"/>
        <w:gridCol w:w="1160"/>
        <w:gridCol w:w="1366"/>
        <w:gridCol w:w="1443"/>
        <w:gridCol w:w="732"/>
        <w:gridCol w:w="534"/>
        <w:gridCol w:w="367"/>
        <w:gridCol w:w="597"/>
        <w:gridCol w:w="1027"/>
        <w:gridCol w:w="964"/>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50" w:hRule="atLeast"/>
          <w:jc w:val="center"/>
        </w:trPr>
        <w:tc>
          <w:tcPr>
            <w:tcW w:w="9230" w:type="dxa"/>
            <w:gridSpan w:val="10"/>
            <w:tcBorders>
              <w:top w:val="nil"/>
              <w:left w:val="nil"/>
              <w:bottom w:val="nil"/>
              <w:right w:val="nil"/>
            </w:tcBorders>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收入决算表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0" w:hRule="atLeast"/>
          <w:jc w:val="center"/>
        </w:trPr>
        <w:tc>
          <w:tcPr>
            <w:tcW w:w="9230" w:type="dxa"/>
            <w:gridSpan w:val="10"/>
            <w:tcBorders>
              <w:top w:val="nil"/>
              <w:left w:val="nil"/>
              <w:bottom w:val="nil"/>
              <w:right w:val="nil"/>
            </w:tcBorders>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eastAsia" w:ascii="Times New Roman" w:hAnsi="Times New Roman" w:eastAsia="宋体" w:cs="Times New Roman"/>
                <w:i w:val="0"/>
                <w:iCs w:val="0"/>
                <w:color w:val="000000"/>
                <w:sz w:val="20"/>
                <w:szCs w:val="20"/>
                <w:highlight w:val="none"/>
                <w:u w:val="none"/>
                <w:lang w:val="en-US" w:eastAsia="zh-CN"/>
              </w:rPr>
              <w:t>02</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0" w:hRule="atLeast"/>
          <w:jc w:val="center"/>
        </w:trPr>
        <w:tc>
          <w:tcPr>
            <w:tcW w:w="3566" w:type="dxa"/>
            <w:gridSpan w:val="3"/>
            <w:tcBorders>
              <w:top w:val="nil"/>
              <w:left w:val="nil"/>
              <w:bottom w:val="single" w:color="auto" w:sz="4" w:space="0"/>
              <w:right w:val="nil"/>
            </w:tcBorders>
            <w:noWrap/>
            <w:vAlign w:val="bottom"/>
          </w:tcPr>
          <w:p>
            <w:pP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部门：石家庄市交通运输局                                                                                                         </w:t>
            </w:r>
          </w:p>
        </w:tc>
        <w:tc>
          <w:tcPr>
            <w:tcW w:w="3076" w:type="dxa"/>
            <w:gridSpan w:val="4"/>
            <w:tcBorders>
              <w:top w:val="nil"/>
              <w:left w:val="nil"/>
              <w:bottom w:val="single" w:color="auto" w:sz="4" w:space="0"/>
              <w:right w:val="nil"/>
            </w:tcBorders>
            <w:noWrap/>
            <w:vAlign w:val="bottom"/>
          </w:tcPr>
          <w:p>
            <w:pPr>
              <w:jc w:val="cente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default" w:ascii="Times New Roman" w:hAnsi="Times New Roman" w:eastAsia="方正仿宋_GB2312" w:cs="Times New Roman"/>
                <w:i w:val="0"/>
                <w:iCs w:val="0"/>
                <w:color w:val="000000"/>
                <w:sz w:val="20"/>
                <w:szCs w:val="20"/>
                <w:highlight w:val="none"/>
                <w:u w:val="none"/>
                <w:lang w:val="en-US" w:eastAsia="zh-CN"/>
              </w:rPr>
              <w:t>202</w:t>
            </w:r>
            <w:r>
              <w:rPr>
                <w:rFonts w:hint="eastAsia" w:ascii="Times New Roman" w:hAnsi="Times New Roman" w:eastAsia="方正仿宋_GB2312" w:cs="Times New Roman"/>
                <w:i w:val="0"/>
                <w:iCs w:val="0"/>
                <w:color w:val="000000"/>
                <w:sz w:val="20"/>
                <w:szCs w:val="20"/>
                <w:highlight w:val="none"/>
                <w:u w:val="none"/>
                <w:lang w:val="en-US" w:eastAsia="zh-CN"/>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2588" w:type="dxa"/>
            <w:gridSpan w:val="3"/>
            <w:tcBorders>
              <w:top w:val="nil"/>
              <w:left w:val="nil"/>
              <w:bottom w:val="single" w:color="auto" w:sz="4" w:space="0"/>
              <w:right w:val="nil"/>
            </w:tcBorders>
            <w:noWrap/>
            <w:vAlign w:val="bottom"/>
          </w:tcPr>
          <w:p>
            <w:pPr>
              <w:jc w:val="right"/>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jc w:val="center"/>
        </w:trPr>
        <w:tc>
          <w:tcPr>
            <w:tcW w:w="2200" w:type="dxa"/>
            <w:gridSpan w:val="2"/>
            <w:tcBorders>
              <w:top w:val="single" w:color="auto"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1366" w:type="dxa"/>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本年收入合计</w:t>
            </w:r>
          </w:p>
        </w:tc>
        <w:tc>
          <w:tcPr>
            <w:tcW w:w="1443" w:type="dxa"/>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财政拨款收入</w:t>
            </w:r>
          </w:p>
        </w:tc>
        <w:tc>
          <w:tcPr>
            <w:tcW w:w="732" w:type="dxa"/>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上级补助收入</w:t>
            </w:r>
          </w:p>
        </w:tc>
        <w:tc>
          <w:tcPr>
            <w:tcW w:w="534" w:type="dxa"/>
            <w:vMerge w:val="restart"/>
            <w:tcBorders>
              <w:top w:val="single" w:color="auto" w:sz="4" w:space="0"/>
              <w:left w:val="nil"/>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事业收入</w:t>
            </w:r>
          </w:p>
        </w:tc>
        <w:tc>
          <w:tcPr>
            <w:tcW w:w="964" w:type="dxa"/>
            <w:gridSpan w:val="2"/>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经营收入</w:t>
            </w:r>
          </w:p>
        </w:tc>
        <w:tc>
          <w:tcPr>
            <w:tcW w:w="1027" w:type="dxa"/>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附属单位上缴收入</w:t>
            </w:r>
          </w:p>
        </w:tc>
        <w:tc>
          <w:tcPr>
            <w:tcW w:w="964" w:type="dxa"/>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其他收入</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12" w:hRule="atLeast"/>
          <w:jc w:val="center"/>
        </w:trPr>
        <w:tc>
          <w:tcPr>
            <w:tcW w:w="1040" w:type="dxa"/>
            <w:vMerge w:val="restart"/>
            <w:tcBorders>
              <w:top w:val="nil"/>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1160" w:type="dxa"/>
            <w:vMerge w:val="restar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1366"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443"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732"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534" w:type="dxa"/>
            <w:vMerge w:val="continue"/>
            <w:tcBorders>
              <w:left w:val="nil"/>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12" w:hRule="atLeast"/>
          <w:jc w:val="center"/>
        </w:trPr>
        <w:tc>
          <w:tcPr>
            <w:tcW w:w="1040" w:type="dxa"/>
            <w:vMerge w:val="continue"/>
            <w:tcBorders>
              <w:top w:val="nil"/>
              <w:left w:val="single" w:color="000000" w:sz="4" w:space="0"/>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60" w:type="dxa"/>
            <w:vMerge w:val="continue"/>
            <w:tcBorders>
              <w:top w:val="nil"/>
              <w:left w:val="nil"/>
              <w:bottom w:val="single" w:color="000000" w:sz="4" w:space="0"/>
              <w:right w:val="single" w:color="000000" w:sz="4" w:space="0"/>
            </w:tcBorders>
            <w:noWrap/>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366"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443"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732"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534" w:type="dxa"/>
            <w:vMerge w:val="continue"/>
            <w:tcBorders>
              <w:left w:val="nil"/>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12" w:hRule="atLeast"/>
          <w:jc w:val="center"/>
        </w:trPr>
        <w:tc>
          <w:tcPr>
            <w:tcW w:w="1040" w:type="dxa"/>
            <w:vMerge w:val="continue"/>
            <w:tcBorders>
              <w:top w:val="nil"/>
              <w:left w:val="single" w:color="000000" w:sz="4" w:space="0"/>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60" w:type="dxa"/>
            <w:vMerge w:val="continue"/>
            <w:tcBorders>
              <w:top w:val="nil"/>
              <w:left w:val="nil"/>
              <w:bottom w:val="single" w:color="000000" w:sz="4" w:space="0"/>
              <w:right w:val="single" w:color="000000" w:sz="4" w:space="0"/>
            </w:tcBorders>
            <w:noWrap/>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366"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443"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732"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534" w:type="dxa"/>
            <w:vMerge w:val="continue"/>
            <w:tcBorders>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54" w:hRule="atLeast"/>
          <w:jc w:val="center"/>
        </w:trPr>
        <w:tc>
          <w:tcPr>
            <w:tcW w:w="2200" w:type="dxa"/>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1366" w:type="dxa"/>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1443" w:type="dxa"/>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w:t>
            </w:r>
          </w:p>
        </w:tc>
        <w:tc>
          <w:tcPr>
            <w:tcW w:w="732" w:type="dxa"/>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w:t>
            </w:r>
          </w:p>
        </w:tc>
        <w:tc>
          <w:tcPr>
            <w:tcW w:w="534" w:type="dxa"/>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4</w:t>
            </w:r>
          </w:p>
        </w:tc>
        <w:tc>
          <w:tcPr>
            <w:tcW w:w="964" w:type="dxa"/>
            <w:gridSpan w:val="2"/>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5</w:t>
            </w:r>
          </w:p>
        </w:tc>
        <w:tc>
          <w:tcPr>
            <w:tcW w:w="1027" w:type="dxa"/>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6</w:t>
            </w:r>
          </w:p>
        </w:tc>
        <w:tc>
          <w:tcPr>
            <w:tcW w:w="964" w:type="dxa"/>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67" w:hRule="atLeast"/>
          <w:jc w:val="center"/>
        </w:trPr>
        <w:tc>
          <w:tcPr>
            <w:tcW w:w="2200" w:type="dxa"/>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136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1,241,574.16</w:t>
            </w:r>
          </w:p>
        </w:tc>
        <w:tc>
          <w:tcPr>
            <w:tcW w:w="1443"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1,238,938.53</w:t>
            </w:r>
          </w:p>
        </w:tc>
        <w:tc>
          <w:tcPr>
            <w:tcW w:w="732"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3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2,635.63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社会保障和就业支出</w:t>
            </w:r>
          </w:p>
        </w:tc>
        <w:tc>
          <w:tcPr>
            <w:tcW w:w="136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3,753.55</w:t>
            </w:r>
          </w:p>
        </w:tc>
        <w:tc>
          <w:tcPr>
            <w:tcW w:w="1443"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3,753.55</w:t>
            </w:r>
          </w:p>
        </w:tc>
        <w:tc>
          <w:tcPr>
            <w:tcW w:w="732"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53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20805</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行政事业单位养老支出</w:t>
            </w:r>
          </w:p>
        </w:tc>
        <w:tc>
          <w:tcPr>
            <w:tcW w:w="136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3,737.35</w:t>
            </w:r>
          </w:p>
        </w:tc>
        <w:tc>
          <w:tcPr>
            <w:tcW w:w="1443"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3,737.35</w:t>
            </w:r>
          </w:p>
        </w:tc>
        <w:tc>
          <w:tcPr>
            <w:tcW w:w="732"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53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2080501</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行政单位离退休</w:t>
            </w:r>
          </w:p>
        </w:tc>
        <w:tc>
          <w:tcPr>
            <w:tcW w:w="136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428.67</w:t>
            </w:r>
          </w:p>
        </w:tc>
        <w:tc>
          <w:tcPr>
            <w:tcW w:w="1443"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428.67</w:t>
            </w:r>
          </w:p>
        </w:tc>
        <w:tc>
          <w:tcPr>
            <w:tcW w:w="732"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53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2080502</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事业单位离退休</w:t>
            </w:r>
          </w:p>
        </w:tc>
        <w:tc>
          <w:tcPr>
            <w:tcW w:w="136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2,074.19</w:t>
            </w:r>
          </w:p>
        </w:tc>
        <w:tc>
          <w:tcPr>
            <w:tcW w:w="1443"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2,074.19</w:t>
            </w:r>
          </w:p>
        </w:tc>
        <w:tc>
          <w:tcPr>
            <w:tcW w:w="732"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53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2080505</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机关事业单位基本养老保险缴费支出</w:t>
            </w:r>
          </w:p>
        </w:tc>
        <w:tc>
          <w:tcPr>
            <w:tcW w:w="136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1,047.61</w:t>
            </w:r>
          </w:p>
        </w:tc>
        <w:tc>
          <w:tcPr>
            <w:tcW w:w="1443"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1,047.61</w:t>
            </w:r>
          </w:p>
        </w:tc>
        <w:tc>
          <w:tcPr>
            <w:tcW w:w="732"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53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2080506</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机关事业单位职业年金缴费支出</w:t>
            </w:r>
          </w:p>
        </w:tc>
        <w:tc>
          <w:tcPr>
            <w:tcW w:w="136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186.88</w:t>
            </w:r>
          </w:p>
        </w:tc>
        <w:tc>
          <w:tcPr>
            <w:tcW w:w="1443"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186.88</w:t>
            </w:r>
          </w:p>
        </w:tc>
        <w:tc>
          <w:tcPr>
            <w:tcW w:w="732"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53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20899</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其他社会保障和就业支出</w:t>
            </w:r>
          </w:p>
        </w:tc>
        <w:tc>
          <w:tcPr>
            <w:tcW w:w="136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16.20</w:t>
            </w:r>
          </w:p>
        </w:tc>
        <w:tc>
          <w:tcPr>
            <w:tcW w:w="1443"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16.20</w:t>
            </w:r>
          </w:p>
        </w:tc>
        <w:tc>
          <w:tcPr>
            <w:tcW w:w="732"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53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2089999</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其他社会保障和就业支出</w:t>
            </w:r>
          </w:p>
        </w:tc>
        <w:tc>
          <w:tcPr>
            <w:tcW w:w="136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16.20</w:t>
            </w:r>
          </w:p>
        </w:tc>
        <w:tc>
          <w:tcPr>
            <w:tcW w:w="1443"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16.20</w:t>
            </w:r>
          </w:p>
        </w:tc>
        <w:tc>
          <w:tcPr>
            <w:tcW w:w="732"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53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卫生健康支出</w:t>
            </w:r>
          </w:p>
        </w:tc>
        <w:tc>
          <w:tcPr>
            <w:tcW w:w="136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762.12</w:t>
            </w:r>
          </w:p>
        </w:tc>
        <w:tc>
          <w:tcPr>
            <w:tcW w:w="1443"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762.12</w:t>
            </w:r>
          </w:p>
        </w:tc>
        <w:tc>
          <w:tcPr>
            <w:tcW w:w="732"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53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21011</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行政事业单位医疗</w:t>
            </w:r>
          </w:p>
        </w:tc>
        <w:tc>
          <w:tcPr>
            <w:tcW w:w="136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762.12</w:t>
            </w:r>
          </w:p>
        </w:tc>
        <w:tc>
          <w:tcPr>
            <w:tcW w:w="1443"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762.12</w:t>
            </w:r>
          </w:p>
        </w:tc>
        <w:tc>
          <w:tcPr>
            <w:tcW w:w="732"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53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2101101</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行政单位医疗</w:t>
            </w:r>
          </w:p>
        </w:tc>
        <w:tc>
          <w:tcPr>
            <w:tcW w:w="136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45.43</w:t>
            </w:r>
          </w:p>
        </w:tc>
        <w:tc>
          <w:tcPr>
            <w:tcW w:w="1443"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45.43</w:t>
            </w:r>
          </w:p>
        </w:tc>
        <w:tc>
          <w:tcPr>
            <w:tcW w:w="732"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53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2101102</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事业单位医疗</w:t>
            </w:r>
          </w:p>
        </w:tc>
        <w:tc>
          <w:tcPr>
            <w:tcW w:w="136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396.54</w:t>
            </w:r>
          </w:p>
        </w:tc>
        <w:tc>
          <w:tcPr>
            <w:tcW w:w="1443"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396.54</w:t>
            </w:r>
          </w:p>
        </w:tc>
        <w:tc>
          <w:tcPr>
            <w:tcW w:w="732"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53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2101103</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公务员医疗补助</w:t>
            </w:r>
          </w:p>
        </w:tc>
        <w:tc>
          <w:tcPr>
            <w:tcW w:w="136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38.46</w:t>
            </w:r>
          </w:p>
        </w:tc>
        <w:tc>
          <w:tcPr>
            <w:tcW w:w="1443"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38.46</w:t>
            </w:r>
          </w:p>
        </w:tc>
        <w:tc>
          <w:tcPr>
            <w:tcW w:w="732"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53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2101199</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其他行政事业单位医疗支出</w:t>
            </w:r>
          </w:p>
        </w:tc>
        <w:tc>
          <w:tcPr>
            <w:tcW w:w="136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281.69</w:t>
            </w:r>
          </w:p>
        </w:tc>
        <w:tc>
          <w:tcPr>
            <w:tcW w:w="1443"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281.69</w:t>
            </w:r>
          </w:p>
        </w:tc>
        <w:tc>
          <w:tcPr>
            <w:tcW w:w="732"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53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212</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城乡社区支出</w:t>
            </w:r>
          </w:p>
        </w:tc>
        <w:tc>
          <w:tcPr>
            <w:tcW w:w="136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147,892.66</w:t>
            </w:r>
          </w:p>
        </w:tc>
        <w:tc>
          <w:tcPr>
            <w:tcW w:w="1443"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147,892.66</w:t>
            </w:r>
          </w:p>
        </w:tc>
        <w:tc>
          <w:tcPr>
            <w:tcW w:w="732"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53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21203</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城乡社区公共设施</w:t>
            </w:r>
          </w:p>
        </w:tc>
        <w:tc>
          <w:tcPr>
            <w:tcW w:w="136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9,702.41</w:t>
            </w:r>
          </w:p>
        </w:tc>
        <w:tc>
          <w:tcPr>
            <w:tcW w:w="1443"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9,702.41</w:t>
            </w:r>
          </w:p>
        </w:tc>
        <w:tc>
          <w:tcPr>
            <w:tcW w:w="732"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53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2120399</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其他城乡社区公共设施支出</w:t>
            </w:r>
          </w:p>
        </w:tc>
        <w:tc>
          <w:tcPr>
            <w:tcW w:w="136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9,702.41</w:t>
            </w:r>
          </w:p>
        </w:tc>
        <w:tc>
          <w:tcPr>
            <w:tcW w:w="1443"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9,702.41</w:t>
            </w:r>
          </w:p>
        </w:tc>
        <w:tc>
          <w:tcPr>
            <w:tcW w:w="732"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53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21208</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国有土地使用权出让收入安排的支出</w:t>
            </w:r>
          </w:p>
        </w:tc>
        <w:tc>
          <w:tcPr>
            <w:tcW w:w="136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48,290.25</w:t>
            </w:r>
          </w:p>
        </w:tc>
        <w:tc>
          <w:tcPr>
            <w:tcW w:w="1443"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48,290.25</w:t>
            </w:r>
          </w:p>
        </w:tc>
        <w:tc>
          <w:tcPr>
            <w:tcW w:w="732"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53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2120803</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城市建设支出</w:t>
            </w:r>
          </w:p>
        </w:tc>
        <w:tc>
          <w:tcPr>
            <w:tcW w:w="136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44,579.00</w:t>
            </w:r>
          </w:p>
        </w:tc>
        <w:tc>
          <w:tcPr>
            <w:tcW w:w="1443"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44,579.00</w:t>
            </w:r>
          </w:p>
        </w:tc>
        <w:tc>
          <w:tcPr>
            <w:tcW w:w="732"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53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2120804</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农村基础设施建设支出</w:t>
            </w:r>
          </w:p>
        </w:tc>
        <w:tc>
          <w:tcPr>
            <w:tcW w:w="136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3,711.25</w:t>
            </w:r>
          </w:p>
        </w:tc>
        <w:tc>
          <w:tcPr>
            <w:tcW w:w="1443"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3,711.25</w:t>
            </w:r>
          </w:p>
        </w:tc>
        <w:tc>
          <w:tcPr>
            <w:tcW w:w="732"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53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21213</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城市基础设施配套费安排的支出</w:t>
            </w:r>
          </w:p>
        </w:tc>
        <w:tc>
          <w:tcPr>
            <w:tcW w:w="136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7,900.00</w:t>
            </w:r>
          </w:p>
        </w:tc>
        <w:tc>
          <w:tcPr>
            <w:tcW w:w="1443"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7,900.00</w:t>
            </w:r>
          </w:p>
        </w:tc>
        <w:tc>
          <w:tcPr>
            <w:tcW w:w="732"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53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2121399</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其他城市基础设施配套费安排的支出</w:t>
            </w:r>
          </w:p>
        </w:tc>
        <w:tc>
          <w:tcPr>
            <w:tcW w:w="136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7,900.00</w:t>
            </w:r>
          </w:p>
        </w:tc>
        <w:tc>
          <w:tcPr>
            <w:tcW w:w="1443"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7,900.00</w:t>
            </w:r>
          </w:p>
        </w:tc>
        <w:tc>
          <w:tcPr>
            <w:tcW w:w="732"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53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21299</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其他城乡社区支出</w:t>
            </w:r>
          </w:p>
        </w:tc>
        <w:tc>
          <w:tcPr>
            <w:tcW w:w="136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82,000.00</w:t>
            </w:r>
          </w:p>
        </w:tc>
        <w:tc>
          <w:tcPr>
            <w:tcW w:w="1443"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82,000.00</w:t>
            </w:r>
          </w:p>
        </w:tc>
        <w:tc>
          <w:tcPr>
            <w:tcW w:w="732"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53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2129999</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其他城乡社区支出</w:t>
            </w:r>
          </w:p>
        </w:tc>
        <w:tc>
          <w:tcPr>
            <w:tcW w:w="136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82,000.00</w:t>
            </w:r>
          </w:p>
        </w:tc>
        <w:tc>
          <w:tcPr>
            <w:tcW w:w="1443"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82,000.00</w:t>
            </w:r>
          </w:p>
        </w:tc>
        <w:tc>
          <w:tcPr>
            <w:tcW w:w="732"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53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214</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交通运输支出</w:t>
            </w:r>
          </w:p>
        </w:tc>
        <w:tc>
          <w:tcPr>
            <w:tcW w:w="136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421,967.84</w:t>
            </w:r>
          </w:p>
        </w:tc>
        <w:tc>
          <w:tcPr>
            <w:tcW w:w="1443"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419,332.21</w:t>
            </w:r>
          </w:p>
        </w:tc>
        <w:tc>
          <w:tcPr>
            <w:tcW w:w="732"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53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2,635.63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21401</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公路水路运输</w:t>
            </w:r>
          </w:p>
        </w:tc>
        <w:tc>
          <w:tcPr>
            <w:tcW w:w="136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49,146.35</w:t>
            </w:r>
          </w:p>
        </w:tc>
        <w:tc>
          <w:tcPr>
            <w:tcW w:w="1443"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46,510.72</w:t>
            </w:r>
          </w:p>
        </w:tc>
        <w:tc>
          <w:tcPr>
            <w:tcW w:w="732"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53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2,635.63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2140101</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行政运行</w:t>
            </w:r>
          </w:p>
        </w:tc>
        <w:tc>
          <w:tcPr>
            <w:tcW w:w="136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1,263.22</w:t>
            </w:r>
          </w:p>
        </w:tc>
        <w:tc>
          <w:tcPr>
            <w:tcW w:w="1443"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1,263.22</w:t>
            </w:r>
          </w:p>
        </w:tc>
        <w:tc>
          <w:tcPr>
            <w:tcW w:w="732"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53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2140102</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一般行政管理事务</w:t>
            </w:r>
          </w:p>
        </w:tc>
        <w:tc>
          <w:tcPr>
            <w:tcW w:w="136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488.17</w:t>
            </w:r>
          </w:p>
        </w:tc>
        <w:tc>
          <w:tcPr>
            <w:tcW w:w="1443"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488.17</w:t>
            </w:r>
          </w:p>
        </w:tc>
        <w:tc>
          <w:tcPr>
            <w:tcW w:w="732"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53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2140104</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公路建设</w:t>
            </w:r>
          </w:p>
        </w:tc>
        <w:tc>
          <w:tcPr>
            <w:tcW w:w="136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13,350.77</w:t>
            </w:r>
          </w:p>
        </w:tc>
        <w:tc>
          <w:tcPr>
            <w:tcW w:w="1443"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10,715.14</w:t>
            </w:r>
          </w:p>
        </w:tc>
        <w:tc>
          <w:tcPr>
            <w:tcW w:w="732"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53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2,635.63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2140106</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公路养护</w:t>
            </w:r>
          </w:p>
        </w:tc>
        <w:tc>
          <w:tcPr>
            <w:tcW w:w="136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20,404.79</w:t>
            </w:r>
          </w:p>
        </w:tc>
        <w:tc>
          <w:tcPr>
            <w:tcW w:w="1443"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20,404.79</w:t>
            </w:r>
          </w:p>
        </w:tc>
        <w:tc>
          <w:tcPr>
            <w:tcW w:w="732"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53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2140109</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交通运输信息化建设</w:t>
            </w:r>
          </w:p>
        </w:tc>
        <w:tc>
          <w:tcPr>
            <w:tcW w:w="136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46.96</w:t>
            </w:r>
          </w:p>
        </w:tc>
        <w:tc>
          <w:tcPr>
            <w:tcW w:w="1443"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46.96</w:t>
            </w:r>
          </w:p>
        </w:tc>
        <w:tc>
          <w:tcPr>
            <w:tcW w:w="732"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53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2140112</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公路运输管理</w:t>
            </w:r>
          </w:p>
        </w:tc>
        <w:tc>
          <w:tcPr>
            <w:tcW w:w="136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2,102.04</w:t>
            </w:r>
          </w:p>
        </w:tc>
        <w:tc>
          <w:tcPr>
            <w:tcW w:w="1443"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2,102.04</w:t>
            </w:r>
          </w:p>
        </w:tc>
        <w:tc>
          <w:tcPr>
            <w:tcW w:w="732"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53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2140199</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其他公路水路运输支出</w:t>
            </w:r>
          </w:p>
        </w:tc>
        <w:tc>
          <w:tcPr>
            <w:tcW w:w="136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11,490.39</w:t>
            </w:r>
          </w:p>
        </w:tc>
        <w:tc>
          <w:tcPr>
            <w:tcW w:w="1443"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11,490.39</w:t>
            </w:r>
          </w:p>
        </w:tc>
        <w:tc>
          <w:tcPr>
            <w:tcW w:w="732"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53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21405</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邮政业支出</w:t>
            </w:r>
          </w:p>
        </w:tc>
        <w:tc>
          <w:tcPr>
            <w:tcW w:w="136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128.74</w:t>
            </w:r>
          </w:p>
        </w:tc>
        <w:tc>
          <w:tcPr>
            <w:tcW w:w="1443"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128.74</w:t>
            </w:r>
          </w:p>
        </w:tc>
        <w:tc>
          <w:tcPr>
            <w:tcW w:w="732"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53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2140504</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行业监管</w:t>
            </w:r>
          </w:p>
        </w:tc>
        <w:tc>
          <w:tcPr>
            <w:tcW w:w="136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128.74</w:t>
            </w:r>
          </w:p>
        </w:tc>
        <w:tc>
          <w:tcPr>
            <w:tcW w:w="1443"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128.74</w:t>
            </w:r>
          </w:p>
        </w:tc>
        <w:tc>
          <w:tcPr>
            <w:tcW w:w="732"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53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21462</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车辆通行费安排的支出</w:t>
            </w:r>
          </w:p>
        </w:tc>
        <w:tc>
          <w:tcPr>
            <w:tcW w:w="136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352,080.47</w:t>
            </w:r>
          </w:p>
        </w:tc>
        <w:tc>
          <w:tcPr>
            <w:tcW w:w="1443"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352,080.47</w:t>
            </w:r>
          </w:p>
        </w:tc>
        <w:tc>
          <w:tcPr>
            <w:tcW w:w="732"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53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2146201</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公路还贷</w:t>
            </w:r>
          </w:p>
        </w:tc>
        <w:tc>
          <w:tcPr>
            <w:tcW w:w="136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320,141.00</w:t>
            </w:r>
          </w:p>
        </w:tc>
        <w:tc>
          <w:tcPr>
            <w:tcW w:w="1443"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320,141.00</w:t>
            </w:r>
          </w:p>
        </w:tc>
        <w:tc>
          <w:tcPr>
            <w:tcW w:w="732"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53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2146299</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其他车辆通行费安排的支出</w:t>
            </w:r>
          </w:p>
        </w:tc>
        <w:tc>
          <w:tcPr>
            <w:tcW w:w="136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31,939.47</w:t>
            </w:r>
          </w:p>
        </w:tc>
        <w:tc>
          <w:tcPr>
            <w:tcW w:w="1443"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31,939.47</w:t>
            </w:r>
          </w:p>
        </w:tc>
        <w:tc>
          <w:tcPr>
            <w:tcW w:w="732"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53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21499</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其他交通运输支出</w:t>
            </w:r>
          </w:p>
        </w:tc>
        <w:tc>
          <w:tcPr>
            <w:tcW w:w="136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20,612.28</w:t>
            </w:r>
          </w:p>
        </w:tc>
        <w:tc>
          <w:tcPr>
            <w:tcW w:w="1443"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20,612.28</w:t>
            </w:r>
          </w:p>
        </w:tc>
        <w:tc>
          <w:tcPr>
            <w:tcW w:w="732"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53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2149901</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公共交通运营补助</w:t>
            </w:r>
          </w:p>
        </w:tc>
        <w:tc>
          <w:tcPr>
            <w:tcW w:w="136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19,812.28</w:t>
            </w:r>
          </w:p>
        </w:tc>
        <w:tc>
          <w:tcPr>
            <w:tcW w:w="1443"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19,812.28</w:t>
            </w:r>
          </w:p>
        </w:tc>
        <w:tc>
          <w:tcPr>
            <w:tcW w:w="732"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53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2149999</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其他交通运输支出</w:t>
            </w:r>
          </w:p>
        </w:tc>
        <w:tc>
          <w:tcPr>
            <w:tcW w:w="136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800.00</w:t>
            </w:r>
          </w:p>
        </w:tc>
        <w:tc>
          <w:tcPr>
            <w:tcW w:w="1443"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800.00</w:t>
            </w:r>
          </w:p>
        </w:tc>
        <w:tc>
          <w:tcPr>
            <w:tcW w:w="732"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53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215</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资源勘探工业信息等支出</w:t>
            </w:r>
          </w:p>
        </w:tc>
        <w:tc>
          <w:tcPr>
            <w:tcW w:w="136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210.15</w:t>
            </w:r>
          </w:p>
        </w:tc>
        <w:tc>
          <w:tcPr>
            <w:tcW w:w="1443"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210.15</w:t>
            </w:r>
          </w:p>
        </w:tc>
        <w:tc>
          <w:tcPr>
            <w:tcW w:w="732"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53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21598</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超长期特别国债安排的支出</w:t>
            </w:r>
          </w:p>
        </w:tc>
        <w:tc>
          <w:tcPr>
            <w:tcW w:w="136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210.15</w:t>
            </w:r>
          </w:p>
        </w:tc>
        <w:tc>
          <w:tcPr>
            <w:tcW w:w="1443"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210.15</w:t>
            </w:r>
          </w:p>
        </w:tc>
        <w:tc>
          <w:tcPr>
            <w:tcW w:w="732"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53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2159802</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制造业</w:t>
            </w:r>
          </w:p>
        </w:tc>
        <w:tc>
          <w:tcPr>
            <w:tcW w:w="136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210.15</w:t>
            </w:r>
          </w:p>
        </w:tc>
        <w:tc>
          <w:tcPr>
            <w:tcW w:w="1443"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210.15</w:t>
            </w:r>
          </w:p>
        </w:tc>
        <w:tc>
          <w:tcPr>
            <w:tcW w:w="732"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53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221</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住房保障支出</w:t>
            </w:r>
          </w:p>
        </w:tc>
        <w:tc>
          <w:tcPr>
            <w:tcW w:w="136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964.74</w:t>
            </w:r>
          </w:p>
        </w:tc>
        <w:tc>
          <w:tcPr>
            <w:tcW w:w="1443"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964.74</w:t>
            </w:r>
          </w:p>
        </w:tc>
        <w:tc>
          <w:tcPr>
            <w:tcW w:w="732"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53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22102</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住房改革支出</w:t>
            </w:r>
          </w:p>
        </w:tc>
        <w:tc>
          <w:tcPr>
            <w:tcW w:w="136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964.74</w:t>
            </w:r>
          </w:p>
        </w:tc>
        <w:tc>
          <w:tcPr>
            <w:tcW w:w="1443"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964.74</w:t>
            </w:r>
          </w:p>
        </w:tc>
        <w:tc>
          <w:tcPr>
            <w:tcW w:w="732"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53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2210201</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住房公积金</w:t>
            </w:r>
          </w:p>
        </w:tc>
        <w:tc>
          <w:tcPr>
            <w:tcW w:w="136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964.74</w:t>
            </w:r>
          </w:p>
        </w:tc>
        <w:tc>
          <w:tcPr>
            <w:tcW w:w="1443"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964.74</w:t>
            </w:r>
          </w:p>
        </w:tc>
        <w:tc>
          <w:tcPr>
            <w:tcW w:w="732"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53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224</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灾害防治及应急管理支出</w:t>
            </w:r>
          </w:p>
        </w:tc>
        <w:tc>
          <w:tcPr>
            <w:tcW w:w="136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20,408.73</w:t>
            </w:r>
          </w:p>
        </w:tc>
        <w:tc>
          <w:tcPr>
            <w:tcW w:w="1443"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20,408.73</w:t>
            </w:r>
          </w:p>
        </w:tc>
        <w:tc>
          <w:tcPr>
            <w:tcW w:w="732"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53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22407</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自然灾害救灾及恢复重建支出</w:t>
            </w:r>
          </w:p>
        </w:tc>
        <w:tc>
          <w:tcPr>
            <w:tcW w:w="136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20,408.73</w:t>
            </w:r>
          </w:p>
        </w:tc>
        <w:tc>
          <w:tcPr>
            <w:tcW w:w="1443"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20,408.73</w:t>
            </w:r>
          </w:p>
        </w:tc>
        <w:tc>
          <w:tcPr>
            <w:tcW w:w="732"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53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2240704</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自然灾害灾后重建补助</w:t>
            </w:r>
          </w:p>
        </w:tc>
        <w:tc>
          <w:tcPr>
            <w:tcW w:w="136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20,408.73</w:t>
            </w:r>
          </w:p>
        </w:tc>
        <w:tc>
          <w:tcPr>
            <w:tcW w:w="1443"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20,408.73</w:t>
            </w:r>
          </w:p>
        </w:tc>
        <w:tc>
          <w:tcPr>
            <w:tcW w:w="732"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53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229</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其他支出</w:t>
            </w:r>
          </w:p>
        </w:tc>
        <w:tc>
          <w:tcPr>
            <w:tcW w:w="136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632,016.72</w:t>
            </w:r>
          </w:p>
        </w:tc>
        <w:tc>
          <w:tcPr>
            <w:tcW w:w="1443"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632,016.72</w:t>
            </w:r>
          </w:p>
        </w:tc>
        <w:tc>
          <w:tcPr>
            <w:tcW w:w="732"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53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22904</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其他政府性基金及对应专项债务收入安排的支出</w:t>
            </w:r>
          </w:p>
        </w:tc>
        <w:tc>
          <w:tcPr>
            <w:tcW w:w="136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632,016.72</w:t>
            </w:r>
          </w:p>
        </w:tc>
        <w:tc>
          <w:tcPr>
            <w:tcW w:w="1443"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632,016.72</w:t>
            </w:r>
          </w:p>
        </w:tc>
        <w:tc>
          <w:tcPr>
            <w:tcW w:w="732"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53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2290402</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其他地方自行试点项目收益专项债券收入安排的支出</w:t>
            </w:r>
          </w:p>
        </w:tc>
        <w:tc>
          <w:tcPr>
            <w:tcW w:w="136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632,016.72</w:t>
            </w:r>
          </w:p>
        </w:tc>
        <w:tc>
          <w:tcPr>
            <w:tcW w:w="1443"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632,016.72</w:t>
            </w:r>
          </w:p>
        </w:tc>
        <w:tc>
          <w:tcPr>
            <w:tcW w:w="732"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53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232</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债务付息支出</w:t>
            </w:r>
          </w:p>
        </w:tc>
        <w:tc>
          <w:tcPr>
            <w:tcW w:w="136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13,597.64</w:t>
            </w:r>
          </w:p>
        </w:tc>
        <w:tc>
          <w:tcPr>
            <w:tcW w:w="1443"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13,597.64</w:t>
            </w:r>
          </w:p>
        </w:tc>
        <w:tc>
          <w:tcPr>
            <w:tcW w:w="732"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53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23204</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地方政府专项债务付息支出</w:t>
            </w:r>
          </w:p>
        </w:tc>
        <w:tc>
          <w:tcPr>
            <w:tcW w:w="136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13,597.64</w:t>
            </w:r>
          </w:p>
        </w:tc>
        <w:tc>
          <w:tcPr>
            <w:tcW w:w="1443"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13,597.64</w:t>
            </w:r>
          </w:p>
        </w:tc>
        <w:tc>
          <w:tcPr>
            <w:tcW w:w="732"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53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2320432</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政府收费公路专项债券付息支出</w:t>
            </w:r>
          </w:p>
        </w:tc>
        <w:tc>
          <w:tcPr>
            <w:tcW w:w="136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9,392.89</w:t>
            </w:r>
          </w:p>
        </w:tc>
        <w:tc>
          <w:tcPr>
            <w:tcW w:w="1443"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9,392.89</w:t>
            </w:r>
          </w:p>
        </w:tc>
        <w:tc>
          <w:tcPr>
            <w:tcW w:w="732"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53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2320498</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其他地方自行试点项目收益专项债券付息支出</w:t>
            </w:r>
          </w:p>
        </w:tc>
        <w:tc>
          <w:tcPr>
            <w:tcW w:w="136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4,204.75</w:t>
            </w:r>
          </w:p>
        </w:tc>
        <w:tc>
          <w:tcPr>
            <w:tcW w:w="1443"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4,204.75</w:t>
            </w:r>
          </w:p>
        </w:tc>
        <w:tc>
          <w:tcPr>
            <w:tcW w:w="732"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53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9230" w:type="dxa"/>
            <w:gridSpan w:val="10"/>
            <w:tcBorders>
              <w:top w:val="nil"/>
              <w:left w:val="nil"/>
              <w:bottom w:val="nil"/>
              <w:right w:val="nil"/>
            </w:tcBorders>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注：本表反映部门本年度取得的各项收入情况。</w:t>
            </w:r>
          </w:p>
        </w:tc>
      </w:tr>
    </w:tbl>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pPr>
        <w:rPr>
          <w:rFonts w:hint="eastAsia" w:ascii="黑体" w:hAnsi="黑体" w:eastAsia="黑体" w:cs="宋体"/>
          <w:bCs/>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9346" w:type="dxa"/>
        <w:jc w:val="center"/>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040"/>
        <w:gridCol w:w="1187"/>
        <w:gridCol w:w="1434"/>
        <w:gridCol w:w="1275"/>
        <w:gridCol w:w="1294"/>
        <w:gridCol w:w="1012"/>
        <w:gridCol w:w="617"/>
        <w:gridCol w:w="1487"/>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50" w:hRule="atLeast"/>
          <w:jc w:val="center"/>
        </w:trPr>
        <w:tc>
          <w:tcPr>
            <w:tcW w:w="9346" w:type="dxa"/>
            <w:gridSpan w:val="8"/>
            <w:tcBorders>
              <w:top w:val="nil"/>
              <w:left w:val="nil"/>
              <w:bottom w:val="nil"/>
              <w:right w:val="nil"/>
            </w:tcBorders>
            <w:noWrap/>
            <w:vAlign w:val="bottom"/>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outlineLvl w:val="1"/>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br w:type="page"/>
            </w:r>
            <w:r>
              <w:rPr>
                <w:rFonts w:hint="eastAsia" w:ascii="方正仿宋_GB2312" w:hAnsi="方正仿宋_GB2312" w:eastAsia="方正仿宋_GB2312" w:cs="方正仿宋_GB2312"/>
                <w:b w:val="0"/>
                <w:bCs/>
                <w:color w:val="auto"/>
                <w:kern w:val="0"/>
                <w:sz w:val="32"/>
                <w:szCs w:val="32"/>
                <w:highlight w:val="none"/>
                <w:lang w:val="en-US" w:eastAsia="zh-CN"/>
              </w:rPr>
              <w:t>支出决算表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0" w:hRule="atLeast"/>
          <w:jc w:val="center"/>
        </w:trPr>
        <w:tc>
          <w:tcPr>
            <w:tcW w:w="9346" w:type="dxa"/>
            <w:gridSpan w:val="8"/>
            <w:tcBorders>
              <w:top w:val="nil"/>
              <w:left w:val="nil"/>
              <w:bottom w:val="nil"/>
              <w:right w:val="nil"/>
            </w:tcBorders>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宋体" w:cs="Times New Roman"/>
                <w:i w:val="0"/>
                <w:iCs w:val="0"/>
                <w:color w:val="000000"/>
                <w:kern w:val="0"/>
                <w:sz w:val="20"/>
                <w:szCs w:val="20"/>
                <w:highlight w:val="none"/>
                <w:u w:val="none"/>
                <w:lang w:val="en-US" w:eastAsia="zh-CN" w:bidi="ar"/>
              </w:rPr>
              <w:t>03</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0" w:hRule="atLeast"/>
          <w:jc w:val="center"/>
        </w:trPr>
        <w:tc>
          <w:tcPr>
            <w:tcW w:w="3661" w:type="dxa"/>
            <w:gridSpan w:val="3"/>
            <w:tcBorders>
              <w:top w:val="nil"/>
              <w:left w:val="nil"/>
              <w:bottom w:val="single" w:color="auto" w:sz="4" w:space="0"/>
              <w:right w:val="nil"/>
            </w:tcBorders>
            <w:noWrap/>
            <w:vAlign w:val="bottom"/>
          </w:tcPr>
          <w:p>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部门：石家庄市交通运输局 </w:t>
            </w:r>
            <w:r>
              <w:rPr>
                <w:rFonts w:hint="eastAsia" w:asciiTheme="minorEastAsia" w:hAnsiTheme="minorEastAsia" w:eastAsiaTheme="minorEastAsia" w:cstheme="minorEastAsia"/>
                <w:i w:val="0"/>
                <w:iCs w:val="0"/>
                <w:color w:val="000000"/>
                <w:kern w:val="0"/>
                <w:sz w:val="20"/>
                <w:szCs w:val="20"/>
                <w:highlight w:val="none"/>
                <w:u w:val="none"/>
                <w:lang w:val="en-US" w:eastAsia="zh-CN" w:bidi="ar"/>
              </w:rPr>
              <w:t xml:space="preserve">                                                                                                         </w:t>
            </w:r>
          </w:p>
        </w:tc>
        <w:tc>
          <w:tcPr>
            <w:tcW w:w="2569" w:type="dxa"/>
            <w:gridSpan w:val="2"/>
            <w:tcBorders>
              <w:top w:val="nil"/>
              <w:left w:val="nil"/>
              <w:bottom w:val="single" w:color="auto" w:sz="4" w:space="0"/>
              <w:right w:val="nil"/>
            </w:tcBorders>
            <w:noWrap/>
            <w:vAlign w:val="bottom"/>
          </w:tcPr>
          <w:p>
            <w:pPr>
              <w:keepNext w:val="0"/>
              <w:keepLines w:val="0"/>
              <w:widowControl/>
              <w:suppressLineNumbers w:val="0"/>
              <w:jc w:val="center"/>
              <w:textAlignment w:val="bottom"/>
              <w:rPr>
                <w:rFonts w:hint="eastAsia"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eastAsiaTheme="minorEastAsia"/>
                <w:i w:val="0"/>
                <w:iCs w:val="0"/>
                <w:color w:val="000000"/>
                <w:kern w:val="0"/>
                <w:sz w:val="20"/>
                <w:szCs w:val="20"/>
                <w:highlight w:val="none"/>
                <w:u w:val="none"/>
                <w:lang w:val="en-US" w:eastAsia="zh-CN" w:bidi="ar"/>
              </w:rPr>
              <w:t>202</w:t>
            </w:r>
            <w:r>
              <w:rPr>
                <w:rFonts w:hint="eastAsia" w:ascii="Times New Roman" w:hAnsi="Times New Roman"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3116" w:type="dxa"/>
            <w:gridSpan w:val="3"/>
            <w:tcBorders>
              <w:top w:val="nil"/>
              <w:left w:val="nil"/>
              <w:bottom w:val="single" w:color="auto" w:sz="4" w:space="0"/>
              <w:right w:val="nil"/>
            </w:tcBorders>
            <w:noWrap/>
            <w:vAlign w:val="bottom"/>
          </w:tcPr>
          <w:p>
            <w:pPr>
              <w:keepNext w:val="0"/>
              <w:keepLines w:val="0"/>
              <w:widowControl/>
              <w:suppressLineNumbers w:val="0"/>
              <w:jc w:val="right"/>
              <w:textAlignment w:val="bottom"/>
              <w:rPr>
                <w:rFonts w:hint="eastAsia" w:asciiTheme="minorEastAsia" w:hAnsiTheme="minorEastAsia" w:eastAsiaTheme="minorEastAsia" w:cstheme="minorEastAsia"/>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jc w:val="center"/>
        </w:trPr>
        <w:tc>
          <w:tcPr>
            <w:tcW w:w="2227" w:type="dxa"/>
            <w:gridSpan w:val="2"/>
            <w:tcBorders>
              <w:top w:val="single" w:color="auto"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1434" w:type="dxa"/>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本年支出合计</w:t>
            </w:r>
          </w:p>
        </w:tc>
        <w:tc>
          <w:tcPr>
            <w:tcW w:w="1275" w:type="dxa"/>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1294" w:type="dxa"/>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c>
          <w:tcPr>
            <w:tcW w:w="1012" w:type="dxa"/>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上缴上级支出</w:t>
            </w:r>
          </w:p>
        </w:tc>
        <w:tc>
          <w:tcPr>
            <w:tcW w:w="617" w:type="dxa"/>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经营支出</w:t>
            </w:r>
          </w:p>
        </w:tc>
        <w:tc>
          <w:tcPr>
            <w:tcW w:w="1487" w:type="dxa"/>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对附属单位补助支出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vMerge w:val="restart"/>
            <w:tcBorders>
              <w:top w:val="nil"/>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1187" w:type="dxa"/>
            <w:vMerge w:val="restar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1434"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275"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294"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12"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61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48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vMerge w:val="continue"/>
            <w:tcBorders>
              <w:top w:val="nil"/>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187" w:type="dxa"/>
            <w:vMerge w:val="continue"/>
            <w:tcBorders>
              <w:top w:val="nil"/>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0"/>
                <w:szCs w:val="20"/>
                <w:highlight w:val="none"/>
                <w:u w:val="none"/>
              </w:rPr>
            </w:pPr>
          </w:p>
        </w:tc>
        <w:tc>
          <w:tcPr>
            <w:tcW w:w="1434"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275"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294"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12"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61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48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vMerge w:val="continue"/>
            <w:tcBorders>
              <w:top w:val="nil"/>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187" w:type="dxa"/>
            <w:vMerge w:val="continue"/>
            <w:tcBorders>
              <w:top w:val="nil"/>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0"/>
                <w:szCs w:val="20"/>
                <w:highlight w:val="none"/>
                <w:u w:val="none"/>
              </w:rPr>
            </w:pPr>
          </w:p>
        </w:tc>
        <w:tc>
          <w:tcPr>
            <w:tcW w:w="1434"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275"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294"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12"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61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48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54" w:hRule="atLeast"/>
          <w:jc w:val="center"/>
        </w:trPr>
        <w:tc>
          <w:tcPr>
            <w:tcW w:w="2227" w:type="dxa"/>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1434" w:type="dxa"/>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w:t>
            </w:r>
          </w:p>
        </w:tc>
        <w:tc>
          <w:tcPr>
            <w:tcW w:w="1275" w:type="dxa"/>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1294" w:type="dxa"/>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1012" w:type="dxa"/>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617" w:type="dxa"/>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1487" w:type="dxa"/>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2227" w:type="dxa"/>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143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1,242,997.43</w:t>
            </w:r>
          </w:p>
        </w:tc>
        <w:tc>
          <w:tcPr>
            <w:tcW w:w="1275"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15,368.22</w:t>
            </w:r>
          </w:p>
        </w:tc>
        <w:tc>
          <w:tcPr>
            <w:tcW w:w="129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1,227,629.20</w:t>
            </w:r>
          </w:p>
        </w:tc>
        <w:tc>
          <w:tcPr>
            <w:tcW w:w="1012"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1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社会保障和就业支出</w:t>
            </w:r>
          </w:p>
        </w:tc>
        <w:tc>
          <w:tcPr>
            <w:tcW w:w="143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3,753.55</w:t>
            </w:r>
          </w:p>
        </w:tc>
        <w:tc>
          <w:tcPr>
            <w:tcW w:w="1275"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3,753.55</w:t>
            </w:r>
          </w:p>
        </w:tc>
        <w:tc>
          <w:tcPr>
            <w:tcW w:w="129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012"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1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行政事业单位养老支出</w:t>
            </w:r>
          </w:p>
        </w:tc>
        <w:tc>
          <w:tcPr>
            <w:tcW w:w="143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3,737.35</w:t>
            </w:r>
          </w:p>
        </w:tc>
        <w:tc>
          <w:tcPr>
            <w:tcW w:w="1275"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3,737.35</w:t>
            </w:r>
          </w:p>
        </w:tc>
        <w:tc>
          <w:tcPr>
            <w:tcW w:w="129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012"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1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2080501</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行政单位离退休</w:t>
            </w:r>
          </w:p>
        </w:tc>
        <w:tc>
          <w:tcPr>
            <w:tcW w:w="143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428.67</w:t>
            </w:r>
          </w:p>
        </w:tc>
        <w:tc>
          <w:tcPr>
            <w:tcW w:w="1275"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428.67</w:t>
            </w:r>
          </w:p>
        </w:tc>
        <w:tc>
          <w:tcPr>
            <w:tcW w:w="129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012"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1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2080502</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事业单位离退休</w:t>
            </w:r>
          </w:p>
        </w:tc>
        <w:tc>
          <w:tcPr>
            <w:tcW w:w="143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2,074.19</w:t>
            </w:r>
          </w:p>
        </w:tc>
        <w:tc>
          <w:tcPr>
            <w:tcW w:w="1275"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2,074.19</w:t>
            </w:r>
          </w:p>
        </w:tc>
        <w:tc>
          <w:tcPr>
            <w:tcW w:w="129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012"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1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2080505</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机关事业单位基本养老保险缴费支出</w:t>
            </w:r>
          </w:p>
        </w:tc>
        <w:tc>
          <w:tcPr>
            <w:tcW w:w="143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1,047.61</w:t>
            </w:r>
          </w:p>
        </w:tc>
        <w:tc>
          <w:tcPr>
            <w:tcW w:w="1275"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1,047.61</w:t>
            </w:r>
          </w:p>
        </w:tc>
        <w:tc>
          <w:tcPr>
            <w:tcW w:w="129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012"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1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2080506</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机关事业单位职业年金缴费支出</w:t>
            </w:r>
          </w:p>
        </w:tc>
        <w:tc>
          <w:tcPr>
            <w:tcW w:w="143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186.88</w:t>
            </w:r>
          </w:p>
        </w:tc>
        <w:tc>
          <w:tcPr>
            <w:tcW w:w="1275"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186.88</w:t>
            </w:r>
          </w:p>
        </w:tc>
        <w:tc>
          <w:tcPr>
            <w:tcW w:w="129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012"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1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20899</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其他社会保障和就业支出</w:t>
            </w:r>
          </w:p>
        </w:tc>
        <w:tc>
          <w:tcPr>
            <w:tcW w:w="143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16.20</w:t>
            </w:r>
          </w:p>
        </w:tc>
        <w:tc>
          <w:tcPr>
            <w:tcW w:w="1275"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16.20</w:t>
            </w:r>
          </w:p>
        </w:tc>
        <w:tc>
          <w:tcPr>
            <w:tcW w:w="129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012"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1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2089999</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其他社会保障和就业支出</w:t>
            </w:r>
          </w:p>
        </w:tc>
        <w:tc>
          <w:tcPr>
            <w:tcW w:w="143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16.20</w:t>
            </w:r>
          </w:p>
        </w:tc>
        <w:tc>
          <w:tcPr>
            <w:tcW w:w="1275"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16.20</w:t>
            </w:r>
          </w:p>
        </w:tc>
        <w:tc>
          <w:tcPr>
            <w:tcW w:w="129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012"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1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卫生健康支出</w:t>
            </w:r>
          </w:p>
        </w:tc>
        <w:tc>
          <w:tcPr>
            <w:tcW w:w="143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771.12</w:t>
            </w:r>
          </w:p>
        </w:tc>
        <w:tc>
          <w:tcPr>
            <w:tcW w:w="1275"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762.12</w:t>
            </w:r>
          </w:p>
        </w:tc>
        <w:tc>
          <w:tcPr>
            <w:tcW w:w="129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9.00</w:t>
            </w:r>
          </w:p>
        </w:tc>
        <w:tc>
          <w:tcPr>
            <w:tcW w:w="1012"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1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21004</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公共卫生</w:t>
            </w:r>
          </w:p>
        </w:tc>
        <w:tc>
          <w:tcPr>
            <w:tcW w:w="143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9.00</w:t>
            </w:r>
          </w:p>
        </w:tc>
        <w:tc>
          <w:tcPr>
            <w:tcW w:w="1275"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9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9.00</w:t>
            </w:r>
          </w:p>
        </w:tc>
        <w:tc>
          <w:tcPr>
            <w:tcW w:w="1012"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1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2100410</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突发公共卫生事件应急处置</w:t>
            </w:r>
          </w:p>
        </w:tc>
        <w:tc>
          <w:tcPr>
            <w:tcW w:w="143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9.00</w:t>
            </w:r>
          </w:p>
        </w:tc>
        <w:tc>
          <w:tcPr>
            <w:tcW w:w="1275"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9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9.00</w:t>
            </w:r>
          </w:p>
        </w:tc>
        <w:tc>
          <w:tcPr>
            <w:tcW w:w="1012"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1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行政事业单位医疗</w:t>
            </w:r>
          </w:p>
        </w:tc>
        <w:tc>
          <w:tcPr>
            <w:tcW w:w="143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762.12</w:t>
            </w:r>
          </w:p>
        </w:tc>
        <w:tc>
          <w:tcPr>
            <w:tcW w:w="1275"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762.12</w:t>
            </w:r>
          </w:p>
        </w:tc>
        <w:tc>
          <w:tcPr>
            <w:tcW w:w="129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012"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1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2101101</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行政单位医疗</w:t>
            </w:r>
          </w:p>
        </w:tc>
        <w:tc>
          <w:tcPr>
            <w:tcW w:w="143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45.43</w:t>
            </w:r>
          </w:p>
        </w:tc>
        <w:tc>
          <w:tcPr>
            <w:tcW w:w="1275"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45.43</w:t>
            </w:r>
          </w:p>
        </w:tc>
        <w:tc>
          <w:tcPr>
            <w:tcW w:w="129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012"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1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2101102</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事业单位医疗</w:t>
            </w:r>
          </w:p>
        </w:tc>
        <w:tc>
          <w:tcPr>
            <w:tcW w:w="143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396.54</w:t>
            </w:r>
          </w:p>
        </w:tc>
        <w:tc>
          <w:tcPr>
            <w:tcW w:w="1275"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396.54</w:t>
            </w:r>
          </w:p>
        </w:tc>
        <w:tc>
          <w:tcPr>
            <w:tcW w:w="129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012"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1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2101103</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公务员医疗补助</w:t>
            </w:r>
          </w:p>
        </w:tc>
        <w:tc>
          <w:tcPr>
            <w:tcW w:w="143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38.46</w:t>
            </w:r>
          </w:p>
        </w:tc>
        <w:tc>
          <w:tcPr>
            <w:tcW w:w="1275"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38.46</w:t>
            </w:r>
          </w:p>
        </w:tc>
        <w:tc>
          <w:tcPr>
            <w:tcW w:w="129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012"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1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2101199</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其他行政事业单位医疗支出</w:t>
            </w:r>
          </w:p>
        </w:tc>
        <w:tc>
          <w:tcPr>
            <w:tcW w:w="143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281.69</w:t>
            </w:r>
          </w:p>
        </w:tc>
        <w:tc>
          <w:tcPr>
            <w:tcW w:w="1275"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281.69</w:t>
            </w:r>
          </w:p>
        </w:tc>
        <w:tc>
          <w:tcPr>
            <w:tcW w:w="129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012"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1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城乡社区支出</w:t>
            </w:r>
          </w:p>
        </w:tc>
        <w:tc>
          <w:tcPr>
            <w:tcW w:w="143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147,892.66</w:t>
            </w:r>
          </w:p>
        </w:tc>
        <w:tc>
          <w:tcPr>
            <w:tcW w:w="1275"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9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147,892.66</w:t>
            </w:r>
          </w:p>
        </w:tc>
        <w:tc>
          <w:tcPr>
            <w:tcW w:w="1012"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1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21203</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城乡社区公共设施</w:t>
            </w:r>
          </w:p>
        </w:tc>
        <w:tc>
          <w:tcPr>
            <w:tcW w:w="143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9,702.41</w:t>
            </w:r>
          </w:p>
        </w:tc>
        <w:tc>
          <w:tcPr>
            <w:tcW w:w="1275"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9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9,702.41</w:t>
            </w:r>
          </w:p>
        </w:tc>
        <w:tc>
          <w:tcPr>
            <w:tcW w:w="1012"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1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2120399</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其他城乡社区公共设施支出</w:t>
            </w:r>
          </w:p>
        </w:tc>
        <w:tc>
          <w:tcPr>
            <w:tcW w:w="143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9,702.41</w:t>
            </w:r>
          </w:p>
        </w:tc>
        <w:tc>
          <w:tcPr>
            <w:tcW w:w="1275"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9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9,702.41</w:t>
            </w:r>
          </w:p>
        </w:tc>
        <w:tc>
          <w:tcPr>
            <w:tcW w:w="1012"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1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21208</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国有土地使用权出让收入安排的支出</w:t>
            </w:r>
          </w:p>
        </w:tc>
        <w:tc>
          <w:tcPr>
            <w:tcW w:w="143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48,290.25</w:t>
            </w:r>
          </w:p>
        </w:tc>
        <w:tc>
          <w:tcPr>
            <w:tcW w:w="1275"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9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48,290.25</w:t>
            </w:r>
          </w:p>
        </w:tc>
        <w:tc>
          <w:tcPr>
            <w:tcW w:w="1012"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1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2120803</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城市建设支出</w:t>
            </w:r>
          </w:p>
        </w:tc>
        <w:tc>
          <w:tcPr>
            <w:tcW w:w="143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44,579.00</w:t>
            </w:r>
          </w:p>
        </w:tc>
        <w:tc>
          <w:tcPr>
            <w:tcW w:w="1275"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9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44,579.00</w:t>
            </w:r>
          </w:p>
        </w:tc>
        <w:tc>
          <w:tcPr>
            <w:tcW w:w="1012"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1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2120804</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农村基础设施建设支出</w:t>
            </w:r>
          </w:p>
        </w:tc>
        <w:tc>
          <w:tcPr>
            <w:tcW w:w="143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3,711.25</w:t>
            </w:r>
          </w:p>
        </w:tc>
        <w:tc>
          <w:tcPr>
            <w:tcW w:w="1275"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9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3,711.25</w:t>
            </w:r>
          </w:p>
        </w:tc>
        <w:tc>
          <w:tcPr>
            <w:tcW w:w="1012"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1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21213</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城市基础设施配套费安排的支出</w:t>
            </w:r>
          </w:p>
        </w:tc>
        <w:tc>
          <w:tcPr>
            <w:tcW w:w="143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7,900.00</w:t>
            </w:r>
          </w:p>
        </w:tc>
        <w:tc>
          <w:tcPr>
            <w:tcW w:w="1275"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9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7,900.00</w:t>
            </w:r>
          </w:p>
        </w:tc>
        <w:tc>
          <w:tcPr>
            <w:tcW w:w="1012"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1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2121399</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其他城市基础设施配套费安排的支出</w:t>
            </w:r>
          </w:p>
        </w:tc>
        <w:tc>
          <w:tcPr>
            <w:tcW w:w="143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7,900.00</w:t>
            </w:r>
          </w:p>
        </w:tc>
        <w:tc>
          <w:tcPr>
            <w:tcW w:w="1275"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9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7,900.00</w:t>
            </w:r>
          </w:p>
        </w:tc>
        <w:tc>
          <w:tcPr>
            <w:tcW w:w="1012"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1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21299</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其他城乡社区支出</w:t>
            </w:r>
          </w:p>
        </w:tc>
        <w:tc>
          <w:tcPr>
            <w:tcW w:w="143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82,000.00</w:t>
            </w:r>
          </w:p>
        </w:tc>
        <w:tc>
          <w:tcPr>
            <w:tcW w:w="1275"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9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82,000.00</w:t>
            </w:r>
          </w:p>
        </w:tc>
        <w:tc>
          <w:tcPr>
            <w:tcW w:w="1012"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1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2129999</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其他城乡社区支出</w:t>
            </w:r>
          </w:p>
        </w:tc>
        <w:tc>
          <w:tcPr>
            <w:tcW w:w="143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82,000.00</w:t>
            </w:r>
          </w:p>
        </w:tc>
        <w:tc>
          <w:tcPr>
            <w:tcW w:w="1275"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9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82,000.00</w:t>
            </w:r>
          </w:p>
        </w:tc>
        <w:tc>
          <w:tcPr>
            <w:tcW w:w="1012"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1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214</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交通运输支出</w:t>
            </w:r>
          </w:p>
        </w:tc>
        <w:tc>
          <w:tcPr>
            <w:tcW w:w="143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423,382.11</w:t>
            </w:r>
          </w:p>
        </w:tc>
        <w:tc>
          <w:tcPr>
            <w:tcW w:w="1275"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9,887.81</w:t>
            </w:r>
          </w:p>
        </w:tc>
        <w:tc>
          <w:tcPr>
            <w:tcW w:w="129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413,494.30</w:t>
            </w:r>
          </w:p>
        </w:tc>
        <w:tc>
          <w:tcPr>
            <w:tcW w:w="1012"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1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21401</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公路水路运输</w:t>
            </w:r>
          </w:p>
        </w:tc>
        <w:tc>
          <w:tcPr>
            <w:tcW w:w="143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50,560.62</w:t>
            </w:r>
          </w:p>
        </w:tc>
        <w:tc>
          <w:tcPr>
            <w:tcW w:w="1275"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9,768.03</w:t>
            </w:r>
          </w:p>
        </w:tc>
        <w:tc>
          <w:tcPr>
            <w:tcW w:w="129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40,792.59</w:t>
            </w:r>
          </w:p>
        </w:tc>
        <w:tc>
          <w:tcPr>
            <w:tcW w:w="1012"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1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2140101</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行政运行</w:t>
            </w:r>
          </w:p>
        </w:tc>
        <w:tc>
          <w:tcPr>
            <w:tcW w:w="143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1,263.22</w:t>
            </w:r>
          </w:p>
        </w:tc>
        <w:tc>
          <w:tcPr>
            <w:tcW w:w="1275"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1,259.22</w:t>
            </w:r>
          </w:p>
        </w:tc>
        <w:tc>
          <w:tcPr>
            <w:tcW w:w="129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4.00</w:t>
            </w:r>
          </w:p>
        </w:tc>
        <w:tc>
          <w:tcPr>
            <w:tcW w:w="1012"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1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2140102</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一般行政管理事务</w:t>
            </w:r>
          </w:p>
        </w:tc>
        <w:tc>
          <w:tcPr>
            <w:tcW w:w="143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488.17</w:t>
            </w:r>
          </w:p>
        </w:tc>
        <w:tc>
          <w:tcPr>
            <w:tcW w:w="1275"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9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488.17</w:t>
            </w:r>
          </w:p>
        </w:tc>
        <w:tc>
          <w:tcPr>
            <w:tcW w:w="1012"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1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2140104</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公路建设</w:t>
            </w:r>
          </w:p>
        </w:tc>
        <w:tc>
          <w:tcPr>
            <w:tcW w:w="143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13,350.77</w:t>
            </w:r>
          </w:p>
        </w:tc>
        <w:tc>
          <w:tcPr>
            <w:tcW w:w="1275"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9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13,350.77</w:t>
            </w:r>
          </w:p>
        </w:tc>
        <w:tc>
          <w:tcPr>
            <w:tcW w:w="1012"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1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2140106</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公路养护</w:t>
            </w:r>
          </w:p>
        </w:tc>
        <w:tc>
          <w:tcPr>
            <w:tcW w:w="143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21,819.06</w:t>
            </w:r>
          </w:p>
        </w:tc>
        <w:tc>
          <w:tcPr>
            <w:tcW w:w="1275"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9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21,819.06</w:t>
            </w:r>
          </w:p>
        </w:tc>
        <w:tc>
          <w:tcPr>
            <w:tcW w:w="1012"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1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2140109</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交通运输信息化建设</w:t>
            </w:r>
          </w:p>
        </w:tc>
        <w:tc>
          <w:tcPr>
            <w:tcW w:w="143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46.96</w:t>
            </w:r>
          </w:p>
        </w:tc>
        <w:tc>
          <w:tcPr>
            <w:tcW w:w="1275"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9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46.96</w:t>
            </w:r>
          </w:p>
        </w:tc>
        <w:tc>
          <w:tcPr>
            <w:tcW w:w="1012"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1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2140112</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公路运输管理</w:t>
            </w:r>
          </w:p>
        </w:tc>
        <w:tc>
          <w:tcPr>
            <w:tcW w:w="143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2,102.04</w:t>
            </w:r>
          </w:p>
        </w:tc>
        <w:tc>
          <w:tcPr>
            <w:tcW w:w="1275"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464.79</w:t>
            </w:r>
          </w:p>
        </w:tc>
        <w:tc>
          <w:tcPr>
            <w:tcW w:w="129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1,637.25</w:t>
            </w:r>
          </w:p>
        </w:tc>
        <w:tc>
          <w:tcPr>
            <w:tcW w:w="1012"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1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2140199</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其他公路水路运输支出</w:t>
            </w:r>
          </w:p>
        </w:tc>
        <w:tc>
          <w:tcPr>
            <w:tcW w:w="143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11,490.39</w:t>
            </w:r>
          </w:p>
        </w:tc>
        <w:tc>
          <w:tcPr>
            <w:tcW w:w="1275"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8,044.02</w:t>
            </w:r>
          </w:p>
        </w:tc>
        <w:tc>
          <w:tcPr>
            <w:tcW w:w="129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3,446.37</w:t>
            </w:r>
          </w:p>
        </w:tc>
        <w:tc>
          <w:tcPr>
            <w:tcW w:w="1012"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1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21405</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邮政业支出</w:t>
            </w:r>
          </w:p>
        </w:tc>
        <w:tc>
          <w:tcPr>
            <w:tcW w:w="143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128.74</w:t>
            </w:r>
          </w:p>
        </w:tc>
        <w:tc>
          <w:tcPr>
            <w:tcW w:w="1275"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119.78</w:t>
            </w:r>
          </w:p>
        </w:tc>
        <w:tc>
          <w:tcPr>
            <w:tcW w:w="129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8.96</w:t>
            </w:r>
          </w:p>
        </w:tc>
        <w:tc>
          <w:tcPr>
            <w:tcW w:w="1012"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1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2140504</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行业监管</w:t>
            </w:r>
          </w:p>
        </w:tc>
        <w:tc>
          <w:tcPr>
            <w:tcW w:w="143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128.74</w:t>
            </w:r>
          </w:p>
        </w:tc>
        <w:tc>
          <w:tcPr>
            <w:tcW w:w="1275"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119.78</w:t>
            </w:r>
          </w:p>
        </w:tc>
        <w:tc>
          <w:tcPr>
            <w:tcW w:w="129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8.96</w:t>
            </w:r>
          </w:p>
        </w:tc>
        <w:tc>
          <w:tcPr>
            <w:tcW w:w="1012"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1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21462</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车辆通行费安排的支出</w:t>
            </w:r>
          </w:p>
        </w:tc>
        <w:tc>
          <w:tcPr>
            <w:tcW w:w="143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352,080.47</w:t>
            </w:r>
          </w:p>
        </w:tc>
        <w:tc>
          <w:tcPr>
            <w:tcW w:w="1275"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9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352,080.47</w:t>
            </w:r>
          </w:p>
        </w:tc>
        <w:tc>
          <w:tcPr>
            <w:tcW w:w="1012"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1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2146201</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公路还贷</w:t>
            </w:r>
          </w:p>
        </w:tc>
        <w:tc>
          <w:tcPr>
            <w:tcW w:w="143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320,141.00</w:t>
            </w:r>
          </w:p>
        </w:tc>
        <w:tc>
          <w:tcPr>
            <w:tcW w:w="1275"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9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320,141.00</w:t>
            </w:r>
          </w:p>
        </w:tc>
        <w:tc>
          <w:tcPr>
            <w:tcW w:w="1012"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1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2146299</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其他车辆通行费安排的支出</w:t>
            </w:r>
          </w:p>
        </w:tc>
        <w:tc>
          <w:tcPr>
            <w:tcW w:w="143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31,939.47</w:t>
            </w:r>
          </w:p>
        </w:tc>
        <w:tc>
          <w:tcPr>
            <w:tcW w:w="1275"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9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31,939.47</w:t>
            </w:r>
          </w:p>
        </w:tc>
        <w:tc>
          <w:tcPr>
            <w:tcW w:w="1012"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1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21499</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其他交通运输支出</w:t>
            </w:r>
          </w:p>
        </w:tc>
        <w:tc>
          <w:tcPr>
            <w:tcW w:w="143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20,612.28</w:t>
            </w:r>
          </w:p>
        </w:tc>
        <w:tc>
          <w:tcPr>
            <w:tcW w:w="1275"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9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20,612.28</w:t>
            </w:r>
          </w:p>
        </w:tc>
        <w:tc>
          <w:tcPr>
            <w:tcW w:w="1012"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1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2149901</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公共交通运营补助</w:t>
            </w:r>
          </w:p>
        </w:tc>
        <w:tc>
          <w:tcPr>
            <w:tcW w:w="143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19,812.28</w:t>
            </w:r>
          </w:p>
        </w:tc>
        <w:tc>
          <w:tcPr>
            <w:tcW w:w="1275"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9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19,812.28</w:t>
            </w:r>
          </w:p>
        </w:tc>
        <w:tc>
          <w:tcPr>
            <w:tcW w:w="1012"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1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2149999</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其他交通运输支出</w:t>
            </w:r>
          </w:p>
        </w:tc>
        <w:tc>
          <w:tcPr>
            <w:tcW w:w="143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800.00</w:t>
            </w:r>
          </w:p>
        </w:tc>
        <w:tc>
          <w:tcPr>
            <w:tcW w:w="1275"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9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800.00</w:t>
            </w:r>
          </w:p>
        </w:tc>
        <w:tc>
          <w:tcPr>
            <w:tcW w:w="1012"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1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215</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资源勘探工业信息等支出</w:t>
            </w:r>
          </w:p>
        </w:tc>
        <w:tc>
          <w:tcPr>
            <w:tcW w:w="143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210.15</w:t>
            </w:r>
          </w:p>
        </w:tc>
        <w:tc>
          <w:tcPr>
            <w:tcW w:w="1275"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9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210.15</w:t>
            </w:r>
          </w:p>
        </w:tc>
        <w:tc>
          <w:tcPr>
            <w:tcW w:w="1012"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1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21598</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超长期特别国债安排的支出</w:t>
            </w:r>
          </w:p>
        </w:tc>
        <w:tc>
          <w:tcPr>
            <w:tcW w:w="143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210.15</w:t>
            </w:r>
          </w:p>
        </w:tc>
        <w:tc>
          <w:tcPr>
            <w:tcW w:w="1275"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9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210.15</w:t>
            </w:r>
          </w:p>
        </w:tc>
        <w:tc>
          <w:tcPr>
            <w:tcW w:w="1012"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1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2159802</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制造业</w:t>
            </w:r>
          </w:p>
        </w:tc>
        <w:tc>
          <w:tcPr>
            <w:tcW w:w="143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210.15</w:t>
            </w:r>
          </w:p>
        </w:tc>
        <w:tc>
          <w:tcPr>
            <w:tcW w:w="1275"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9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210.15</w:t>
            </w:r>
          </w:p>
        </w:tc>
        <w:tc>
          <w:tcPr>
            <w:tcW w:w="1012"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1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住房保障支出</w:t>
            </w:r>
          </w:p>
        </w:tc>
        <w:tc>
          <w:tcPr>
            <w:tcW w:w="143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964.74</w:t>
            </w:r>
          </w:p>
        </w:tc>
        <w:tc>
          <w:tcPr>
            <w:tcW w:w="1275"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964.74</w:t>
            </w:r>
          </w:p>
        </w:tc>
        <w:tc>
          <w:tcPr>
            <w:tcW w:w="129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012"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1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住房改革支出</w:t>
            </w:r>
          </w:p>
        </w:tc>
        <w:tc>
          <w:tcPr>
            <w:tcW w:w="143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964.74</w:t>
            </w:r>
          </w:p>
        </w:tc>
        <w:tc>
          <w:tcPr>
            <w:tcW w:w="1275"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964.74</w:t>
            </w:r>
          </w:p>
        </w:tc>
        <w:tc>
          <w:tcPr>
            <w:tcW w:w="129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012"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1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2210201</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住房公积金</w:t>
            </w:r>
          </w:p>
        </w:tc>
        <w:tc>
          <w:tcPr>
            <w:tcW w:w="143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964.74</w:t>
            </w:r>
          </w:p>
        </w:tc>
        <w:tc>
          <w:tcPr>
            <w:tcW w:w="1275"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964.74</w:t>
            </w:r>
          </w:p>
        </w:tc>
        <w:tc>
          <w:tcPr>
            <w:tcW w:w="129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012"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1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224</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灾害防治及应急管理支出</w:t>
            </w:r>
          </w:p>
        </w:tc>
        <w:tc>
          <w:tcPr>
            <w:tcW w:w="143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20,408.73</w:t>
            </w:r>
          </w:p>
        </w:tc>
        <w:tc>
          <w:tcPr>
            <w:tcW w:w="1275"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9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20,408.73</w:t>
            </w:r>
          </w:p>
        </w:tc>
        <w:tc>
          <w:tcPr>
            <w:tcW w:w="1012"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1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22407</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自然灾害救灾及恢复重建支出</w:t>
            </w:r>
          </w:p>
        </w:tc>
        <w:tc>
          <w:tcPr>
            <w:tcW w:w="143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20,408.73</w:t>
            </w:r>
          </w:p>
        </w:tc>
        <w:tc>
          <w:tcPr>
            <w:tcW w:w="1275"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9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20,408.73</w:t>
            </w:r>
          </w:p>
        </w:tc>
        <w:tc>
          <w:tcPr>
            <w:tcW w:w="1012"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1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2240704</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自然灾害灾后重建补助</w:t>
            </w:r>
          </w:p>
        </w:tc>
        <w:tc>
          <w:tcPr>
            <w:tcW w:w="143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20,408.73</w:t>
            </w:r>
          </w:p>
        </w:tc>
        <w:tc>
          <w:tcPr>
            <w:tcW w:w="1275"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9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20,408.73</w:t>
            </w:r>
          </w:p>
        </w:tc>
        <w:tc>
          <w:tcPr>
            <w:tcW w:w="1012"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1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229</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其他支出</w:t>
            </w:r>
          </w:p>
        </w:tc>
        <w:tc>
          <w:tcPr>
            <w:tcW w:w="143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632,016.72</w:t>
            </w:r>
          </w:p>
        </w:tc>
        <w:tc>
          <w:tcPr>
            <w:tcW w:w="1275"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9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632,016.72</w:t>
            </w:r>
          </w:p>
        </w:tc>
        <w:tc>
          <w:tcPr>
            <w:tcW w:w="1012"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1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22904</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其他政府性基金及对应专项债务收入安排的支出</w:t>
            </w:r>
          </w:p>
        </w:tc>
        <w:tc>
          <w:tcPr>
            <w:tcW w:w="143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632,016.72</w:t>
            </w:r>
          </w:p>
        </w:tc>
        <w:tc>
          <w:tcPr>
            <w:tcW w:w="1275"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9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632,016.72</w:t>
            </w:r>
          </w:p>
        </w:tc>
        <w:tc>
          <w:tcPr>
            <w:tcW w:w="1012"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1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2290402</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其他地方自行试点项目收益专项债券收入安排的支出</w:t>
            </w:r>
          </w:p>
        </w:tc>
        <w:tc>
          <w:tcPr>
            <w:tcW w:w="143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632,016.72</w:t>
            </w:r>
          </w:p>
        </w:tc>
        <w:tc>
          <w:tcPr>
            <w:tcW w:w="1275"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9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632,016.72</w:t>
            </w:r>
          </w:p>
        </w:tc>
        <w:tc>
          <w:tcPr>
            <w:tcW w:w="1012"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1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232</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债务付息支出</w:t>
            </w:r>
          </w:p>
        </w:tc>
        <w:tc>
          <w:tcPr>
            <w:tcW w:w="143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13,597.64</w:t>
            </w:r>
          </w:p>
        </w:tc>
        <w:tc>
          <w:tcPr>
            <w:tcW w:w="1275"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9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13,597.64</w:t>
            </w:r>
          </w:p>
        </w:tc>
        <w:tc>
          <w:tcPr>
            <w:tcW w:w="1012"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1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23204</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地方政府专项债务付息支出</w:t>
            </w:r>
          </w:p>
        </w:tc>
        <w:tc>
          <w:tcPr>
            <w:tcW w:w="143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13,597.64</w:t>
            </w:r>
          </w:p>
        </w:tc>
        <w:tc>
          <w:tcPr>
            <w:tcW w:w="1275"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9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13,597.64</w:t>
            </w:r>
          </w:p>
        </w:tc>
        <w:tc>
          <w:tcPr>
            <w:tcW w:w="1012"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1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2320432</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政府收费公路专项债券付息支出</w:t>
            </w:r>
          </w:p>
        </w:tc>
        <w:tc>
          <w:tcPr>
            <w:tcW w:w="143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9,392.89</w:t>
            </w:r>
          </w:p>
        </w:tc>
        <w:tc>
          <w:tcPr>
            <w:tcW w:w="1275"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9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9,392.89</w:t>
            </w:r>
          </w:p>
        </w:tc>
        <w:tc>
          <w:tcPr>
            <w:tcW w:w="1012"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1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2320498</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其他地方自行试点项目收益专项债券付息支出</w:t>
            </w:r>
          </w:p>
        </w:tc>
        <w:tc>
          <w:tcPr>
            <w:tcW w:w="143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4,204.75</w:t>
            </w:r>
          </w:p>
        </w:tc>
        <w:tc>
          <w:tcPr>
            <w:tcW w:w="1275"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9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4,204.75</w:t>
            </w:r>
          </w:p>
        </w:tc>
        <w:tc>
          <w:tcPr>
            <w:tcW w:w="1012"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1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9346" w:type="dxa"/>
            <w:gridSpan w:val="8"/>
            <w:tcBorders>
              <w:top w:val="nil"/>
              <w:left w:val="nil"/>
              <w:bottom w:val="nil"/>
              <w:right w:val="nil"/>
            </w:tcBorders>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注：本表反映部门本年度各项支出情况。</w:t>
            </w:r>
          </w:p>
        </w:tc>
      </w:tr>
    </w:tbl>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10781" w:type="dxa"/>
        <w:tblInd w:w="-1454"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581"/>
        <w:gridCol w:w="624"/>
        <w:gridCol w:w="1427"/>
        <w:gridCol w:w="1659"/>
        <w:gridCol w:w="439"/>
        <w:gridCol w:w="624"/>
        <w:gridCol w:w="458"/>
        <w:gridCol w:w="837"/>
        <w:gridCol w:w="1219"/>
        <w:gridCol w:w="1481"/>
        <w:gridCol w:w="432"/>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50" w:hRule="atLeast"/>
        </w:trPr>
        <w:tc>
          <w:tcPr>
            <w:tcW w:w="10781" w:type="dxa"/>
            <w:gridSpan w:val="11"/>
            <w:tcBorders>
              <w:top w:val="nil"/>
              <w:left w:val="nil"/>
              <w:bottom w:val="nil"/>
              <w:right w:val="nil"/>
            </w:tcBorders>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财政拨款收入支出决算总表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0" w:hRule="atLeast"/>
        </w:trPr>
        <w:tc>
          <w:tcPr>
            <w:tcW w:w="10781" w:type="dxa"/>
            <w:gridSpan w:val="11"/>
            <w:tcBorders>
              <w:top w:val="nil"/>
              <w:left w:val="nil"/>
              <w:bottom w:val="nil"/>
              <w:right w:val="nil"/>
            </w:tcBorders>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公开04表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0" w:hRule="atLeast"/>
        </w:trPr>
        <w:tc>
          <w:tcPr>
            <w:tcW w:w="5291" w:type="dxa"/>
            <w:gridSpan w:val="4"/>
            <w:tcBorders>
              <w:top w:val="nil"/>
              <w:left w:val="nil"/>
              <w:bottom w:val="single" w:color="auto" w:sz="4" w:space="0"/>
              <w:right w:val="nil"/>
            </w:tcBorders>
            <w:noWrap/>
            <w:vAlign w:val="bottom"/>
          </w:tcPr>
          <w:p>
            <w:pPr>
              <w:rPr>
                <w:rFonts w:hint="eastAsia" w:ascii="仿宋" w:hAnsi="仿宋" w:eastAsia="仿宋" w:cs="仿宋"/>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部门：石家庄市交通运输局 </w:t>
            </w:r>
            <w:r>
              <w:rPr>
                <w:rFonts w:hint="eastAsia" w:asciiTheme="minorEastAsia" w:hAnsiTheme="minorEastAsia" w:eastAsiaTheme="minorEastAsia" w:cstheme="minorEastAsia"/>
                <w:i w:val="0"/>
                <w:iCs w:val="0"/>
                <w:color w:val="000000"/>
                <w:kern w:val="0"/>
                <w:sz w:val="20"/>
                <w:szCs w:val="20"/>
                <w:highlight w:val="none"/>
                <w:u w:val="none"/>
                <w:lang w:val="en-US" w:eastAsia="zh-CN" w:bidi="ar"/>
              </w:rPr>
              <w:t xml:space="preserve">                                                                                                   </w:t>
            </w:r>
          </w:p>
        </w:tc>
        <w:tc>
          <w:tcPr>
            <w:tcW w:w="1521" w:type="dxa"/>
            <w:gridSpan w:val="3"/>
            <w:tcBorders>
              <w:top w:val="nil"/>
              <w:left w:val="nil"/>
              <w:bottom w:val="single" w:color="auto" w:sz="4" w:space="0"/>
              <w:right w:val="nil"/>
            </w:tcBorders>
            <w:noWrap/>
            <w:vAlign w:val="bottom"/>
          </w:tcPr>
          <w:p>
            <w:pPr>
              <w:jc w:val="center"/>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i w:val="0"/>
                <w:iCs w:val="0"/>
                <w:color w:val="000000"/>
                <w:kern w:val="0"/>
                <w:sz w:val="20"/>
                <w:szCs w:val="20"/>
                <w:highlight w:val="none"/>
                <w:u w:val="none"/>
                <w:lang w:val="en-US" w:eastAsia="zh-CN" w:bidi="ar"/>
              </w:rPr>
              <w:t>202</w:t>
            </w:r>
            <w:r>
              <w:rPr>
                <w:rFonts w:hint="eastAsia" w:ascii="Times New Roman" w:hAnsi="Times New Roman"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3969" w:type="dxa"/>
            <w:gridSpan w:val="4"/>
            <w:tcBorders>
              <w:top w:val="nil"/>
              <w:left w:val="nil"/>
              <w:bottom w:val="single" w:color="auto" w:sz="4" w:space="0"/>
              <w:right w:val="nil"/>
            </w:tcBorders>
            <w:noWrap/>
            <w:vAlign w:val="bottom"/>
          </w:tcPr>
          <w:p>
            <w:pPr>
              <w:jc w:val="right"/>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3632" w:type="dxa"/>
            <w:gridSpan w:val="3"/>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收入</w:t>
            </w:r>
          </w:p>
        </w:tc>
        <w:tc>
          <w:tcPr>
            <w:tcW w:w="7149" w:type="dxa"/>
            <w:gridSpan w:val="8"/>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12" w:hRule="atLeast"/>
        </w:trPr>
        <w:tc>
          <w:tcPr>
            <w:tcW w:w="1581" w:type="dxa"/>
            <w:vMerge w:val="restart"/>
            <w:tcBorders>
              <w:top w:val="nil"/>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    目</w:t>
            </w:r>
          </w:p>
        </w:tc>
        <w:tc>
          <w:tcPr>
            <w:tcW w:w="624" w:type="dxa"/>
            <w:vMerge w:val="restar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1427" w:type="dxa"/>
            <w:vMerge w:val="restar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金额</w:t>
            </w:r>
          </w:p>
        </w:tc>
        <w:tc>
          <w:tcPr>
            <w:tcW w:w="2098" w:type="dxa"/>
            <w:gridSpan w:val="2"/>
            <w:vMerge w:val="restar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624" w:type="dxa"/>
            <w:vMerge w:val="restar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1295" w:type="dxa"/>
            <w:gridSpan w:val="2"/>
            <w:vMerge w:val="restart"/>
            <w:tcBorders>
              <w:top w:val="nil"/>
              <w:left w:val="nil"/>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合计</w:t>
            </w:r>
          </w:p>
        </w:tc>
        <w:tc>
          <w:tcPr>
            <w:tcW w:w="1219" w:type="dxa"/>
            <w:vMerge w:val="restart"/>
            <w:tcBorders>
              <w:top w:val="nil"/>
              <w:left w:val="nil"/>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一般公共预算财政拨款</w:t>
            </w:r>
          </w:p>
        </w:tc>
        <w:tc>
          <w:tcPr>
            <w:tcW w:w="1481" w:type="dxa"/>
            <w:vMerge w:val="restart"/>
            <w:tcBorders>
              <w:top w:val="nil"/>
              <w:left w:val="nil"/>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政府性基金预算财政拨款</w:t>
            </w:r>
          </w:p>
        </w:tc>
        <w:tc>
          <w:tcPr>
            <w:tcW w:w="432" w:type="dxa"/>
            <w:vMerge w:val="restart"/>
            <w:tcBorders>
              <w:top w:val="nil"/>
              <w:left w:val="nil"/>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国有资本经营预算财政拨款</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12" w:hRule="atLeast"/>
        </w:trPr>
        <w:tc>
          <w:tcPr>
            <w:tcW w:w="1581" w:type="dxa"/>
            <w:vMerge w:val="continue"/>
            <w:tcBorders>
              <w:top w:val="nil"/>
              <w:left w:val="single" w:color="000000" w:sz="4" w:space="0"/>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624" w:type="dxa"/>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427" w:type="dxa"/>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2098" w:type="dxa"/>
            <w:gridSpan w:val="2"/>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624" w:type="dxa"/>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295" w:type="dxa"/>
            <w:gridSpan w:val="2"/>
            <w:vMerge w:val="continue"/>
            <w:tcBorders>
              <w:left w:val="nil"/>
              <w:bottom w:val="single" w:color="000000" w:sz="4" w:space="0"/>
              <w:right w:val="single" w:color="000000" w:sz="8"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1219" w:type="dxa"/>
            <w:vMerge w:val="continue"/>
            <w:tcBorders>
              <w:left w:val="nil"/>
              <w:bottom w:val="single" w:color="000000" w:sz="4" w:space="0"/>
              <w:right w:val="single" w:color="000000" w:sz="8"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1481" w:type="dxa"/>
            <w:vMerge w:val="continue"/>
            <w:tcBorders>
              <w:left w:val="nil"/>
              <w:bottom w:val="single" w:color="000000" w:sz="4" w:space="0"/>
              <w:right w:val="single" w:color="000000" w:sz="8"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432" w:type="dxa"/>
            <w:vMerge w:val="continue"/>
            <w:tcBorders>
              <w:left w:val="nil"/>
              <w:bottom w:val="single" w:color="000000" w:sz="4" w:space="0"/>
              <w:right w:val="single" w:color="000000" w:sz="8"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581"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    次</w:t>
            </w:r>
          </w:p>
        </w:tc>
        <w:tc>
          <w:tcPr>
            <w:tcW w:w="624" w:type="dxa"/>
            <w:tcBorders>
              <w:top w:val="nil"/>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0"/>
                <w:szCs w:val="20"/>
                <w:highlight w:val="none"/>
                <w:u w:val="none"/>
              </w:rPr>
            </w:pPr>
          </w:p>
        </w:tc>
        <w:tc>
          <w:tcPr>
            <w:tcW w:w="1427"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2098"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    次</w:t>
            </w:r>
          </w:p>
        </w:tc>
        <w:tc>
          <w:tcPr>
            <w:tcW w:w="624" w:type="dxa"/>
            <w:tcBorders>
              <w:top w:val="nil"/>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0"/>
                <w:szCs w:val="20"/>
                <w:highlight w:val="none"/>
                <w:u w:val="none"/>
              </w:rPr>
            </w:pPr>
          </w:p>
        </w:tc>
        <w:tc>
          <w:tcPr>
            <w:tcW w:w="129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w:t>
            </w:r>
          </w:p>
        </w:tc>
        <w:tc>
          <w:tcPr>
            <w:tcW w:w="1219"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w:t>
            </w:r>
          </w:p>
        </w:tc>
        <w:tc>
          <w:tcPr>
            <w:tcW w:w="1481"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4</w:t>
            </w:r>
          </w:p>
        </w:tc>
        <w:tc>
          <w:tcPr>
            <w:tcW w:w="432" w:type="dxa"/>
            <w:tcBorders>
              <w:top w:val="nil"/>
              <w:left w:val="nil"/>
              <w:bottom w:val="single" w:color="000000" w:sz="4" w:space="0"/>
              <w:right w:val="single" w:color="000000" w:sz="8"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581"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w:t>
            </w:r>
          </w:p>
        </w:tc>
        <w:tc>
          <w:tcPr>
            <w:tcW w:w="14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184,843.29</w:t>
            </w:r>
          </w:p>
        </w:tc>
        <w:tc>
          <w:tcPr>
            <w:tcW w:w="2098"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一、一般公共服务支出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33</w:t>
            </w:r>
          </w:p>
        </w:tc>
        <w:tc>
          <w:tcPr>
            <w:tcW w:w="1295"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1"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432" w:type="dxa"/>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581"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14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1,054,095.23</w:t>
            </w:r>
          </w:p>
        </w:tc>
        <w:tc>
          <w:tcPr>
            <w:tcW w:w="2098"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二、外交支出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34</w:t>
            </w:r>
          </w:p>
        </w:tc>
        <w:tc>
          <w:tcPr>
            <w:tcW w:w="1295"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1"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432" w:type="dxa"/>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581"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14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三、国防支出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35</w:t>
            </w:r>
          </w:p>
        </w:tc>
        <w:tc>
          <w:tcPr>
            <w:tcW w:w="1295"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1"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432" w:type="dxa"/>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581" w:type="dxa"/>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14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四、公共安全支出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36</w:t>
            </w:r>
          </w:p>
        </w:tc>
        <w:tc>
          <w:tcPr>
            <w:tcW w:w="1295"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1"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432" w:type="dxa"/>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581" w:type="dxa"/>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14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五、教育支出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37</w:t>
            </w:r>
          </w:p>
        </w:tc>
        <w:tc>
          <w:tcPr>
            <w:tcW w:w="1295"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1"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432" w:type="dxa"/>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581" w:type="dxa"/>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c>
          <w:tcPr>
            <w:tcW w:w="14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六、科学技术支出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38</w:t>
            </w:r>
          </w:p>
        </w:tc>
        <w:tc>
          <w:tcPr>
            <w:tcW w:w="1295"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1"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432" w:type="dxa"/>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581" w:type="dxa"/>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7</w:t>
            </w:r>
          </w:p>
        </w:tc>
        <w:tc>
          <w:tcPr>
            <w:tcW w:w="14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七、文化旅游体育与传媒支出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39</w:t>
            </w:r>
          </w:p>
        </w:tc>
        <w:tc>
          <w:tcPr>
            <w:tcW w:w="1295"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1"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432" w:type="dxa"/>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581" w:type="dxa"/>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8</w:t>
            </w:r>
          </w:p>
        </w:tc>
        <w:tc>
          <w:tcPr>
            <w:tcW w:w="14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八、社会保障和就业支出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40</w:t>
            </w:r>
          </w:p>
        </w:tc>
        <w:tc>
          <w:tcPr>
            <w:tcW w:w="1295"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3,753.55</w:t>
            </w: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3,753.55</w:t>
            </w:r>
          </w:p>
        </w:tc>
        <w:tc>
          <w:tcPr>
            <w:tcW w:w="1481"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432" w:type="dxa"/>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581" w:type="dxa"/>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9</w:t>
            </w:r>
          </w:p>
        </w:tc>
        <w:tc>
          <w:tcPr>
            <w:tcW w:w="14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九、卫生健康支出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41</w:t>
            </w:r>
          </w:p>
        </w:tc>
        <w:tc>
          <w:tcPr>
            <w:tcW w:w="1295"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771.12</w:t>
            </w: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771.12</w:t>
            </w:r>
          </w:p>
        </w:tc>
        <w:tc>
          <w:tcPr>
            <w:tcW w:w="1481"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432" w:type="dxa"/>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581" w:type="dxa"/>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10</w:t>
            </w:r>
          </w:p>
        </w:tc>
        <w:tc>
          <w:tcPr>
            <w:tcW w:w="14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十、节能环保支出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42</w:t>
            </w:r>
          </w:p>
        </w:tc>
        <w:tc>
          <w:tcPr>
            <w:tcW w:w="1295"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1"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432" w:type="dxa"/>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581" w:type="dxa"/>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11</w:t>
            </w:r>
          </w:p>
        </w:tc>
        <w:tc>
          <w:tcPr>
            <w:tcW w:w="14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十一、城乡社区支出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43</w:t>
            </w:r>
          </w:p>
        </w:tc>
        <w:tc>
          <w:tcPr>
            <w:tcW w:w="1295"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147,892.66</w:t>
            </w: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91,702.41</w:t>
            </w:r>
          </w:p>
        </w:tc>
        <w:tc>
          <w:tcPr>
            <w:tcW w:w="1481"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56,190.25</w:t>
            </w:r>
          </w:p>
        </w:tc>
        <w:tc>
          <w:tcPr>
            <w:tcW w:w="432" w:type="dxa"/>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581" w:type="dxa"/>
            <w:tcBorders>
              <w:top w:val="nil"/>
              <w:left w:val="single" w:color="000000" w:sz="4" w:space="0"/>
              <w:bottom w:val="single" w:color="auto"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auto"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12</w:t>
            </w:r>
          </w:p>
        </w:tc>
        <w:tc>
          <w:tcPr>
            <w:tcW w:w="1427" w:type="dxa"/>
            <w:tcBorders>
              <w:top w:val="nil"/>
              <w:left w:val="nil"/>
              <w:bottom w:val="single" w:color="auto"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auto"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十二、农林水支出</w:t>
            </w:r>
          </w:p>
        </w:tc>
        <w:tc>
          <w:tcPr>
            <w:tcW w:w="624" w:type="dxa"/>
            <w:tcBorders>
              <w:top w:val="nil"/>
              <w:left w:val="nil"/>
              <w:bottom w:val="single" w:color="auto"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44</w:t>
            </w:r>
          </w:p>
        </w:tc>
        <w:tc>
          <w:tcPr>
            <w:tcW w:w="1295" w:type="dxa"/>
            <w:gridSpan w:val="2"/>
            <w:tcBorders>
              <w:top w:val="nil"/>
              <w:left w:val="nil"/>
              <w:bottom w:val="single" w:color="auto"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auto"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1" w:type="dxa"/>
            <w:tcBorders>
              <w:top w:val="nil"/>
              <w:left w:val="nil"/>
              <w:bottom w:val="single" w:color="auto"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432" w:type="dxa"/>
            <w:tcBorders>
              <w:top w:val="nil"/>
              <w:left w:val="nil"/>
              <w:bottom w:val="single" w:color="auto"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581"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13</w:t>
            </w:r>
          </w:p>
        </w:tc>
        <w:tc>
          <w:tcPr>
            <w:tcW w:w="1427"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十三、交通运输支出</w:t>
            </w: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45</w:t>
            </w:r>
          </w:p>
        </w:tc>
        <w:tc>
          <w:tcPr>
            <w:tcW w:w="1295"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420,746.48</w:t>
            </w: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68,666.01</w:t>
            </w:r>
          </w:p>
        </w:tc>
        <w:tc>
          <w:tcPr>
            <w:tcW w:w="1481"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352,080.47</w:t>
            </w:r>
          </w:p>
        </w:tc>
        <w:tc>
          <w:tcPr>
            <w:tcW w:w="432"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581"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14</w:t>
            </w:r>
          </w:p>
        </w:tc>
        <w:tc>
          <w:tcPr>
            <w:tcW w:w="1427"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十四、资源勘探工业信息等支出</w:t>
            </w: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46</w:t>
            </w:r>
          </w:p>
        </w:tc>
        <w:tc>
          <w:tcPr>
            <w:tcW w:w="1295"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210.15</w:t>
            </w: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1"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210.15</w:t>
            </w:r>
          </w:p>
        </w:tc>
        <w:tc>
          <w:tcPr>
            <w:tcW w:w="432"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581"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15</w:t>
            </w:r>
          </w:p>
        </w:tc>
        <w:tc>
          <w:tcPr>
            <w:tcW w:w="1427"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十五、商业服务业等支出</w:t>
            </w: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47</w:t>
            </w:r>
          </w:p>
        </w:tc>
        <w:tc>
          <w:tcPr>
            <w:tcW w:w="1295"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1"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432"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581"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16</w:t>
            </w:r>
          </w:p>
        </w:tc>
        <w:tc>
          <w:tcPr>
            <w:tcW w:w="1427"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十六、金融支出</w:t>
            </w: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48</w:t>
            </w:r>
          </w:p>
        </w:tc>
        <w:tc>
          <w:tcPr>
            <w:tcW w:w="1295"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1"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432"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581"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17</w:t>
            </w:r>
          </w:p>
        </w:tc>
        <w:tc>
          <w:tcPr>
            <w:tcW w:w="1427"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十七、援助其他地区支出</w:t>
            </w: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49</w:t>
            </w:r>
          </w:p>
        </w:tc>
        <w:tc>
          <w:tcPr>
            <w:tcW w:w="1295"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1"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432"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581"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18</w:t>
            </w:r>
          </w:p>
        </w:tc>
        <w:tc>
          <w:tcPr>
            <w:tcW w:w="1427"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十八、自然资源海洋气象等支出</w:t>
            </w: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50</w:t>
            </w:r>
          </w:p>
        </w:tc>
        <w:tc>
          <w:tcPr>
            <w:tcW w:w="1295"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1"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432"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581"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19</w:t>
            </w:r>
          </w:p>
        </w:tc>
        <w:tc>
          <w:tcPr>
            <w:tcW w:w="1427"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十九、住房保障支出</w:t>
            </w: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51</w:t>
            </w:r>
          </w:p>
        </w:tc>
        <w:tc>
          <w:tcPr>
            <w:tcW w:w="1295"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964.74</w:t>
            </w: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964.74</w:t>
            </w:r>
          </w:p>
        </w:tc>
        <w:tc>
          <w:tcPr>
            <w:tcW w:w="1481"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432"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581"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20</w:t>
            </w:r>
          </w:p>
        </w:tc>
        <w:tc>
          <w:tcPr>
            <w:tcW w:w="1427"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二十、粮油物资储备支出</w:t>
            </w: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52</w:t>
            </w:r>
          </w:p>
        </w:tc>
        <w:tc>
          <w:tcPr>
            <w:tcW w:w="1295"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1"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432"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581"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21</w:t>
            </w:r>
          </w:p>
        </w:tc>
        <w:tc>
          <w:tcPr>
            <w:tcW w:w="1427"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二十一、国有资本经营预算支出</w:t>
            </w: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53</w:t>
            </w:r>
          </w:p>
        </w:tc>
        <w:tc>
          <w:tcPr>
            <w:tcW w:w="1295"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1"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432"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581"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22</w:t>
            </w:r>
          </w:p>
        </w:tc>
        <w:tc>
          <w:tcPr>
            <w:tcW w:w="1427"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二十二、灾害防治及应急管理支出</w:t>
            </w: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54</w:t>
            </w:r>
          </w:p>
        </w:tc>
        <w:tc>
          <w:tcPr>
            <w:tcW w:w="1295"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20,408.73</w:t>
            </w: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20,408.73</w:t>
            </w:r>
          </w:p>
        </w:tc>
        <w:tc>
          <w:tcPr>
            <w:tcW w:w="1481"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432"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581"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23</w:t>
            </w:r>
          </w:p>
        </w:tc>
        <w:tc>
          <w:tcPr>
            <w:tcW w:w="1427"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二十三、其他支出</w:t>
            </w: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55</w:t>
            </w:r>
          </w:p>
        </w:tc>
        <w:tc>
          <w:tcPr>
            <w:tcW w:w="1295"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632,016.72</w:t>
            </w: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1"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632,016.72</w:t>
            </w:r>
          </w:p>
        </w:tc>
        <w:tc>
          <w:tcPr>
            <w:tcW w:w="432"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581" w:type="dxa"/>
            <w:tcBorders>
              <w:top w:val="single" w:color="auto" w:sz="4" w:space="0"/>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24</w:t>
            </w:r>
          </w:p>
        </w:tc>
        <w:tc>
          <w:tcPr>
            <w:tcW w:w="1427" w:type="dxa"/>
            <w:tcBorders>
              <w:top w:val="single" w:color="auto" w:sz="4" w:space="0"/>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二十四、债务还本支出</w:t>
            </w:r>
          </w:p>
        </w:tc>
        <w:tc>
          <w:tcPr>
            <w:tcW w:w="624" w:type="dxa"/>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56</w:t>
            </w:r>
          </w:p>
        </w:tc>
        <w:tc>
          <w:tcPr>
            <w:tcW w:w="1295" w:type="dxa"/>
            <w:gridSpan w:val="2"/>
            <w:tcBorders>
              <w:top w:val="single" w:color="auto" w:sz="4" w:space="0"/>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1" w:type="dxa"/>
            <w:tcBorders>
              <w:top w:val="single" w:color="auto" w:sz="4" w:space="0"/>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432" w:type="dxa"/>
            <w:tcBorders>
              <w:top w:val="single" w:color="auto" w:sz="4" w:space="0"/>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581" w:type="dxa"/>
            <w:tcBorders>
              <w:top w:val="nil"/>
              <w:left w:val="single" w:color="000000" w:sz="4" w:space="0"/>
              <w:bottom w:val="single" w:color="000000" w:sz="4" w:space="0"/>
              <w:right w:val="single" w:color="000000" w:sz="4" w:space="0"/>
            </w:tcBorders>
            <w:noWrap/>
            <w:vAlign w:val="center"/>
          </w:tcPr>
          <w:p>
            <w:pPr>
              <w:jc w:val="center"/>
              <w:rPr>
                <w:rFonts w:hint="eastAsia" w:ascii="宋体" w:hAnsi="宋体" w:eastAsia="宋体" w:cs="宋体"/>
                <w:b/>
                <w:bCs/>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25</w:t>
            </w:r>
          </w:p>
        </w:tc>
        <w:tc>
          <w:tcPr>
            <w:tcW w:w="14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二十五、债务付息支出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57</w:t>
            </w:r>
          </w:p>
        </w:tc>
        <w:tc>
          <w:tcPr>
            <w:tcW w:w="1295"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13,597.64</w:t>
            </w: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1"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13,597.64</w:t>
            </w:r>
          </w:p>
        </w:tc>
        <w:tc>
          <w:tcPr>
            <w:tcW w:w="432" w:type="dxa"/>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581" w:type="dxa"/>
            <w:tcBorders>
              <w:top w:val="nil"/>
              <w:left w:val="single" w:color="000000" w:sz="4" w:space="0"/>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26</w:t>
            </w:r>
          </w:p>
        </w:tc>
        <w:tc>
          <w:tcPr>
            <w:tcW w:w="14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二十六、抗疫特别国债安排的支出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58</w:t>
            </w:r>
          </w:p>
        </w:tc>
        <w:tc>
          <w:tcPr>
            <w:tcW w:w="1295"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1"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432" w:type="dxa"/>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581"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本年收入合计</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27</w:t>
            </w:r>
          </w:p>
        </w:tc>
        <w:tc>
          <w:tcPr>
            <w:tcW w:w="14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1,238,938.53</w:t>
            </w:r>
          </w:p>
        </w:tc>
        <w:tc>
          <w:tcPr>
            <w:tcW w:w="2098"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本年支出合计</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59</w:t>
            </w:r>
          </w:p>
        </w:tc>
        <w:tc>
          <w:tcPr>
            <w:tcW w:w="1295"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1,240,361.80</w:t>
            </w: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186,266.56</w:t>
            </w:r>
          </w:p>
        </w:tc>
        <w:tc>
          <w:tcPr>
            <w:tcW w:w="1481"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1,054,095.23</w:t>
            </w:r>
          </w:p>
        </w:tc>
        <w:tc>
          <w:tcPr>
            <w:tcW w:w="432" w:type="dxa"/>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581"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年初财政拨款结转和结余</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28</w:t>
            </w:r>
          </w:p>
        </w:tc>
        <w:tc>
          <w:tcPr>
            <w:tcW w:w="14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5,272.59</w:t>
            </w:r>
          </w:p>
        </w:tc>
        <w:tc>
          <w:tcPr>
            <w:tcW w:w="2098"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年末财政拨款结转和结余</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60</w:t>
            </w:r>
          </w:p>
        </w:tc>
        <w:tc>
          <w:tcPr>
            <w:tcW w:w="1295"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3,849.32</w:t>
            </w:r>
          </w:p>
        </w:tc>
        <w:tc>
          <w:tcPr>
            <w:tcW w:w="1219" w:type="dxa"/>
            <w:tcBorders>
              <w:top w:val="nil"/>
              <w:left w:val="nil"/>
              <w:bottom w:val="single" w:color="000000" w:sz="4" w:space="0"/>
              <w:right w:val="single" w:color="000000" w:sz="4" w:space="0"/>
            </w:tcBorders>
            <w:noWrap/>
            <w:vAlign w:val="center"/>
          </w:tcPr>
          <w:p>
            <w:pPr>
              <w:jc w:val="both"/>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3,849.32</w:t>
            </w:r>
          </w:p>
        </w:tc>
        <w:tc>
          <w:tcPr>
            <w:tcW w:w="1481"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432" w:type="dxa"/>
            <w:tcBorders>
              <w:top w:val="nil"/>
              <w:left w:val="nil"/>
              <w:bottom w:val="single" w:color="000000" w:sz="4" w:space="0"/>
              <w:right w:val="single" w:color="000000" w:sz="8" w:space="0"/>
            </w:tcBorders>
            <w:noWrap/>
            <w:vAlign w:val="center"/>
          </w:tcPr>
          <w:p>
            <w:pPr>
              <w:jc w:val="both"/>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581"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29</w:t>
            </w:r>
          </w:p>
        </w:tc>
        <w:tc>
          <w:tcPr>
            <w:tcW w:w="14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5,272.59</w:t>
            </w:r>
          </w:p>
        </w:tc>
        <w:tc>
          <w:tcPr>
            <w:tcW w:w="2098" w:type="dxa"/>
            <w:gridSpan w:val="2"/>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61</w:t>
            </w:r>
          </w:p>
        </w:tc>
        <w:tc>
          <w:tcPr>
            <w:tcW w:w="1295"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1"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432" w:type="dxa"/>
            <w:tcBorders>
              <w:top w:val="nil"/>
              <w:left w:val="nil"/>
              <w:bottom w:val="single" w:color="000000" w:sz="4" w:space="0"/>
              <w:right w:val="single" w:color="000000" w:sz="8" w:space="0"/>
            </w:tcBorders>
            <w:noWrap/>
            <w:vAlign w:val="center"/>
          </w:tcPr>
          <w:p>
            <w:pPr>
              <w:jc w:val="lef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581"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30</w:t>
            </w:r>
          </w:p>
        </w:tc>
        <w:tc>
          <w:tcPr>
            <w:tcW w:w="14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62</w:t>
            </w:r>
          </w:p>
        </w:tc>
        <w:tc>
          <w:tcPr>
            <w:tcW w:w="1295"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1"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432" w:type="dxa"/>
            <w:tcBorders>
              <w:top w:val="nil"/>
              <w:left w:val="nil"/>
              <w:bottom w:val="single" w:color="000000" w:sz="4" w:space="0"/>
              <w:right w:val="single" w:color="000000" w:sz="8" w:space="0"/>
            </w:tcBorders>
            <w:noWrap/>
            <w:vAlign w:val="center"/>
          </w:tcPr>
          <w:p>
            <w:pPr>
              <w:jc w:val="lef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581"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31</w:t>
            </w:r>
          </w:p>
        </w:tc>
        <w:tc>
          <w:tcPr>
            <w:tcW w:w="14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63</w:t>
            </w:r>
          </w:p>
        </w:tc>
        <w:tc>
          <w:tcPr>
            <w:tcW w:w="1295"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1"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432" w:type="dxa"/>
            <w:tcBorders>
              <w:top w:val="nil"/>
              <w:left w:val="nil"/>
              <w:bottom w:val="single" w:color="000000" w:sz="4" w:space="0"/>
              <w:right w:val="single" w:color="000000" w:sz="8" w:space="0"/>
            </w:tcBorders>
            <w:noWrap/>
            <w:vAlign w:val="center"/>
          </w:tcPr>
          <w:p>
            <w:pPr>
              <w:jc w:val="lef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581" w:type="dxa"/>
            <w:tcBorders>
              <w:top w:val="nil"/>
              <w:left w:val="single" w:color="000000" w:sz="4" w:space="0"/>
              <w:bottom w:val="single" w:color="000000" w:sz="8"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624" w:type="dxa"/>
            <w:tcBorders>
              <w:top w:val="nil"/>
              <w:left w:val="nil"/>
              <w:bottom w:val="single" w:color="000000" w:sz="8"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32</w:t>
            </w:r>
          </w:p>
        </w:tc>
        <w:tc>
          <w:tcPr>
            <w:tcW w:w="1427" w:type="dxa"/>
            <w:tcBorders>
              <w:top w:val="nil"/>
              <w:left w:val="nil"/>
              <w:bottom w:val="single" w:color="000000" w:sz="8"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1,244,211.12</w:t>
            </w:r>
          </w:p>
        </w:tc>
        <w:tc>
          <w:tcPr>
            <w:tcW w:w="2098" w:type="dxa"/>
            <w:gridSpan w:val="2"/>
            <w:tcBorders>
              <w:top w:val="nil"/>
              <w:left w:val="nil"/>
              <w:bottom w:val="single" w:color="000000" w:sz="8"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624" w:type="dxa"/>
            <w:tcBorders>
              <w:top w:val="nil"/>
              <w:left w:val="nil"/>
              <w:bottom w:val="single" w:color="000000" w:sz="8"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64</w:t>
            </w:r>
          </w:p>
        </w:tc>
        <w:tc>
          <w:tcPr>
            <w:tcW w:w="1295" w:type="dxa"/>
            <w:gridSpan w:val="2"/>
            <w:tcBorders>
              <w:top w:val="nil"/>
              <w:left w:val="nil"/>
              <w:bottom w:val="single" w:color="000000" w:sz="8"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1,244,211.12</w:t>
            </w:r>
          </w:p>
        </w:tc>
        <w:tc>
          <w:tcPr>
            <w:tcW w:w="1219" w:type="dxa"/>
            <w:tcBorders>
              <w:top w:val="nil"/>
              <w:left w:val="nil"/>
              <w:bottom w:val="single" w:color="000000" w:sz="8" w:space="0"/>
              <w:right w:val="single" w:color="000000" w:sz="4" w:space="0"/>
            </w:tcBorders>
            <w:noWrap/>
            <w:vAlign w:val="center"/>
          </w:tcPr>
          <w:p>
            <w:pPr>
              <w:jc w:val="right"/>
              <w:rPr>
                <w:rFonts w:hint="default" w:ascii="Times New Roman" w:hAnsi="Times New Roman" w:cs="Times New Roman"/>
                <w:sz w:val="20"/>
                <w:szCs w:val="20"/>
                <w:highlight w:val="none"/>
              </w:rPr>
            </w:pPr>
          </w:p>
          <w:p>
            <w:pPr>
              <w:jc w:val="right"/>
              <w:rPr>
                <w:rFonts w:hint="default" w:ascii="Times New Roman" w:hAnsi="Times New Roman" w:cs="Times New Roman"/>
                <w:sz w:val="20"/>
                <w:szCs w:val="20"/>
                <w:highlight w:val="none"/>
              </w:rPr>
            </w:pPr>
            <w:r>
              <w:rPr>
                <w:rFonts w:hint="default" w:ascii="Times New Roman" w:hAnsi="Times New Roman" w:cs="Times New Roman"/>
                <w:sz w:val="20"/>
                <w:szCs w:val="20"/>
                <w:highlight w:val="none"/>
              </w:rPr>
              <w:t>190,115.88</w:t>
            </w:r>
          </w:p>
          <w:p>
            <w:pPr>
              <w:jc w:val="right"/>
              <w:rPr>
                <w:rFonts w:hint="default" w:ascii="Times New Roman" w:hAnsi="Times New Roman" w:eastAsia="宋体" w:cs="Times New Roman"/>
                <w:i w:val="0"/>
                <w:iCs w:val="0"/>
                <w:color w:val="000000"/>
                <w:sz w:val="20"/>
                <w:szCs w:val="20"/>
                <w:highlight w:val="none"/>
                <w:u w:val="none"/>
              </w:rPr>
            </w:pPr>
          </w:p>
        </w:tc>
        <w:tc>
          <w:tcPr>
            <w:tcW w:w="1481" w:type="dxa"/>
            <w:tcBorders>
              <w:top w:val="nil"/>
              <w:left w:val="nil"/>
              <w:bottom w:val="single" w:color="000000" w:sz="8"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1,054,095.23</w:t>
            </w:r>
          </w:p>
        </w:tc>
        <w:tc>
          <w:tcPr>
            <w:tcW w:w="432" w:type="dxa"/>
            <w:tcBorders>
              <w:top w:val="nil"/>
              <w:left w:val="nil"/>
              <w:bottom w:val="single" w:color="000000" w:sz="8"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0781" w:type="dxa"/>
            <w:gridSpan w:val="11"/>
            <w:tcBorders>
              <w:top w:val="nil"/>
              <w:left w:val="nil"/>
              <w:bottom w:val="nil"/>
              <w:right w:val="nil"/>
            </w:tcBorders>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注：本表反映部门本年度一般公共预算财政拨款、政府性基金预算财政拨款和国有资本经营预算财政拨款的总收支和年末结转结余情况。</w:t>
            </w:r>
          </w:p>
        </w:tc>
      </w:tr>
    </w:tbl>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8697" w:type="dxa"/>
        <w:tblInd w:w="-65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239"/>
        <w:gridCol w:w="1329"/>
        <w:gridCol w:w="705"/>
        <w:gridCol w:w="1305"/>
        <w:gridCol w:w="1366"/>
        <w:gridCol w:w="645"/>
        <w:gridCol w:w="2108"/>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57" w:hRule="atLeast"/>
        </w:trPr>
        <w:tc>
          <w:tcPr>
            <w:tcW w:w="8697" w:type="dxa"/>
            <w:gridSpan w:val="7"/>
            <w:tcBorders>
              <w:top w:val="nil"/>
              <w:left w:val="nil"/>
              <w:bottom w:val="nil"/>
              <w:right w:val="nil"/>
            </w:tcBorders>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一般公共预算财政拨款支出决算表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29" w:hRule="atLeast"/>
        </w:trPr>
        <w:tc>
          <w:tcPr>
            <w:tcW w:w="8697" w:type="dxa"/>
            <w:gridSpan w:val="7"/>
            <w:tcBorders>
              <w:top w:val="nil"/>
              <w:left w:val="nil"/>
              <w:bottom w:val="nil"/>
              <w:right w:val="nil"/>
            </w:tcBorders>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方正仿宋_GB2312" w:cs="Times New Roman"/>
                <w:i w:val="0"/>
                <w:iCs w:val="0"/>
                <w:color w:val="000000"/>
                <w:kern w:val="0"/>
                <w:sz w:val="20"/>
                <w:szCs w:val="20"/>
                <w:highlight w:val="none"/>
                <w:u w:val="none"/>
                <w:lang w:val="en-US" w:eastAsia="zh-CN" w:bidi="ar"/>
              </w:rPr>
              <w:t>05</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29" w:hRule="atLeast"/>
        </w:trPr>
        <w:tc>
          <w:tcPr>
            <w:tcW w:w="3273" w:type="dxa"/>
            <w:gridSpan w:val="3"/>
            <w:tcBorders>
              <w:top w:val="nil"/>
              <w:left w:val="nil"/>
              <w:bottom w:val="single" w:color="auto" w:sz="4" w:space="0"/>
              <w:right w:val="nil"/>
            </w:tcBorders>
            <w:noWrap/>
            <w:vAlign w:val="bottom"/>
          </w:tcPr>
          <w:p>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编制部门：石家庄市交通运输局</w:t>
            </w:r>
          </w:p>
        </w:tc>
        <w:tc>
          <w:tcPr>
            <w:tcW w:w="2671" w:type="dxa"/>
            <w:gridSpan w:val="2"/>
            <w:tcBorders>
              <w:top w:val="nil"/>
              <w:left w:val="nil"/>
              <w:bottom w:val="single" w:color="auto" w:sz="4" w:space="0"/>
              <w:right w:val="nil"/>
            </w:tcBorders>
            <w:noWrap/>
            <w:vAlign w:val="bottom"/>
          </w:tcPr>
          <w:p>
            <w:pPr>
              <w:keepNext w:val="0"/>
              <w:keepLines w:val="0"/>
              <w:widowControl/>
              <w:suppressLineNumbers w:val="0"/>
              <w:jc w:val="center"/>
              <w:textAlignment w:val="bottom"/>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i w:val="0"/>
                <w:iCs w:val="0"/>
                <w:color w:val="000000"/>
                <w:kern w:val="0"/>
                <w:sz w:val="20"/>
                <w:szCs w:val="20"/>
                <w:highlight w:val="none"/>
                <w:u w:val="none"/>
                <w:lang w:val="en-US" w:eastAsia="zh-CN" w:bidi="ar"/>
              </w:rPr>
              <w:t>202</w:t>
            </w:r>
            <w:r>
              <w:rPr>
                <w:rFonts w:hint="eastAsia" w:ascii="Times New Roman" w:hAnsi="Times New Roman"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2753" w:type="dxa"/>
            <w:gridSpan w:val="2"/>
            <w:tcBorders>
              <w:top w:val="nil"/>
              <w:left w:val="nil"/>
              <w:bottom w:val="single" w:color="auto" w:sz="4" w:space="0"/>
              <w:right w:val="nil"/>
            </w:tcBorders>
            <w:noWrap/>
            <w:vAlign w:val="bottom"/>
          </w:tcPr>
          <w:p>
            <w:pPr>
              <w:keepNext w:val="0"/>
              <w:keepLines w:val="0"/>
              <w:widowControl/>
              <w:suppressLineNumbers w:val="0"/>
              <w:jc w:val="right"/>
              <w:textAlignment w:val="bottom"/>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2568" w:type="dxa"/>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6129" w:type="dxa"/>
            <w:gridSpan w:val="5"/>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69" w:hRule="atLeast"/>
        </w:trPr>
        <w:tc>
          <w:tcPr>
            <w:tcW w:w="1239" w:type="dxa"/>
            <w:vMerge w:val="restart"/>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科目代码</w:t>
            </w:r>
          </w:p>
        </w:tc>
        <w:tc>
          <w:tcPr>
            <w:tcW w:w="1329" w:type="dxa"/>
            <w:vMerge w:val="restart"/>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2010" w:type="dxa"/>
            <w:gridSpan w:val="2"/>
            <w:vMerge w:val="restart"/>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小计</w:t>
            </w:r>
          </w:p>
        </w:tc>
        <w:tc>
          <w:tcPr>
            <w:tcW w:w="2011" w:type="dxa"/>
            <w:gridSpan w:val="2"/>
            <w:vMerge w:val="restart"/>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2108" w:type="dxa"/>
            <w:vMerge w:val="restart"/>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46" w:hRule="atLeast"/>
        </w:trPr>
        <w:tc>
          <w:tcPr>
            <w:tcW w:w="1239" w:type="dxa"/>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329" w:type="dxa"/>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2010" w:type="dxa"/>
            <w:gridSpan w:val="2"/>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2011" w:type="dxa"/>
            <w:gridSpan w:val="2"/>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2108" w:type="dxa"/>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69" w:hRule="atLeast"/>
        </w:trPr>
        <w:tc>
          <w:tcPr>
            <w:tcW w:w="1239" w:type="dxa"/>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329" w:type="dxa"/>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2010" w:type="dxa"/>
            <w:gridSpan w:val="2"/>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2011" w:type="dxa"/>
            <w:gridSpan w:val="2"/>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2108" w:type="dxa"/>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69" w:hRule="atLeast"/>
        </w:trPr>
        <w:tc>
          <w:tcPr>
            <w:tcW w:w="2568" w:type="dxa"/>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1</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2</w:t>
            </w:r>
          </w:p>
        </w:tc>
        <w:tc>
          <w:tcPr>
            <w:tcW w:w="2108"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69" w:hRule="atLeast"/>
        </w:trPr>
        <w:tc>
          <w:tcPr>
            <w:tcW w:w="2568" w:type="dxa"/>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186,266.56</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15,368.22</w:t>
            </w:r>
          </w:p>
        </w:tc>
        <w:tc>
          <w:tcPr>
            <w:tcW w:w="2108"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170,898.34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61" w:hRule="atLeast"/>
        </w:trPr>
        <w:tc>
          <w:tcPr>
            <w:tcW w:w="123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w:t>
            </w:r>
          </w:p>
        </w:tc>
        <w:tc>
          <w:tcPr>
            <w:tcW w:w="132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社会保障和就业支出</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3,753.55</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3,753.55</w:t>
            </w:r>
          </w:p>
        </w:tc>
        <w:tc>
          <w:tcPr>
            <w:tcW w:w="2108"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61" w:hRule="atLeast"/>
        </w:trPr>
        <w:tc>
          <w:tcPr>
            <w:tcW w:w="123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w:t>
            </w:r>
          </w:p>
        </w:tc>
        <w:tc>
          <w:tcPr>
            <w:tcW w:w="132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行政事业单位养老支出</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3,737.35</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3,737.35</w:t>
            </w:r>
          </w:p>
        </w:tc>
        <w:tc>
          <w:tcPr>
            <w:tcW w:w="2108"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61" w:hRule="atLeast"/>
        </w:trPr>
        <w:tc>
          <w:tcPr>
            <w:tcW w:w="123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2080501</w:t>
            </w:r>
          </w:p>
        </w:tc>
        <w:tc>
          <w:tcPr>
            <w:tcW w:w="132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行政单位离退休</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428.67</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428.67</w:t>
            </w:r>
          </w:p>
        </w:tc>
        <w:tc>
          <w:tcPr>
            <w:tcW w:w="2108"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61" w:hRule="atLeast"/>
        </w:trPr>
        <w:tc>
          <w:tcPr>
            <w:tcW w:w="123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2080502</w:t>
            </w:r>
          </w:p>
        </w:tc>
        <w:tc>
          <w:tcPr>
            <w:tcW w:w="132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事业单位离退休</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2,074.19</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2,074.19</w:t>
            </w:r>
          </w:p>
        </w:tc>
        <w:tc>
          <w:tcPr>
            <w:tcW w:w="2108"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61" w:hRule="atLeast"/>
        </w:trPr>
        <w:tc>
          <w:tcPr>
            <w:tcW w:w="123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2080505</w:t>
            </w:r>
          </w:p>
        </w:tc>
        <w:tc>
          <w:tcPr>
            <w:tcW w:w="132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机关事业单位基本养老保险缴费支出</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1,047.61</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1,047.61</w:t>
            </w:r>
          </w:p>
        </w:tc>
        <w:tc>
          <w:tcPr>
            <w:tcW w:w="2108"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61" w:hRule="atLeast"/>
        </w:trPr>
        <w:tc>
          <w:tcPr>
            <w:tcW w:w="123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2080506</w:t>
            </w:r>
          </w:p>
        </w:tc>
        <w:tc>
          <w:tcPr>
            <w:tcW w:w="132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机关事业单位职业年金缴费支出</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186.88</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186.88</w:t>
            </w:r>
          </w:p>
        </w:tc>
        <w:tc>
          <w:tcPr>
            <w:tcW w:w="2108"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61" w:hRule="atLeast"/>
        </w:trPr>
        <w:tc>
          <w:tcPr>
            <w:tcW w:w="123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20899</w:t>
            </w:r>
          </w:p>
        </w:tc>
        <w:tc>
          <w:tcPr>
            <w:tcW w:w="132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其他社会保障和就业支出</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16.20</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16.20</w:t>
            </w:r>
          </w:p>
        </w:tc>
        <w:tc>
          <w:tcPr>
            <w:tcW w:w="2108"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61" w:hRule="atLeast"/>
        </w:trPr>
        <w:tc>
          <w:tcPr>
            <w:tcW w:w="123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2089999</w:t>
            </w:r>
          </w:p>
        </w:tc>
        <w:tc>
          <w:tcPr>
            <w:tcW w:w="132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其他社会保障和就业支出</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16.20</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16.20</w:t>
            </w:r>
          </w:p>
        </w:tc>
        <w:tc>
          <w:tcPr>
            <w:tcW w:w="2108"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61" w:hRule="atLeast"/>
        </w:trPr>
        <w:tc>
          <w:tcPr>
            <w:tcW w:w="123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w:t>
            </w:r>
          </w:p>
        </w:tc>
        <w:tc>
          <w:tcPr>
            <w:tcW w:w="132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卫生健康支出</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771.12</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762.12</w:t>
            </w:r>
          </w:p>
        </w:tc>
        <w:tc>
          <w:tcPr>
            <w:tcW w:w="2108"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61" w:hRule="atLeast"/>
        </w:trPr>
        <w:tc>
          <w:tcPr>
            <w:tcW w:w="123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21004</w:t>
            </w:r>
          </w:p>
        </w:tc>
        <w:tc>
          <w:tcPr>
            <w:tcW w:w="132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公共卫生</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9.00</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108"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61" w:hRule="atLeast"/>
        </w:trPr>
        <w:tc>
          <w:tcPr>
            <w:tcW w:w="123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2100410</w:t>
            </w:r>
          </w:p>
        </w:tc>
        <w:tc>
          <w:tcPr>
            <w:tcW w:w="132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突发公共卫生事件应急处置</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9.00</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108"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61" w:hRule="atLeast"/>
        </w:trPr>
        <w:tc>
          <w:tcPr>
            <w:tcW w:w="123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w:t>
            </w:r>
          </w:p>
        </w:tc>
        <w:tc>
          <w:tcPr>
            <w:tcW w:w="132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行政事业单位医疗</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762.12</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762.12</w:t>
            </w:r>
          </w:p>
        </w:tc>
        <w:tc>
          <w:tcPr>
            <w:tcW w:w="2108"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61" w:hRule="atLeast"/>
        </w:trPr>
        <w:tc>
          <w:tcPr>
            <w:tcW w:w="123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2101101</w:t>
            </w:r>
          </w:p>
        </w:tc>
        <w:tc>
          <w:tcPr>
            <w:tcW w:w="132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行政单位医疗</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45.43</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45.43</w:t>
            </w:r>
          </w:p>
        </w:tc>
        <w:tc>
          <w:tcPr>
            <w:tcW w:w="2108"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61" w:hRule="atLeast"/>
        </w:trPr>
        <w:tc>
          <w:tcPr>
            <w:tcW w:w="123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2101102</w:t>
            </w:r>
          </w:p>
        </w:tc>
        <w:tc>
          <w:tcPr>
            <w:tcW w:w="132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事业单位医疗</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396.54</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396.54</w:t>
            </w:r>
          </w:p>
        </w:tc>
        <w:tc>
          <w:tcPr>
            <w:tcW w:w="2108"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61" w:hRule="atLeast"/>
        </w:trPr>
        <w:tc>
          <w:tcPr>
            <w:tcW w:w="123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2101103</w:t>
            </w:r>
          </w:p>
        </w:tc>
        <w:tc>
          <w:tcPr>
            <w:tcW w:w="132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公务员医疗补助</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38.46</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38.46</w:t>
            </w:r>
          </w:p>
        </w:tc>
        <w:tc>
          <w:tcPr>
            <w:tcW w:w="2108"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61" w:hRule="atLeast"/>
        </w:trPr>
        <w:tc>
          <w:tcPr>
            <w:tcW w:w="123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2101199</w:t>
            </w:r>
          </w:p>
        </w:tc>
        <w:tc>
          <w:tcPr>
            <w:tcW w:w="132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其他行政事业单位医疗支出</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281.69</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281.69</w:t>
            </w:r>
          </w:p>
        </w:tc>
        <w:tc>
          <w:tcPr>
            <w:tcW w:w="2108"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61" w:hRule="atLeast"/>
        </w:trPr>
        <w:tc>
          <w:tcPr>
            <w:tcW w:w="123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w:t>
            </w:r>
          </w:p>
        </w:tc>
        <w:tc>
          <w:tcPr>
            <w:tcW w:w="132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城乡社区支出</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91,702.41</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108"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91,702.41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61" w:hRule="atLeast"/>
        </w:trPr>
        <w:tc>
          <w:tcPr>
            <w:tcW w:w="123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21203</w:t>
            </w:r>
          </w:p>
        </w:tc>
        <w:tc>
          <w:tcPr>
            <w:tcW w:w="132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城乡社区公共设施</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9,702.41</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108"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9,702.41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61" w:hRule="atLeast"/>
        </w:trPr>
        <w:tc>
          <w:tcPr>
            <w:tcW w:w="123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2120399</w:t>
            </w:r>
          </w:p>
        </w:tc>
        <w:tc>
          <w:tcPr>
            <w:tcW w:w="132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其他城乡社区公共设施支出</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9,702.41</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108"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9,702.41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61" w:hRule="atLeast"/>
        </w:trPr>
        <w:tc>
          <w:tcPr>
            <w:tcW w:w="123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21299</w:t>
            </w:r>
          </w:p>
        </w:tc>
        <w:tc>
          <w:tcPr>
            <w:tcW w:w="132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其他城乡社区支出</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82,000.00</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108"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82,000.00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61" w:hRule="atLeast"/>
        </w:trPr>
        <w:tc>
          <w:tcPr>
            <w:tcW w:w="123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2129999</w:t>
            </w:r>
          </w:p>
        </w:tc>
        <w:tc>
          <w:tcPr>
            <w:tcW w:w="132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其他城乡社区支出</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82,000.00</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108"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82,000.00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61" w:hRule="atLeast"/>
        </w:trPr>
        <w:tc>
          <w:tcPr>
            <w:tcW w:w="123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214</w:t>
            </w:r>
          </w:p>
        </w:tc>
        <w:tc>
          <w:tcPr>
            <w:tcW w:w="132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交通运输支出</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68,666.01</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9,887.81</w:t>
            </w:r>
          </w:p>
        </w:tc>
        <w:tc>
          <w:tcPr>
            <w:tcW w:w="2108"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58,778.20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61" w:hRule="atLeast"/>
        </w:trPr>
        <w:tc>
          <w:tcPr>
            <w:tcW w:w="123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21401</w:t>
            </w:r>
          </w:p>
        </w:tc>
        <w:tc>
          <w:tcPr>
            <w:tcW w:w="132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公路水路运输</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47,924.99</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9,768.03</w:t>
            </w:r>
          </w:p>
        </w:tc>
        <w:tc>
          <w:tcPr>
            <w:tcW w:w="2108"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38,156.96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61" w:hRule="atLeast"/>
        </w:trPr>
        <w:tc>
          <w:tcPr>
            <w:tcW w:w="123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2140101</w:t>
            </w:r>
          </w:p>
        </w:tc>
        <w:tc>
          <w:tcPr>
            <w:tcW w:w="132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行政运行</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1,263.22</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1,259.22</w:t>
            </w:r>
          </w:p>
        </w:tc>
        <w:tc>
          <w:tcPr>
            <w:tcW w:w="2108"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61" w:hRule="atLeast"/>
        </w:trPr>
        <w:tc>
          <w:tcPr>
            <w:tcW w:w="123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2140102</w:t>
            </w:r>
          </w:p>
        </w:tc>
        <w:tc>
          <w:tcPr>
            <w:tcW w:w="132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一般行政管理事务</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488.17</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108"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488.17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61" w:hRule="atLeast"/>
        </w:trPr>
        <w:tc>
          <w:tcPr>
            <w:tcW w:w="123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2140104</w:t>
            </w:r>
          </w:p>
        </w:tc>
        <w:tc>
          <w:tcPr>
            <w:tcW w:w="132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公路建设</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10,715.14</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108"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10,715.14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61" w:hRule="atLeast"/>
        </w:trPr>
        <w:tc>
          <w:tcPr>
            <w:tcW w:w="123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2140106</w:t>
            </w:r>
          </w:p>
        </w:tc>
        <w:tc>
          <w:tcPr>
            <w:tcW w:w="132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公路养护</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21,819.06</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108"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21,819.06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61" w:hRule="atLeast"/>
        </w:trPr>
        <w:tc>
          <w:tcPr>
            <w:tcW w:w="123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2140109</w:t>
            </w:r>
          </w:p>
        </w:tc>
        <w:tc>
          <w:tcPr>
            <w:tcW w:w="132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交通运输信息化建设</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46.96</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108"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46.96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61" w:hRule="atLeast"/>
        </w:trPr>
        <w:tc>
          <w:tcPr>
            <w:tcW w:w="123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2140112</w:t>
            </w:r>
          </w:p>
        </w:tc>
        <w:tc>
          <w:tcPr>
            <w:tcW w:w="132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公路运输管理</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2,102.04</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464.79</w:t>
            </w:r>
          </w:p>
        </w:tc>
        <w:tc>
          <w:tcPr>
            <w:tcW w:w="2108"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1,637.25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61" w:hRule="atLeast"/>
        </w:trPr>
        <w:tc>
          <w:tcPr>
            <w:tcW w:w="123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2140199</w:t>
            </w:r>
          </w:p>
        </w:tc>
        <w:tc>
          <w:tcPr>
            <w:tcW w:w="132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其他公路水路运输支出</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11,490.39</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8,044.02</w:t>
            </w:r>
          </w:p>
        </w:tc>
        <w:tc>
          <w:tcPr>
            <w:tcW w:w="2108"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3,446.37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61" w:hRule="atLeast"/>
        </w:trPr>
        <w:tc>
          <w:tcPr>
            <w:tcW w:w="123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21405</w:t>
            </w:r>
          </w:p>
        </w:tc>
        <w:tc>
          <w:tcPr>
            <w:tcW w:w="132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邮政业支出</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128.74</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119.78</w:t>
            </w:r>
          </w:p>
        </w:tc>
        <w:tc>
          <w:tcPr>
            <w:tcW w:w="2108"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8.96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61" w:hRule="atLeast"/>
        </w:trPr>
        <w:tc>
          <w:tcPr>
            <w:tcW w:w="123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2140504</w:t>
            </w:r>
          </w:p>
        </w:tc>
        <w:tc>
          <w:tcPr>
            <w:tcW w:w="132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行业监管</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128.74</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119.78</w:t>
            </w:r>
          </w:p>
        </w:tc>
        <w:tc>
          <w:tcPr>
            <w:tcW w:w="2108"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8.96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61" w:hRule="atLeast"/>
        </w:trPr>
        <w:tc>
          <w:tcPr>
            <w:tcW w:w="123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21499</w:t>
            </w:r>
          </w:p>
        </w:tc>
        <w:tc>
          <w:tcPr>
            <w:tcW w:w="132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其他交通运输支出</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20,612.28</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108"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20,612.28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61" w:hRule="atLeast"/>
        </w:trPr>
        <w:tc>
          <w:tcPr>
            <w:tcW w:w="123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2149901</w:t>
            </w:r>
          </w:p>
        </w:tc>
        <w:tc>
          <w:tcPr>
            <w:tcW w:w="132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公共交通运营补助</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19,812.28</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108"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19,812.28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61" w:hRule="atLeast"/>
        </w:trPr>
        <w:tc>
          <w:tcPr>
            <w:tcW w:w="123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2149999</w:t>
            </w:r>
          </w:p>
        </w:tc>
        <w:tc>
          <w:tcPr>
            <w:tcW w:w="132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其他交通运输支出</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800.00</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108"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800.00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61" w:hRule="atLeast"/>
        </w:trPr>
        <w:tc>
          <w:tcPr>
            <w:tcW w:w="123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w:t>
            </w:r>
          </w:p>
        </w:tc>
        <w:tc>
          <w:tcPr>
            <w:tcW w:w="132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住房保障支出</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964.74</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964.74</w:t>
            </w:r>
          </w:p>
        </w:tc>
        <w:tc>
          <w:tcPr>
            <w:tcW w:w="2108"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61" w:hRule="atLeast"/>
        </w:trPr>
        <w:tc>
          <w:tcPr>
            <w:tcW w:w="123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w:t>
            </w:r>
          </w:p>
        </w:tc>
        <w:tc>
          <w:tcPr>
            <w:tcW w:w="132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住房改革支出</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964.74</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964.74</w:t>
            </w:r>
          </w:p>
        </w:tc>
        <w:tc>
          <w:tcPr>
            <w:tcW w:w="2108"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61" w:hRule="atLeast"/>
        </w:trPr>
        <w:tc>
          <w:tcPr>
            <w:tcW w:w="123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2210201</w:t>
            </w:r>
          </w:p>
        </w:tc>
        <w:tc>
          <w:tcPr>
            <w:tcW w:w="132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住房公积金</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964.74</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964.74</w:t>
            </w:r>
          </w:p>
        </w:tc>
        <w:tc>
          <w:tcPr>
            <w:tcW w:w="2108"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61" w:hRule="atLeast"/>
        </w:trPr>
        <w:tc>
          <w:tcPr>
            <w:tcW w:w="123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224</w:t>
            </w:r>
          </w:p>
        </w:tc>
        <w:tc>
          <w:tcPr>
            <w:tcW w:w="132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灾害防治及应急管理支出</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20,408.73</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108"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20,408.73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61" w:hRule="atLeast"/>
        </w:trPr>
        <w:tc>
          <w:tcPr>
            <w:tcW w:w="123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22407</w:t>
            </w:r>
          </w:p>
        </w:tc>
        <w:tc>
          <w:tcPr>
            <w:tcW w:w="132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自然灾害救灾及恢复重建支出</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20,408.73</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108"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20,408.73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61" w:hRule="atLeast"/>
        </w:trPr>
        <w:tc>
          <w:tcPr>
            <w:tcW w:w="123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2240704</w:t>
            </w:r>
          </w:p>
        </w:tc>
        <w:tc>
          <w:tcPr>
            <w:tcW w:w="132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自然灾害灾后重建补助</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20,408.73</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108"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20,408.73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61" w:hRule="atLeast"/>
        </w:trPr>
        <w:tc>
          <w:tcPr>
            <w:tcW w:w="8697" w:type="dxa"/>
            <w:gridSpan w:val="7"/>
            <w:tcBorders>
              <w:top w:val="single" w:color="auto" w:sz="4" w:space="0"/>
              <w:left w:val="nil"/>
              <w:bottom w:val="nil"/>
              <w:right w:val="nil"/>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注：本表反映部门本年度一般公共预算财政拨款支出情况。</w:t>
            </w:r>
          </w:p>
        </w:tc>
      </w:tr>
    </w:tbl>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11338" w:type="dxa"/>
        <w:tblInd w:w="-161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964"/>
        <w:gridCol w:w="1814"/>
        <w:gridCol w:w="1020"/>
        <w:gridCol w:w="964"/>
        <w:gridCol w:w="438"/>
        <w:gridCol w:w="1376"/>
        <w:gridCol w:w="587"/>
        <w:gridCol w:w="377"/>
        <w:gridCol w:w="964"/>
        <w:gridCol w:w="1814"/>
        <w:gridCol w:w="102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24" w:hRule="atLeast"/>
        </w:trPr>
        <w:tc>
          <w:tcPr>
            <w:tcW w:w="11338" w:type="dxa"/>
            <w:gridSpan w:val="11"/>
            <w:tcBorders>
              <w:top w:val="nil"/>
              <w:left w:val="nil"/>
              <w:bottom w:val="nil"/>
              <w:right w:val="nil"/>
            </w:tcBorders>
            <w:noWrap/>
            <w:vAlign w:val="bottom"/>
          </w:tcPr>
          <w:p>
            <w:pPr>
              <w:keepNext w:val="0"/>
              <w:keepLines w:val="0"/>
              <w:widowControl/>
              <w:suppressLineNumbers w:val="0"/>
              <w:jc w:val="center"/>
              <w:textAlignment w:val="bottom"/>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一般公共预算财政拨款基本支出决算明细表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0" w:hRule="atLeast"/>
        </w:trPr>
        <w:tc>
          <w:tcPr>
            <w:tcW w:w="11338" w:type="dxa"/>
            <w:gridSpan w:val="11"/>
            <w:tcBorders>
              <w:top w:val="nil"/>
              <w:left w:val="nil"/>
              <w:bottom w:val="nil"/>
              <w:right w:val="nil"/>
            </w:tcBorders>
            <w:noWrap/>
            <w:vAlign w:val="bottom"/>
          </w:tcPr>
          <w:p>
            <w:pPr>
              <w:keepNext w:val="0"/>
              <w:keepLines w:val="0"/>
              <w:widowControl/>
              <w:suppressLineNumbers w:val="0"/>
              <w:jc w:val="right"/>
              <w:textAlignment w:val="bottom"/>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公开</w:t>
            </w:r>
            <w:r>
              <w:rPr>
                <w:rFonts w:hint="default" w:ascii="Times New Roman" w:hAnsi="Times New Roman" w:eastAsia="方正仿宋_GB2312" w:cs="Times New Roman"/>
                <w:i w:val="0"/>
                <w:iCs w:val="0"/>
                <w:color w:val="000000"/>
                <w:kern w:val="0"/>
                <w:sz w:val="18"/>
                <w:szCs w:val="18"/>
                <w:highlight w:val="none"/>
                <w:u w:val="none"/>
                <w:lang w:val="en-US" w:eastAsia="zh-CN" w:bidi="ar"/>
              </w:rPr>
              <w:t>06</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90" w:hRule="atLeast"/>
        </w:trPr>
        <w:tc>
          <w:tcPr>
            <w:tcW w:w="5200" w:type="dxa"/>
            <w:gridSpan w:val="5"/>
            <w:tcBorders>
              <w:top w:val="nil"/>
              <w:left w:val="nil"/>
              <w:bottom w:val="single" w:color="auto" w:sz="4" w:space="0"/>
              <w:right w:val="nil"/>
            </w:tcBorders>
            <w:noWrap/>
            <w:vAlign w:val="bottom"/>
          </w:tcPr>
          <w:p>
            <w:pP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部门：石家庄市交通运输局 </w:t>
            </w:r>
            <w:r>
              <w:rPr>
                <w:rFonts w:hint="eastAsia" w:asciiTheme="minorEastAsia" w:hAnsiTheme="minorEastAsia" w:cstheme="minorEastAsia"/>
                <w:i w:val="0"/>
                <w:iCs w:val="0"/>
                <w:color w:val="000000"/>
                <w:kern w:val="0"/>
                <w:sz w:val="18"/>
                <w:szCs w:val="18"/>
                <w:highlight w:val="none"/>
                <w:u w:val="none"/>
                <w:lang w:val="en-US" w:eastAsia="zh-CN" w:bidi="ar"/>
              </w:rPr>
              <w:t xml:space="preserve">                                                                   </w:t>
            </w:r>
          </w:p>
        </w:tc>
        <w:tc>
          <w:tcPr>
            <w:tcW w:w="1963" w:type="dxa"/>
            <w:gridSpan w:val="2"/>
            <w:tcBorders>
              <w:top w:val="nil"/>
              <w:left w:val="nil"/>
              <w:bottom w:val="single" w:color="auto" w:sz="4" w:space="0"/>
              <w:right w:val="nil"/>
            </w:tcBorders>
            <w:noWrap/>
            <w:vAlign w:val="bottom"/>
          </w:tcPr>
          <w:p>
            <w:pPr>
              <w:jc w:val="center"/>
              <w:rPr>
                <w:rFonts w:hint="default" w:asciiTheme="minorEastAsia" w:hAnsiTheme="minorEastAsia" w:eastAsiaTheme="minorEastAsia" w:cstheme="minorEastAsia"/>
                <w:i w:val="0"/>
                <w:iCs w:val="0"/>
                <w:color w:val="000000"/>
                <w:kern w:val="0"/>
                <w:sz w:val="18"/>
                <w:szCs w:val="18"/>
                <w:highlight w:val="none"/>
                <w:u w:val="none"/>
                <w:lang w:val="en-US" w:eastAsia="zh-CN" w:bidi="ar"/>
              </w:rPr>
            </w:pPr>
            <w:r>
              <w:rPr>
                <w:rFonts w:hint="eastAsia" w:asciiTheme="minorEastAsia" w:hAnsiTheme="minorEastAsia" w:cstheme="minorEastAsia"/>
                <w:i w:val="0"/>
                <w:iCs w:val="0"/>
                <w:color w:val="000000"/>
                <w:kern w:val="0"/>
                <w:sz w:val="18"/>
                <w:szCs w:val="18"/>
                <w:highlight w:val="none"/>
                <w:u w:val="none"/>
                <w:lang w:val="en-US" w:eastAsia="zh-CN" w:bidi="ar"/>
              </w:rPr>
              <w:t>2024</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年度</w:t>
            </w:r>
          </w:p>
        </w:tc>
        <w:tc>
          <w:tcPr>
            <w:tcW w:w="4175" w:type="dxa"/>
            <w:gridSpan w:val="4"/>
            <w:tcBorders>
              <w:top w:val="nil"/>
              <w:left w:val="nil"/>
              <w:bottom w:val="single" w:color="auto" w:sz="4" w:space="0"/>
              <w:right w:val="nil"/>
            </w:tcBorders>
            <w:noWrap/>
            <w:vAlign w:val="bottom"/>
          </w:tcPr>
          <w:p>
            <w:pPr>
              <w:jc w:val="right"/>
              <w:rPr>
                <w:rFonts w:hint="default" w:asciiTheme="minorEastAsia" w:hAnsiTheme="minorEastAsia" w:eastAsiaTheme="minorEastAsia" w:cstheme="minorEastAsia"/>
                <w:i w:val="0"/>
                <w:iCs w:val="0"/>
                <w:color w:val="000000"/>
                <w:kern w:val="0"/>
                <w:sz w:val="18"/>
                <w:szCs w:val="18"/>
                <w:highlight w:val="none"/>
                <w:u w:val="none"/>
                <w:lang w:val="en-US" w:eastAsia="zh-CN" w:bidi="ar"/>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3798" w:type="dxa"/>
            <w:gridSpan w:val="3"/>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人员经费</w:t>
            </w:r>
          </w:p>
        </w:tc>
        <w:tc>
          <w:tcPr>
            <w:tcW w:w="7540" w:type="dxa"/>
            <w:gridSpan w:val="8"/>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公用经费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科目代码</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1020"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c>
          <w:tcPr>
            <w:tcW w:w="964" w:type="dxa"/>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eastAsia="zh-CN"/>
              </w:rPr>
            </w:pPr>
            <w:r>
              <w:rPr>
                <w:rFonts w:hint="eastAsia" w:ascii="方正仿宋_GB2312" w:hAnsi="方正仿宋_GB2312" w:eastAsia="方正仿宋_GB2312" w:cs="方正仿宋_GB2312"/>
                <w:i w:val="0"/>
                <w:iCs w:val="0"/>
                <w:color w:val="000000"/>
                <w:sz w:val="18"/>
                <w:szCs w:val="18"/>
                <w:highlight w:val="none"/>
                <w:u w:val="none"/>
                <w:lang w:val="en-US" w:eastAsia="zh-CN"/>
              </w:rPr>
              <w:t>科目代码</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c>
          <w:tcPr>
            <w:tcW w:w="964" w:type="dxa"/>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eastAsia="zh-CN"/>
              </w:rPr>
            </w:pPr>
            <w:r>
              <w:rPr>
                <w:rFonts w:hint="eastAsia" w:ascii="方正仿宋_GB2312" w:hAnsi="方正仿宋_GB2312" w:eastAsia="方正仿宋_GB2312" w:cs="方正仿宋_GB2312"/>
                <w:i w:val="0"/>
                <w:iCs w:val="0"/>
                <w:color w:val="000000"/>
                <w:sz w:val="18"/>
                <w:szCs w:val="18"/>
                <w:highlight w:val="none"/>
                <w:u w:val="none"/>
                <w:lang w:val="en-US" w:eastAsia="zh-CN"/>
              </w:rPr>
              <w:t>科目代码</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1020"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工资福利支出</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11,551.30</w:t>
            </w: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商品和服务支出</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1,145.48</w:t>
            </w: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债务利息及费用支出</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30101</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基本工资</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3,055.10</w:t>
            </w: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30201</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办公费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120.62</w:t>
            </w: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30701</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国内债务付息</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30102</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津贴补贴</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1,094.90</w:t>
            </w: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30202</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印刷费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8.71</w:t>
            </w: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30702</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国外债务付息</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30103</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奖金</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2,494.85</w:t>
            </w: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30203</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咨询费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资本性支出</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30106</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伙食补助费</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30204</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手续费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0.01</w:t>
            </w: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31001</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房屋建筑物购建</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30107</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绩效工资</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1,768.58</w:t>
            </w: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30205</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水费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15.37</w:t>
            </w: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31002</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办公设备购置</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30108</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机关事业单位基本养老保险缴费</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1,061.07</w:t>
            </w: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30206</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电费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25.31</w:t>
            </w: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31003</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专用设备购置</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30109</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职业年金缴费</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186.88</w:t>
            </w: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30207</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邮电费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53.65</w:t>
            </w: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31005</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基础设施建设</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30110</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职工基本医疗保险缴费</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457.92</w:t>
            </w: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30208</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取暖费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136.33</w:t>
            </w: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31006</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大型修缮</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30111</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公务员医疗补助缴费</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148.90</w:t>
            </w: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30209</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物业管理费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21.55</w:t>
            </w: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31007</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信息网络及软件购置更新</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30112</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其他社会保障缴费</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185.95</w:t>
            </w: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30211</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差旅费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114.79</w:t>
            </w: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31008</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物资储备</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30113</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住房公积金</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976.29</w:t>
            </w: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30212</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因公出国（境）费用</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31009</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土地补偿</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30114</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医疗费</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30213</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维修（护）费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56.61</w:t>
            </w: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31010</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安置补助</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30199</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其他工资福利支出</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120.86</w:t>
            </w: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30214</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租赁费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31011</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地上附着物和青苗补偿</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对个人和家庭的补助</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2,671.45</w:t>
            </w: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30215</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会议费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0.20</w:t>
            </w: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31012</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拆迁补偿</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30301</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离休费</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27.89</w:t>
            </w: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30216</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培训费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21.03</w:t>
            </w: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31013</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30302</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退休费</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2,501.02</w:t>
            </w: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30217</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31019</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其他交通工具购置</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30303</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退职（役）费</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8.59</w:t>
            </w: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30218</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专用材料费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31021</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文物和陈列品购置</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30304</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抚恤金</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90.07</w:t>
            </w: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30224</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被装购置费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31022</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无形资产购置</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30305</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生活补助</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39.07</w:t>
            </w: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30225</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专用燃料费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31099</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其他资本性支出</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30306</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救济费</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30226</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劳务费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对企业补助</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30307</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医疗费补助</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30227</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委托业务费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0.62</w:t>
            </w: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31201</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资本金注入</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30308</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助学金</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30228</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工会经费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106.55</w:t>
            </w: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31203</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政府投资基金股权投资</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30309</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奖励金</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4.80</w:t>
            </w: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30229</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福利费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107.24</w:t>
            </w: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31204</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费用补贴</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30310</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个人农业生产补贴</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30231</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188.75</w:t>
            </w: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31205</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利息补贴</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30311</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代缴社会保险费</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30239</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其他交通费用</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51.90</w:t>
            </w: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31299</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其他对企业补助</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30399</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其他对个人和家庭的补助</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30240</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税金及附加费用</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其他支出</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jc w:val="center"/>
              <w:rPr>
                <w:rFonts w:hint="eastAsia" w:asciiTheme="minorEastAsia" w:hAnsiTheme="minorEastAsia" w:eastAsiaTheme="minorEastAsia" w:cstheme="minorEastAsia"/>
                <w:i w:val="0"/>
                <w:iCs w:val="0"/>
                <w:color w:val="000000"/>
                <w:sz w:val="18"/>
                <w:szCs w:val="18"/>
                <w:highlight w:val="none"/>
                <w:u w:val="none"/>
              </w:rPr>
            </w:pPr>
          </w:p>
        </w:tc>
        <w:tc>
          <w:tcPr>
            <w:tcW w:w="1814"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1020" w:type="dxa"/>
            <w:tcBorders>
              <w:top w:val="single" w:color="auto" w:sz="4" w:space="0"/>
              <w:left w:val="single" w:color="auto" w:sz="4" w:space="0"/>
              <w:bottom w:val="single" w:color="auto" w:sz="4" w:space="0"/>
              <w:right w:val="single" w:color="auto" w:sz="4" w:space="0"/>
            </w:tcBorders>
            <w:noWrap/>
            <w:vAlign w:val="center"/>
          </w:tcPr>
          <w:p>
            <w:pPr>
              <w:jc w:val="lef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30299</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其他商品和服务支出</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116.23</w:t>
            </w: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39907</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国家赔偿费用支出</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jc w:val="center"/>
              <w:rPr>
                <w:rFonts w:hint="eastAsia" w:asciiTheme="minorEastAsia" w:hAnsiTheme="minorEastAsia" w:eastAsiaTheme="minorEastAsia" w:cstheme="minorEastAsia"/>
                <w:i w:val="0"/>
                <w:iCs w:val="0"/>
                <w:color w:val="000000"/>
                <w:sz w:val="18"/>
                <w:szCs w:val="18"/>
                <w:highlight w:val="none"/>
                <w:u w:val="none"/>
              </w:rPr>
            </w:pPr>
          </w:p>
        </w:tc>
        <w:tc>
          <w:tcPr>
            <w:tcW w:w="1814"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1020"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lef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39908</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对民间非营利组织和群众性自治组织补贴</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jc w:val="center"/>
              <w:rPr>
                <w:rFonts w:hint="eastAsia" w:asciiTheme="minorEastAsia" w:hAnsiTheme="minorEastAsia" w:eastAsiaTheme="minorEastAsia" w:cstheme="minorEastAsia"/>
                <w:i w:val="0"/>
                <w:iCs w:val="0"/>
                <w:color w:val="000000"/>
                <w:sz w:val="18"/>
                <w:szCs w:val="18"/>
                <w:highlight w:val="none"/>
                <w:u w:val="none"/>
              </w:rPr>
            </w:pPr>
          </w:p>
        </w:tc>
        <w:tc>
          <w:tcPr>
            <w:tcW w:w="1814"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1020"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lef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39909</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经常性赠与</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jc w:val="center"/>
              <w:rPr>
                <w:rFonts w:hint="eastAsia" w:asciiTheme="minorEastAsia" w:hAnsiTheme="minorEastAsia" w:eastAsiaTheme="minorEastAsia" w:cstheme="minorEastAsia"/>
                <w:i w:val="0"/>
                <w:iCs w:val="0"/>
                <w:color w:val="000000"/>
                <w:sz w:val="18"/>
                <w:szCs w:val="18"/>
                <w:highlight w:val="none"/>
                <w:u w:val="none"/>
              </w:rPr>
            </w:pPr>
          </w:p>
        </w:tc>
        <w:tc>
          <w:tcPr>
            <w:tcW w:w="1814"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1020"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lef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39910</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资本性赠与</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jc w:val="center"/>
              <w:rPr>
                <w:rFonts w:hint="eastAsia" w:asciiTheme="minorEastAsia" w:hAnsiTheme="minorEastAsia" w:eastAsiaTheme="minorEastAsia" w:cstheme="minorEastAsia"/>
                <w:i w:val="0"/>
                <w:iCs w:val="0"/>
                <w:color w:val="000000"/>
                <w:sz w:val="18"/>
                <w:szCs w:val="18"/>
                <w:highlight w:val="none"/>
                <w:u w:val="none"/>
              </w:rPr>
            </w:pPr>
          </w:p>
        </w:tc>
        <w:tc>
          <w:tcPr>
            <w:tcW w:w="1814"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1020"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lef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39999</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其他支出</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2778" w:type="dxa"/>
            <w:gridSpan w:val="2"/>
            <w:tcBorders>
              <w:top w:val="single" w:color="auto" w:sz="4" w:space="0"/>
              <w:left w:val="single" w:color="auto" w:sz="4" w:space="0"/>
              <w:bottom w:val="single" w:color="auto" w:sz="4" w:space="0"/>
              <w:right w:val="single" w:color="auto" w:sz="4" w:space="0"/>
            </w:tcBorders>
            <w:noWrap/>
            <w:vAlign w:val="center"/>
          </w:tcPr>
          <w:p>
            <w:pPr>
              <w:jc w:val="center"/>
              <w:rPr>
                <w:rFonts w:hint="default" w:ascii="Times New Roman" w:hAnsi="Times New Roman" w:cs="Times New Roman" w:eastAsiaTheme="minorEastAsia"/>
                <w:sz w:val="18"/>
                <w:szCs w:val="18"/>
                <w:highlight w:val="none"/>
                <w:lang w:val="en-US" w:eastAsia="zh-CN"/>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人员经费合计</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sz w:val="18"/>
                <w:szCs w:val="18"/>
                <w:highlight w:val="none"/>
              </w:rPr>
            </w:pPr>
            <w:r>
              <w:rPr>
                <w:rFonts w:hint="default" w:ascii="Times New Roman" w:hAnsi="Times New Roman" w:cs="Times New Roman" w:eastAsiaTheme="minorEastAsia"/>
                <w:sz w:val="18"/>
                <w:szCs w:val="18"/>
                <w:highlight w:val="none"/>
              </w:rPr>
              <w:t>14,222.75</w:t>
            </w:r>
          </w:p>
        </w:tc>
        <w:tc>
          <w:tcPr>
            <w:tcW w:w="6520" w:type="dxa"/>
            <w:gridSpan w:val="7"/>
            <w:tcBorders>
              <w:top w:val="single" w:color="auto" w:sz="4" w:space="0"/>
              <w:left w:val="single" w:color="auto" w:sz="4" w:space="0"/>
              <w:bottom w:val="single" w:color="auto" w:sz="4" w:space="0"/>
              <w:right w:val="single" w:color="auto" w:sz="4" w:space="0"/>
            </w:tcBorders>
            <w:noWrap/>
            <w:vAlign w:val="center"/>
          </w:tcPr>
          <w:p>
            <w:pPr>
              <w:jc w:val="cente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公用经费合计</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1,145.48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11338" w:type="dxa"/>
            <w:gridSpan w:val="11"/>
            <w:tcBorders>
              <w:top w:val="single" w:color="auto" w:sz="4" w:space="0"/>
              <w:left w:val="nil"/>
              <w:bottom w:val="nil"/>
              <w:right w:val="nil"/>
            </w:tcBorders>
            <w:noWrap/>
            <w:vAlign w:val="center"/>
          </w:tcPr>
          <w:p>
            <w:pPr>
              <w:keepNext w:val="0"/>
              <w:keepLines w:val="0"/>
              <w:widowControl/>
              <w:suppressLineNumbers w:val="0"/>
              <w:jc w:val="left"/>
              <w:textAlignment w:val="cente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注：本表反映部门本年度一般公共预算财政拨款基本支出明细情况。</w:t>
            </w:r>
          </w:p>
        </w:tc>
      </w:tr>
    </w:tbl>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10480" w:type="dxa"/>
        <w:tblInd w:w="-1404"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260"/>
        <w:gridCol w:w="1474"/>
        <w:gridCol w:w="1306"/>
        <w:gridCol w:w="1027"/>
        <w:gridCol w:w="1107"/>
        <w:gridCol w:w="418"/>
        <w:gridCol w:w="702"/>
        <w:gridCol w:w="1146"/>
        <w:gridCol w:w="204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50" w:hRule="atLeast"/>
        </w:trPr>
        <w:tc>
          <w:tcPr>
            <w:tcW w:w="10480" w:type="dxa"/>
            <w:gridSpan w:val="9"/>
            <w:tcBorders>
              <w:top w:val="nil"/>
              <w:left w:val="nil"/>
              <w:bottom w:val="nil"/>
              <w:right w:val="nil"/>
            </w:tcBorders>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政府性基金预算财政拨款收入支出决算表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90" w:hRule="atLeast"/>
        </w:trPr>
        <w:tc>
          <w:tcPr>
            <w:tcW w:w="10480" w:type="dxa"/>
            <w:gridSpan w:val="9"/>
            <w:tcBorders>
              <w:top w:val="nil"/>
              <w:left w:val="nil"/>
              <w:bottom w:val="nil"/>
              <w:right w:val="nil"/>
            </w:tcBorders>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宋体" w:cs="Times New Roman"/>
                <w:i w:val="0"/>
                <w:iCs w:val="0"/>
                <w:color w:val="000000"/>
                <w:kern w:val="0"/>
                <w:sz w:val="20"/>
                <w:szCs w:val="20"/>
                <w:highlight w:val="none"/>
                <w:u w:val="none"/>
                <w:lang w:val="en-US" w:eastAsia="zh-CN" w:bidi="ar"/>
              </w:rPr>
              <w:t>07</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0" w:hRule="atLeast"/>
        </w:trPr>
        <w:tc>
          <w:tcPr>
            <w:tcW w:w="4040" w:type="dxa"/>
            <w:gridSpan w:val="3"/>
            <w:tcBorders>
              <w:top w:val="nil"/>
              <w:left w:val="nil"/>
              <w:bottom w:val="single" w:color="auto" w:sz="4" w:space="0"/>
              <w:right w:val="nil"/>
            </w:tcBorders>
            <w:noWrap/>
            <w:vAlign w:val="bottom"/>
          </w:tcPr>
          <w:p>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部门：石家庄市交通运输局 </w:t>
            </w:r>
            <w:r>
              <w:rPr>
                <w:rFonts w:hint="eastAsia" w:ascii="宋体" w:hAnsi="宋体" w:eastAsia="宋体" w:cs="宋体"/>
                <w:i w:val="0"/>
                <w:iCs w:val="0"/>
                <w:color w:val="000000"/>
                <w:kern w:val="0"/>
                <w:sz w:val="20"/>
                <w:szCs w:val="20"/>
                <w:highlight w:val="none"/>
                <w:u w:val="none"/>
                <w:lang w:val="en-US" w:eastAsia="zh-CN" w:bidi="ar"/>
              </w:rPr>
              <w:t xml:space="preserve">                                                                                     </w:t>
            </w:r>
          </w:p>
        </w:tc>
        <w:tc>
          <w:tcPr>
            <w:tcW w:w="2552" w:type="dxa"/>
            <w:gridSpan w:val="3"/>
            <w:tcBorders>
              <w:top w:val="nil"/>
              <w:left w:val="nil"/>
              <w:bottom w:val="single" w:color="auto" w:sz="4" w:space="0"/>
              <w:right w:val="nil"/>
            </w:tcBorders>
            <w:noWrap/>
            <w:vAlign w:val="bottom"/>
          </w:tcPr>
          <w:p>
            <w:pPr>
              <w:keepNext w:val="0"/>
              <w:keepLines w:val="0"/>
              <w:widowControl/>
              <w:suppressLineNumbers w:val="0"/>
              <w:jc w:val="center"/>
              <w:textAlignment w:val="bottom"/>
              <w:rPr>
                <w:rFonts w:hint="default" w:ascii="宋体" w:hAnsi="宋体" w:eastAsia="宋体" w:cs="宋体"/>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202</w:t>
            </w:r>
            <w:r>
              <w:rPr>
                <w:rFonts w:hint="eastAsia" w:ascii="Times New Roman" w:hAnsi="Times New Roman" w:eastAsia="宋体"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3888" w:type="dxa"/>
            <w:gridSpan w:val="3"/>
            <w:tcBorders>
              <w:top w:val="nil"/>
              <w:left w:val="nil"/>
              <w:bottom w:val="single" w:color="auto" w:sz="4" w:space="0"/>
              <w:right w:val="nil"/>
            </w:tcBorders>
            <w:noWrap/>
            <w:vAlign w:val="bottom"/>
          </w:tcPr>
          <w:p>
            <w:pPr>
              <w:keepNext w:val="0"/>
              <w:keepLines w:val="0"/>
              <w:widowControl/>
              <w:suppressLineNumbers w:val="0"/>
              <w:jc w:val="right"/>
              <w:textAlignment w:val="bottom"/>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2734" w:type="dxa"/>
            <w:gridSpan w:val="2"/>
            <w:tcBorders>
              <w:top w:val="single" w:color="auto"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1306" w:type="dxa"/>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年初结转和结余</w:t>
            </w:r>
          </w:p>
        </w:tc>
        <w:tc>
          <w:tcPr>
            <w:tcW w:w="1027" w:type="dxa"/>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本年收入</w:t>
            </w:r>
          </w:p>
        </w:tc>
        <w:tc>
          <w:tcPr>
            <w:tcW w:w="3373" w:type="dxa"/>
            <w:gridSpan w:val="4"/>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w:t>
            </w:r>
          </w:p>
        </w:tc>
        <w:tc>
          <w:tcPr>
            <w:tcW w:w="2040" w:type="dxa"/>
            <w:vMerge w:val="restart"/>
            <w:tcBorders>
              <w:top w:val="single" w:color="auto" w:sz="4" w:space="0"/>
              <w:left w:val="nil"/>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年末结转和结余</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12" w:hRule="atLeast"/>
        </w:trPr>
        <w:tc>
          <w:tcPr>
            <w:tcW w:w="1260" w:type="dxa"/>
            <w:vMerge w:val="restart"/>
            <w:tcBorders>
              <w:top w:val="nil"/>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1474" w:type="dxa"/>
            <w:vMerge w:val="restar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1306"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07" w:type="dxa"/>
            <w:vMerge w:val="restar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小计</w:t>
            </w:r>
          </w:p>
        </w:tc>
        <w:tc>
          <w:tcPr>
            <w:tcW w:w="1120" w:type="dxa"/>
            <w:gridSpan w:val="2"/>
            <w:vMerge w:val="restar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1146" w:type="dxa"/>
            <w:vMerge w:val="restar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c>
          <w:tcPr>
            <w:tcW w:w="2040" w:type="dxa"/>
            <w:vMerge w:val="continue"/>
            <w:tcBorders>
              <w:left w:val="nil"/>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结转</w:t>
            </w:r>
          </w:p>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结余</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12" w:hRule="atLeast"/>
        </w:trPr>
        <w:tc>
          <w:tcPr>
            <w:tcW w:w="1260" w:type="dxa"/>
            <w:vMerge w:val="continue"/>
            <w:tcBorders>
              <w:top w:val="nil"/>
              <w:left w:val="single" w:color="000000" w:sz="4" w:space="0"/>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474" w:type="dxa"/>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306"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07" w:type="dxa"/>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20" w:type="dxa"/>
            <w:gridSpan w:val="2"/>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46" w:type="dxa"/>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2040" w:type="dxa"/>
            <w:vMerge w:val="continue"/>
            <w:tcBorders>
              <w:left w:val="nil"/>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12" w:hRule="atLeast"/>
        </w:trPr>
        <w:tc>
          <w:tcPr>
            <w:tcW w:w="1260" w:type="dxa"/>
            <w:vMerge w:val="continue"/>
            <w:tcBorders>
              <w:top w:val="nil"/>
              <w:left w:val="single" w:color="000000" w:sz="4" w:space="0"/>
              <w:bottom w:val="single" w:color="auto"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474" w:type="dxa"/>
            <w:vMerge w:val="continue"/>
            <w:tcBorders>
              <w:top w:val="nil"/>
              <w:left w:val="nil"/>
              <w:bottom w:val="single" w:color="auto"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306"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07" w:type="dxa"/>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20" w:type="dxa"/>
            <w:gridSpan w:val="2"/>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46" w:type="dxa"/>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2040" w:type="dxa"/>
            <w:vMerge w:val="continue"/>
            <w:tcBorders>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2734" w:type="dxa"/>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1306" w:type="dxa"/>
            <w:tcBorders>
              <w:top w:val="nil"/>
              <w:left w:val="single" w:color="auto"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1</w:t>
            </w:r>
          </w:p>
        </w:tc>
        <w:tc>
          <w:tcPr>
            <w:tcW w:w="1027"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2</w:t>
            </w:r>
          </w:p>
        </w:tc>
        <w:tc>
          <w:tcPr>
            <w:tcW w:w="1107"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3</w:t>
            </w:r>
          </w:p>
        </w:tc>
        <w:tc>
          <w:tcPr>
            <w:tcW w:w="1120"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4</w:t>
            </w:r>
          </w:p>
        </w:tc>
        <w:tc>
          <w:tcPr>
            <w:tcW w:w="1146"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5</w:t>
            </w:r>
          </w:p>
        </w:tc>
        <w:tc>
          <w:tcPr>
            <w:tcW w:w="2040"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lang w:val="en-US" w:eastAsia="zh-CN"/>
              </w:rPr>
            </w:pPr>
            <w:r>
              <w:rPr>
                <w:rFonts w:hint="default" w:ascii="Times New Roman" w:hAnsi="Times New Roman" w:eastAsia="方正仿宋_GB2312" w:cs="Times New Roman"/>
                <w:i w:val="0"/>
                <w:iCs w:val="0"/>
                <w:color w:val="000000"/>
                <w:sz w:val="20"/>
                <w:szCs w:val="20"/>
                <w:highlight w:val="none"/>
                <w:u w:val="none"/>
                <w:lang w:val="en-US" w:eastAsia="zh-CN"/>
              </w:rPr>
              <w:t>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869" w:hRule="atLeast"/>
        </w:trPr>
        <w:tc>
          <w:tcPr>
            <w:tcW w:w="2734" w:type="dxa"/>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1306" w:type="dxa"/>
            <w:tcBorders>
              <w:top w:val="nil"/>
              <w:left w:val="single" w:color="auto" w:sz="4" w:space="0"/>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1,054,095.23</w:t>
            </w:r>
          </w:p>
        </w:tc>
        <w:tc>
          <w:tcPr>
            <w:tcW w:w="110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1,054,095.23</w:t>
            </w:r>
          </w:p>
        </w:tc>
        <w:tc>
          <w:tcPr>
            <w:tcW w:w="1120"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4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1,054,095.23</w:t>
            </w:r>
          </w:p>
        </w:tc>
        <w:tc>
          <w:tcPr>
            <w:tcW w:w="2040"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26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w:t>
            </w:r>
          </w:p>
        </w:tc>
        <w:tc>
          <w:tcPr>
            <w:tcW w:w="1474"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城乡社区支出</w:t>
            </w:r>
          </w:p>
        </w:tc>
        <w:tc>
          <w:tcPr>
            <w:tcW w:w="130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56,190.25</w:t>
            </w:r>
          </w:p>
        </w:tc>
        <w:tc>
          <w:tcPr>
            <w:tcW w:w="110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56,190.25</w:t>
            </w:r>
          </w:p>
        </w:tc>
        <w:tc>
          <w:tcPr>
            <w:tcW w:w="1120"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4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56,190.25</w:t>
            </w:r>
          </w:p>
        </w:tc>
        <w:tc>
          <w:tcPr>
            <w:tcW w:w="2040"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26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21208</w:t>
            </w:r>
          </w:p>
        </w:tc>
        <w:tc>
          <w:tcPr>
            <w:tcW w:w="1474"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国有土地使用权出让收入安排的支出</w:t>
            </w:r>
          </w:p>
        </w:tc>
        <w:tc>
          <w:tcPr>
            <w:tcW w:w="130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48,290.25</w:t>
            </w:r>
          </w:p>
        </w:tc>
        <w:tc>
          <w:tcPr>
            <w:tcW w:w="110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48,290.25</w:t>
            </w:r>
          </w:p>
        </w:tc>
        <w:tc>
          <w:tcPr>
            <w:tcW w:w="1120"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4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48,290.25</w:t>
            </w:r>
          </w:p>
        </w:tc>
        <w:tc>
          <w:tcPr>
            <w:tcW w:w="2040"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26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2120803</w:t>
            </w:r>
          </w:p>
        </w:tc>
        <w:tc>
          <w:tcPr>
            <w:tcW w:w="1474"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城市建设支出</w:t>
            </w:r>
          </w:p>
        </w:tc>
        <w:tc>
          <w:tcPr>
            <w:tcW w:w="130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44,579.00</w:t>
            </w:r>
          </w:p>
        </w:tc>
        <w:tc>
          <w:tcPr>
            <w:tcW w:w="110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44,579.00</w:t>
            </w:r>
          </w:p>
        </w:tc>
        <w:tc>
          <w:tcPr>
            <w:tcW w:w="1120"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4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44,579.00</w:t>
            </w:r>
          </w:p>
        </w:tc>
        <w:tc>
          <w:tcPr>
            <w:tcW w:w="2040"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26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2120804</w:t>
            </w:r>
          </w:p>
        </w:tc>
        <w:tc>
          <w:tcPr>
            <w:tcW w:w="1474"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农村基础设施建设支出</w:t>
            </w:r>
          </w:p>
        </w:tc>
        <w:tc>
          <w:tcPr>
            <w:tcW w:w="130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3,711.25</w:t>
            </w:r>
          </w:p>
        </w:tc>
        <w:tc>
          <w:tcPr>
            <w:tcW w:w="110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3,711.25</w:t>
            </w:r>
          </w:p>
        </w:tc>
        <w:tc>
          <w:tcPr>
            <w:tcW w:w="1120"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4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3,711.25</w:t>
            </w:r>
          </w:p>
        </w:tc>
        <w:tc>
          <w:tcPr>
            <w:tcW w:w="2040"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26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21213</w:t>
            </w:r>
          </w:p>
        </w:tc>
        <w:tc>
          <w:tcPr>
            <w:tcW w:w="1474"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城市基础设施配套费安排的支出</w:t>
            </w:r>
          </w:p>
        </w:tc>
        <w:tc>
          <w:tcPr>
            <w:tcW w:w="130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7,900.00</w:t>
            </w:r>
          </w:p>
        </w:tc>
        <w:tc>
          <w:tcPr>
            <w:tcW w:w="110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7,900.00</w:t>
            </w:r>
          </w:p>
        </w:tc>
        <w:tc>
          <w:tcPr>
            <w:tcW w:w="1120"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4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7,900.00</w:t>
            </w:r>
          </w:p>
        </w:tc>
        <w:tc>
          <w:tcPr>
            <w:tcW w:w="2040"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26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2121399</w:t>
            </w:r>
          </w:p>
        </w:tc>
        <w:tc>
          <w:tcPr>
            <w:tcW w:w="1474"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其他城市基础设施配套费安排的支出</w:t>
            </w:r>
          </w:p>
        </w:tc>
        <w:tc>
          <w:tcPr>
            <w:tcW w:w="130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7,900.00</w:t>
            </w:r>
          </w:p>
        </w:tc>
        <w:tc>
          <w:tcPr>
            <w:tcW w:w="110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7,900.00</w:t>
            </w:r>
          </w:p>
        </w:tc>
        <w:tc>
          <w:tcPr>
            <w:tcW w:w="1120"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4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7,900.00</w:t>
            </w:r>
          </w:p>
        </w:tc>
        <w:tc>
          <w:tcPr>
            <w:tcW w:w="2040"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26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214</w:t>
            </w:r>
          </w:p>
        </w:tc>
        <w:tc>
          <w:tcPr>
            <w:tcW w:w="1474"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交通运输支出</w:t>
            </w:r>
          </w:p>
        </w:tc>
        <w:tc>
          <w:tcPr>
            <w:tcW w:w="130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352,080.47</w:t>
            </w:r>
          </w:p>
        </w:tc>
        <w:tc>
          <w:tcPr>
            <w:tcW w:w="110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352,080.47</w:t>
            </w:r>
          </w:p>
        </w:tc>
        <w:tc>
          <w:tcPr>
            <w:tcW w:w="1120"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4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352,080.47</w:t>
            </w:r>
          </w:p>
        </w:tc>
        <w:tc>
          <w:tcPr>
            <w:tcW w:w="2040"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26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21462</w:t>
            </w:r>
          </w:p>
        </w:tc>
        <w:tc>
          <w:tcPr>
            <w:tcW w:w="1474"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车辆通行费安排的支出</w:t>
            </w:r>
          </w:p>
        </w:tc>
        <w:tc>
          <w:tcPr>
            <w:tcW w:w="130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352,080.47</w:t>
            </w:r>
          </w:p>
        </w:tc>
        <w:tc>
          <w:tcPr>
            <w:tcW w:w="110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352,080.47</w:t>
            </w:r>
          </w:p>
        </w:tc>
        <w:tc>
          <w:tcPr>
            <w:tcW w:w="1120"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4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352,080.47</w:t>
            </w:r>
          </w:p>
        </w:tc>
        <w:tc>
          <w:tcPr>
            <w:tcW w:w="2040"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26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2146201</w:t>
            </w:r>
          </w:p>
        </w:tc>
        <w:tc>
          <w:tcPr>
            <w:tcW w:w="1474"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公路还贷</w:t>
            </w:r>
          </w:p>
        </w:tc>
        <w:tc>
          <w:tcPr>
            <w:tcW w:w="130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320,141.00</w:t>
            </w:r>
          </w:p>
        </w:tc>
        <w:tc>
          <w:tcPr>
            <w:tcW w:w="110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320,141.00</w:t>
            </w:r>
          </w:p>
        </w:tc>
        <w:tc>
          <w:tcPr>
            <w:tcW w:w="1120"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4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320,141.00</w:t>
            </w:r>
          </w:p>
        </w:tc>
        <w:tc>
          <w:tcPr>
            <w:tcW w:w="2040"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26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2146299</w:t>
            </w:r>
          </w:p>
        </w:tc>
        <w:tc>
          <w:tcPr>
            <w:tcW w:w="1474"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其他车辆通行费安排的支出</w:t>
            </w:r>
          </w:p>
        </w:tc>
        <w:tc>
          <w:tcPr>
            <w:tcW w:w="130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31,939.47</w:t>
            </w:r>
          </w:p>
        </w:tc>
        <w:tc>
          <w:tcPr>
            <w:tcW w:w="110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31,939.47</w:t>
            </w:r>
          </w:p>
        </w:tc>
        <w:tc>
          <w:tcPr>
            <w:tcW w:w="1120"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4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31,939.47</w:t>
            </w:r>
          </w:p>
        </w:tc>
        <w:tc>
          <w:tcPr>
            <w:tcW w:w="2040"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26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215</w:t>
            </w:r>
          </w:p>
        </w:tc>
        <w:tc>
          <w:tcPr>
            <w:tcW w:w="1474"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资源勘探工业信息等支出</w:t>
            </w:r>
          </w:p>
        </w:tc>
        <w:tc>
          <w:tcPr>
            <w:tcW w:w="130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210.15</w:t>
            </w:r>
          </w:p>
        </w:tc>
        <w:tc>
          <w:tcPr>
            <w:tcW w:w="110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210.15</w:t>
            </w:r>
          </w:p>
        </w:tc>
        <w:tc>
          <w:tcPr>
            <w:tcW w:w="1120"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4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210.15</w:t>
            </w:r>
          </w:p>
        </w:tc>
        <w:tc>
          <w:tcPr>
            <w:tcW w:w="2040"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26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21598</w:t>
            </w:r>
          </w:p>
        </w:tc>
        <w:tc>
          <w:tcPr>
            <w:tcW w:w="1474"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超长期特别国债安排的支出</w:t>
            </w:r>
          </w:p>
        </w:tc>
        <w:tc>
          <w:tcPr>
            <w:tcW w:w="130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210.15</w:t>
            </w:r>
          </w:p>
        </w:tc>
        <w:tc>
          <w:tcPr>
            <w:tcW w:w="110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210.15</w:t>
            </w:r>
          </w:p>
        </w:tc>
        <w:tc>
          <w:tcPr>
            <w:tcW w:w="1120"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4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210.15</w:t>
            </w:r>
          </w:p>
        </w:tc>
        <w:tc>
          <w:tcPr>
            <w:tcW w:w="2040"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26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2159802</w:t>
            </w:r>
          </w:p>
        </w:tc>
        <w:tc>
          <w:tcPr>
            <w:tcW w:w="1474"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制造业</w:t>
            </w:r>
          </w:p>
        </w:tc>
        <w:tc>
          <w:tcPr>
            <w:tcW w:w="130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210.15</w:t>
            </w:r>
          </w:p>
        </w:tc>
        <w:tc>
          <w:tcPr>
            <w:tcW w:w="110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210.15</w:t>
            </w:r>
          </w:p>
        </w:tc>
        <w:tc>
          <w:tcPr>
            <w:tcW w:w="1120"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4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210.15</w:t>
            </w:r>
          </w:p>
        </w:tc>
        <w:tc>
          <w:tcPr>
            <w:tcW w:w="2040"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26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229</w:t>
            </w:r>
          </w:p>
        </w:tc>
        <w:tc>
          <w:tcPr>
            <w:tcW w:w="1474"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其他支出</w:t>
            </w:r>
          </w:p>
        </w:tc>
        <w:tc>
          <w:tcPr>
            <w:tcW w:w="130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632,016.72</w:t>
            </w:r>
          </w:p>
        </w:tc>
        <w:tc>
          <w:tcPr>
            <w:tcW w:w="110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632,016.72</w:t>
            </w:r>
          </w:p>
        </w:tc>
        <w:tc>
          <w:tcPr>
            <w:tcW w:w="1120"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4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632,016.72</w:t>
            </w:r>
          </w:p>
        </w:tc>
        <w:tc>
          <w:tcPr>
            <w:tcW w:w="2040"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26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22904</w:t>
            </w:r>
          </w:p>
        </w:tc>
        <w:tc>
          <w:tcPr>
            <w:tcW w:w="1474"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其他政府性基金及对应专项债务收入安排的支出</w:t>
            </w:r>
          </w:p>
        </w:tc>
        <w:tc>
          <w:tcPr>
            <w:tcW w:w="130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632,016.72</w:t>
            </w:r>
          </w:p>
        </w:tc>
        <w:tc>
          <w:tcPr>
            <w:tcW w:w="110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632,016.72</w:t>
            </w:r>
          </w:p>
        </w:tc>
        <w:tc>
          <w:tcPr>
            <w:tcW w:w="1120"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4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632,016.72</w:t>
            </w:r>
          </w:p>
        </w:tc>
        <w:tc>
          <w:tcPr>
            <w:tcW w:w="2040"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26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2290402</w:t>
            </w:r>
          </w:p>
        </w:tc>
        <w:tc>
          <w:tcPr>
            <w:tcW w:w="1474"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其他地方自行试点项目收益专项债券收入安排的支出</w:t>
            </w:r>
          </w:p>
        </w:tc>
        <w:tc>
          <w:tcPr>
            <w:tcW w:w="130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632,016.72</w:t>
            </w:r>
          </w:p>
        </w:tc>
        <w:tc>
          <w:tcPr>
            <w:tcW w:w="110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632,016.72</w:t>
            </w:r>
          </w:p>
        </w:tc>
        <w:tc>
          <w:tcPr>
            <w:tcW w:w="1120"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4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632,016.72</w:t>
            </w:r>
          </w:p>
        </w:tc>
        <w:tc>
          <w:tcPr>
            <w:tcW w:w="2040"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26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232</w:t>
            </w:r>
          </w:p>
        </w:tc>
        <w:tc>
          <w:tcPr>
            <w:tcW w:w="1474"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债务付息支出</w:t>
            </w:r>
          </w:p>
        </w:tc>
        <w:tc>
          <w:tcPr>
            <w:tcW w:w="130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13,597.64</w:t>
            </w:r>
          </w:p>
        </w:tc>
        <w:tc>
          <w:tcPr>
            <w:tcW w:w="110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13,597.64</w:t>
            </w:r>
          </w:p>
        </w:tc>
        <w:tc>
          <w:tcPr>
            <w:tcW w:w="1120"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4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13,597.64</w:t>
            </w:r>
          </w:p>
        </w:tc>
        <w:tc>
          <w:tcPr>
            <w:tcW w:w="2040"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26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23204</w:t>
            </w:r>
          </w:p>
        </w:tc>
        <w:tc>
          <w:tcPr>
            <w:tcW w:w="1474"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地方政府专项债务付息支出</w:t>
            </w:r>
          </w:p>
        </w:tc>
        <w:tc>
          <w:tcPr>
            <w:tcW w:w="130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13,597.64</w:t>
            </w:r>
          </w:p>
        </w:tc>
        <w:tc>
          <w:tcPr>
            <w:tcW w:w="110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13,597.64</w:t>
            </w:r>
          </w:p>
        </w:tc>
        <w:tc>
          <w:tcPr>
            <w:tcW w:w="1120"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4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13,597.64</w:t>
            </w:r>
          </w:p>
        </w:tc>
        <w:tc>
          <w:tcPr>
            <w:tcW w:w="2040"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26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2320432</w:t>
            </w:r>
          </w:p>
        </w:tc>
        <w:tc>
          <w:tcPr>
            <w:tcW w:w="1474"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政府收费公路专项债券付息支出</w:t>
            </w:r>
          </w:p>
        </w:tc>
        <w:tc>
          <w:tcPr>
            <w:tcW w:w="130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9,392.89</w:t>
            </w:r>
          </w:p>
        </w:tc>
        <w:tc>
          <w:tcPr>
            <w:tcW w:w="110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9,392.89</w:t>
            </w:r>
          </w:p>
        </w:tc>
        <w:tc>
          <w:tcPr>
            <w:tcW w:w="1120"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4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9,392.89</w:t>
            </w:r>
          </w:p>
        </w:tc>
        <w:tc>
          <w:tcPr>
            <w:tcW w:w="2040"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26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2320498</w:t>
            </w:r>
          </w:p>
        </w:tc>
        <w:tc>
          <w:tcPr>
            <w:tcW w:w="1474"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其他地方自行试点项目收益专项债券付息支出</w:t>
            </w:r>
          </w:p>
        </w:tc>
        <w:tc>
          <w:tcPr>
            <w:tcW w:w="130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4,204.75</w:t>
            </w:r>
          </w:p>
        </w:tc>
        <w:tc>
          <w:tcPr>
            <w:tcW w:w="110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4,204.75</w:t>
            </w:r>
          </w:p>
        </w:tc>
        <w:tc>
          <w:tcPr>
            <w:tcW w:w="1120"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4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4,204.75</w:t>
            </w:r>
          </w:p>
        </w:tc>
        <w:tc>
          <w:tcPr>
            <w:tcW w:w="2040"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0480" w:type="dxa"/>
            <w:gridSpan w:val="9"/>
            <w:tcBorders>
              <w:top w:val="nil"/>
              <w:left w:val="nil"/>
              <w:bottom w:val="nil"/>
              <w:right w:val="nil"/>
            </w:tcBorders>
            <w:noWrap/>
            <w:vAlign w:val="center"/>
          </w:tcPr>
          <w:p>
            <w:pP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注：本表反映部门本年度政府性基金预算财政拨款收入、支出及结转和结余情况。</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br w:type="page"/>
            </w:r>
          </w:p>
        </w:tc>
      </w:tr>
    </w:tbl>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9428" w:type="dxa"/>
        <w:tblInd w:w="-976"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2993"/>
        <w:gridCol w:w="731"/>
        <w:gridCol w:w="1296"/>
        <w:gridCol w:w="1332"/>
        <w:gridCol w:w="5"/>
        <w:gridCol w:w="47"/>
        <w:gridCol w:w="1281"/>
        <w:gridCol w:w="10"/>
        <w:gridCol w:w="1733"/>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50" w:hRule="atLeast"/>
        </w:trPr>
        <w:tc>
          <w:tcPr>
            <w:tcW w:w="9428" w:type="dxa"/>
            <w:gridSpan w:val="9"/>
            <w:tcBorders>
              <w:top w:val="nil"/>
              <w:left w:val="nil"/>
              <w:bottom w:val="nil"/>
              <w:right w:val="nil"/>
            </w:tcBorders>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国有资本经营预算财政拨款支出决算表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0" w:hRule="atLeast"/>
        </w:trPr>
        <w:tc>
          <w:tcPr>
            <w:tcW w:w="9428" w:type="dxa"/>
            <w:gridSpan w:val="9"/>
            <w:tcBorders>
              <w:top w:val="nil"/>
              <w:left w:val="nil"/>
              <w:bottom w:val="nil"/>
              <w:right w:val="nil"/>
            </w:tcBorders>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方正仿宋_GB2312" w:cs="Times New Roman"/>
                <w:i w:val="0"/>
                <w:iCs w:val="0"/>
                <w:color w:val="000000"/>
                <w:kern w:val="0"/>
                <w:sz w:val="20"/>
                <w:szCs w:val="20"/>
                <w:highlight w:val="none"/>
                <w:u w:val="none"/>
                <w:lang w:val="en-US" w:eastAsia="zh-CN" w:bidi="ar"/>
              </w:rPr>
              <w:t>08</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0" w:hRule="atLeast"/>
        </w:trPr>
        <w:tc>
          <w:tcPr>
            <w:tcW w:w="3724" w:type="dxa"/>
            <w:gridSpan w:val="2"/>
            <w:tcBorders>
              <w:top w:val="nil"/>
              <w:left w:val="nil"/>
              <w:bottom w:val="single" w:color="auto" w:sz="4" w:space="0"/>
              <w:right w:val="nil"/>
            </w:tcBorders>
            <w:noWrap/>
            <w:vAlign w:val="bottom"/>
          </w:tcPr>
          <w:p>
            <w:pPr>
              <w:keepNext w:val="0"/>
              <w:keepLines w:val="0"/>
              <w:widowControl/>
              <w:suppressLineNumbers w:val="0"/>
              <w:jc w:val="both"/>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部门：石家庄市交通运输局</w:t>
            </w:r>
          </w:p>
        </w:tc>
        <w:tc>
          <w:tcPr>
            <w:tcW w:w="2680" w:type="dxa"/>
            <w:gridSpan w:val="4"/>
            <w:tcBorders>
              <w:top w:val="nil"/>
              <w:left w:val="nil"/>
              <w:bottom w:val="single" w:color="auto" w:sz="4" w:space="0"/>
              <w:right w:val="nil"/>
            </w:tcBorders>
            <w:noWrap/>
            <w:vAlign w:val="bottom"/>
          </w:tcPr>
          <w:p>
            <w:pPr>
              <w:keepNext w:val="0"/>
              <w:keepLines w:val="0"/>
              <w:widowControl/>
              <w:suppressLineNumbers w:val="0"/>
              <w:jc w:val="center"/>
              <w:textAlignment w:val="bottom"/>
              <w:rPr>
                <w:rFonts w:hint="default" w:ascii="宋体" w:hAnsi="宋体" w:eastAsia="宋体" w:cs="宋体"/>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202</w:t>
            </w:r>
            <w:r>
              <w:rPr>
                <w:rFonts w:hint="eastAsia" w:ascii="Times New Roman" w:hAnsi="Times New Roman" w:eastAsia="宋体"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3024" w:type="dxa"/>
            <w:gridSpan w:val="3"/>
            <w:tcBorders>
              <w:top w:val="nil"/>
              <w:left w:val="nil"/>
              <w:bottom w:val="single" w:color="auto" w:sz="4" w:space="0"/>
              <w:right w:val="nil"/>
            </w:tcBorders>
            <w:noWrap/>
            <w:vAlign w:val="bottom"/>
          </w:tcPr>
          <w:p>
            <w:pPr>
              <w:keepNext w:val="0"/>
              <w:keepLines w:val="0"/>
              <w:widowControl/>
              <w:suppressLineNumbers w:val="0"/>
              <w:jc w:val="right"/>
              <w:textAlignment w:val="bottom"/>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12" w:hRule="atLeast"/>
        </w:trPr>
        <w:tc>
          <w:tcPr>
            <w:tcW w:w="5020" w:type="dxa"/>
            <w:gridSpan w:val="3"/>
            <w:vMerge w:val="restart"/>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项目</w:t>
            </w:r>
          </w:p>
        </w:tc>
        <w:tc>
          <w:tcPr>
            <w:tcW w:w="4408" w:type="dxa"/>
            <w:gridSpan w:val="6"/>
            <w:vMerge w:val="restart"/>
            <w:tcBorders>
              <w:top w:val="single" w:color="auto" w:sz="4" w:space="0"/>
              <w:left w:val="single" w:color="auto" w:sz="4" w:space="0"/>
              <w:right w:val="single" w:color="000000" w:sz="4" w:space="0"/>
            </w:tcBorders>
            <w:noWrap w:val="0"/>
            <w:vAlign w:val="center"/>
          </w:tcPr>
          <w:p>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本年支出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12" w:hRule="atLeast"/>
        </w:trPr>
        <w:tc>
          <w:tcPr>
            <w:tcW w:w="5020" w:type="dxa"/>
            <w:gridSpan w:val="3"/>
            <w:vMerge w:val="continue"/>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4408" w:type="dxa"/>
            <w:gridSpan w:val="6"/>
            <w:vMerge w:val="continue"/>
            <w:tcBorders>
              <w:left w:val="single" w:color="auto"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12" w:hRule="atLeast"/>
        </w:trPr>
        <w:tc>
          <w:tcPr>
            <w:tcW w:w="2993" w:type="dxa"/>
            <w:vMerge w:val="restart"/>
            <w:tcBorders>
              <w:top w:val="single" w:color="auto" w:sz="4" w:space="0"/>
              <w:left w:val="single" w:color="auto" w:sz="4" w:space="0"/>
              <w:bottom w:val="single" w:color="auto" w:sz="4" w:space="0"/>
              <w:right w:val="single" w:color="auto" w:sz="4" w:space="0"/>
            </w:tcBorders>
            <w:noWrap w:val="0"/>
            <w:vAlign w:val="center"/>
          </w:tcPr>
          <w:p>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2027" w:type="dxa"/>
            <w:gridSpan w:val="2"/>
            <w:vMerge w:val="restart"/>
            <w:tcBorders>
              <w:top w:val="single" w:color="auto" w:sz="4" w:space="0"/>
              <w:left w:val="single" w:color="auto" w:sz="4" w:space="0"/>
              <w:bottom w:val="single" w:color="auto" w:sz="4" w:space="0"/>
              <w:right w:val="single" w:color="auto" w:sz="4" w:space="0"/>
            </w:tcBorders>
            <w:noWrap w:val="0"/>
            <w:vAlign w:val="center"/>
          </w:tcPr>
          <w:p>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科目名称</w:t>
            </w:r>
          </w:p>
        </w:tc>
        <w:tc>
          <w:tcPr>
            <w:tcW w:w="1337" w:type="dxa"/>
            <w:gridSpan w:val="2"/>
            <w:vMerge w:val="restart"/>
            <w:tcBorders>
              <w:top w:val="nil"/>
              <w:left w:val="single" w:color="auto"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合计</w:t>
            </w:r>
          </w:p>
        </w:tc>
        <w:tc>
          <w:tcPr>
            <w:tcW w:w="1338" w:type="dxa"/>
            <w:gridSpan w:val="3"/>
            <w:vMerge w:val="restart"/>
            <w:tcBorders>
              <w:top w:val="nil"/>
              <w:left w:val="nil"/>
              <w:right w:val="single" w:color="000000" w:sz="4" w:space="0"/>
            </w:tcBorders>
            <w:noWrap w:val="0"/>
            <w:vAlign w:val="center"/>
          </w:tcPr>
          <w:p>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基本支出</w:t>
            </w:r>
          </w:p>
        </w:tc>
        <w:tc>
          <w:tcPr>
            <w:tcW w:w="1733" w:type="dxa"/>
            <w:vMerge w:val="restart"/>
            <w:tcBorders>
              <w:top w:val="nil"/>
              <w:left w:val="nil"/>
              <w:right w:val="single" w:color="000000" w:sz="4" w:space="0"/>
            </w:tcBorders>
            <w:noWrap w:val="0"/>
            <w:vAlign w:val="center"/>
          </w:tcPr>
          <w:p>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项目支出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12" w:hRule="atLeast"/>
        </w:trPr>
        <w:tc>
          <w:tcPr>
            <w:tcW w:w="2993" w:type="dxa"/>
            <w:vMerge w:val="continue"/>
            <w:tcBorders>
              <w:top w:val="single" w:color="auto" w:sz="4" w:space="0"/>
              <w:left w:val="single" w:color="auto" w:sz="4" w:space="0"/>
              <w:bottom w:val="single" w:color="auto"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2027" w:type="dxa"/>
            <w:gridSpan w:val="2"/>
            <w:vMerge w:val="continue"/>
            <w:tcBorders>
              <w:top w:val="single" w:color="auto" w:sz="4" w:space="0"/>
              <w:left w:val="nil"/>
              <w:bottom w:val="single" w:color="auto" w:sz="4" w:space="0"/>
              <w:right w:val="single" w:color="auto"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337" w:type="dxa"/>
            <w:gridSpan w:val="2"/>
            <w:vMerge w:val="continue"/>
            <w:tcBorders>
              <w:left w:val="single" w:color="auto" w:sz="4" w:space="0"/>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338" w:type="dxa"/>
            <w:gridSpan w:val="3"/>
            <w:vMerge w:val="continue"/>
            <w:tcBorders>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733" w:type="dxa"/>
            <w:vMerge w:val="continue"/>
            <w:tcBorders>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5020" w:type="dxa"/>
            <w:gridSpan w:val="3"/>
            <w:tcBorders>
              <w:top w:val="single" w:color="auto" w:sz="4" w:space="0"/>
              <w:left w:val="single" w:color="auto" w:sz="4" w:space="0"/>
              <w:bottom w:val="single" w:color="000000" w:sz="4" w:space="0"/>
              <w:right w:val="single" w:color="auto" w:sz="4" w:space="0"/>
            </w:tcBorders>
            <w:noWrap/>
            <w:vAlign w:val="center"/>
          </w:tcPr>
          <w:p>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栏次</w:t>
            </w:r>
          </w:p>
        </w:tc>
        <w:tc>
          <w:tcPr>
            <w:tcW w:w="1332" w:type="dxa"/>
            <w:tcBorders>
              <w:top w:val="nil"/>
              <w:left w:val="single" w:color="auto"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1</w:t>
            </w:r>
          </w:p>
        </w:tc>
        <w:tc>
          <w:tcPr>
            <w:tcW w:w="1333" w:type="dxa"/>
            <w:gridSpan w:val="3"/>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2</w:t>
            </w:r>
          </w:p>
        </w:tc>
        <w:tc>
          <w:tcPr>
            <w:tcW w:w="1743"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5020" w:type="dxa"/>
            <w:gridSpan w:val="3"/>
            <w:tcBorders>
              <w:top w:val="single" w:color="000000" w:sz="4" w:space="0"/>
              <w:left w:val="single" w:color="000000" w:sz="4" w:space="0"/>
              <w:bottom w:val="single" w:color="000000" w:sz="4" w:space="0"/>
              <w:right w:val="single" w:color="000000" w:sz="4" w:space="0"/>
            </w:tcBorders>
            <w:noWrap/>
            <w:vAlign w:val="center"/>
          </w:tcPr>
          <w:p>
            <w:pPr>
              <w:jc w:val="center"/>
              <w:rPr>
                <w:rFonts w:hint="default" w:ascii="Times New Roman" w:hAnsi="Times New Roman" w:eastAsia="宋体"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合计</w:t>
            </w:r>
          </w:p>
        </w:tc>
        <w:tc>
          <w:tcPr>
            <w:tcW w:w="1332" w:type="dxa"/>
            <w:tcBorders>
              <w:top w:val="single" w:color="000000" w:sz="4" w:space="0"/>
              <w:left w:val="single" w:color="000000" w:sz="4" w:space="0"/>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33" w:type="dxa"/>
            <w:gridSpan w:val="3"/>
            <w:tcBorders>
              <w:top w:val="single" w:color="000000" w:sz="4" w:space="0"/>
              <w:left w:val="single" w:color="000000" w:sz="4" w:space="0"/>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743" w:type="dxa"/>
            <w:gridSpan w:val="2"/>
            <w:tcBorders>
              <w:top w:val="single" w:color="000000" w:sz="4" w:space="0"/>
              <w:left w:val="single" w:color="000000" w:sz="4" w:space="0"/>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9428" w:type="dxa"/>
            <w:gridSpan w:val="9"/>
            <w:tcBorders>
              <w:top w:val="nil"/>
              <w:left w:val="nil"/>
              <w:bottom w:val="nil"/>
              <w:right w:val="nil"/>
            </w:tcBorders>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注：本表反映部门本年度国有资本经营预算财政拨款支出情况。（如无相关数据，则需注明空表列示）</w:t>
            </w:r>
          </w:p>
        </w:tc>
      </w:tr>
    </w:tbl>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pPr w:leftFromText="180" w:rightFromText="180" w:vertAnchor="text" w:horzAnchor="page" w:tblpX="588" w:tblpY="39"/>
        <w:tblOverlap w:val="never"/>
        <w:tblW w:w="10838"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069"/>
        <w:gridCol w:w="838"/>
        <w:gridCol w:w="814"/>
        <w:gridCol w:w="946"/>
        <w:gridCol w:w="519"/>
        <w:gridCol w:w="544"/>
        <w:gridCol w:w="777"/>
        <w:gridCol w:w="845"/>
        <w:gridCol w:w="5"/>
        <w:gridCol w:w="1133"/>
        <w:gridCol w:w="640"/>
        <w:gridCol w:w="1027"/>
        <w:gridCol w:w="946"/>
        <w:gridCol w:w="735"/>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50" w:hRule="atLeast"/>
        </w:trPr>
        <w:tc>
          <w:tcPr>
            <w:tcW w:w="10838" w:type="dxa"/>
            <w:gridSpan w:val="14"/>
            <w:tcBorders>
              <w:top w:val="nil"/>
              <w:left w:val="nil"/>
              <w:bottom w:val="nil"/>
              <w:right w:val="nil"/>
            </w:tcBorders>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财政拨款“三公”经费支出决算表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60" w:hRule="atLeast"/>
        </w:trPr>
        <w:tc>
          <w:tcPr>
            <w:tcW w:w="10838" w:type="dxa"/>
            <w:gridSpan w:val="14"/>
            <w:tcBorders>
              <w:top w:val="nil"/>
              <w:left w:val="nil"/>
              <w:bottom w:val="nil"/>
              <w:right w:val="nil"/>
            </w:tcBorders>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公开</w:t>
            </w:r>
            <w:r>
              <w:rPr>
                <w:rFonts w:hint="default" w:ascii="Times New Roman" w:hAnsi="Times New Roman" w:eastAsia="方正仿宋_GB2312" w:cs="Times New Roman"/>
                <w:i w:val="0"/>
                <w:iCs w:val="0"/>
                <w:color w:val="000000"/>
                <w:kern w:val="0"/>
                <w:sz w:val="18"/>
                <w:szCs w:val="18"/>
                <w:highlight w:val="none"/>
                <w:u w:val="none"/>
                <w:lang w:val="en-US" w:eastAsia="zh-CN" w:bidi="ar"/>
              </w:rPr>
              <w:t>09</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60" w:hRule="atLeast"/>
        </w:trPr>
        <w:tc>
          <w:tcPr>
            <w:tcW w:w="4186" w:type="dxa"/>
            <w:gridSpan w:val="5"/>
            <w:tcBorders>
              <w:top w:val="nil"/>
              <w:left w:val="nil"/>
              <w:bottom w:val="single" w:color="auto" w:sz="4" w:space="0"/>
              <w:right w:val="nil"/>
            </w:tcBorders>
            <w:noWrap/>
            <w:vAlign w:val="bottom"/>
          </w:tcPr>
          <w:p>
            <w:pPr>
              <w:keepNext w:val="0"/>
              <w:keepLines w:val="0"/>
              <w:widowControl/>
              <w:suppressLineNumbers w:val="0"/>
              <w:jc w:val="left"/>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部门：石家庄市交通运输局</w:t>
            </w:r>
          </w:p>
        </w:tc>
        <w:tc>
          <w:tcPr>
            <w:tcW w:w="2166" w:type="dxa"/>
            <w:gridSpan w:val="3"/>
            <w:tcBorders>
              <w:top w:val="nil"/>
              <w:left w:val="nil"/>
              <w:bottom w:val="single" w:color="auto" w:sz="4" w:space="0"/>
              <w:right w:val="nil"/>
            </w:tcBorders>
            <w:noWrap/>
            <w:vAlign w:val="bottom"/>
          </w:tcPr>
          <w:p>
            <w:pPr>
              <w:keepNext w:val="0"/>
              <w:keepLines w:val="0"/>
              <w:widowControl/>
              <w:suppressLineNumbers w:val="0"/>
              <w:jc w:val="center"/>
              <w:textAlignment w:val="bottom"/>
              <w:rPr>
                <w:rFonts w:hint="default" w:ascii="宋体" w:hAnsi="宋体" w:eastAsia="宋体" w:cs="宋体"/>
                <w:i w:val="0"/>
                <w:iCs w:val="0"/>
                <w:color w:val="000000"/>
                <w:kern w:val="0"/>
                <w:sz w:val="18"/>
                <w:szCs w:val="18"/>
                <w:highlight w:val="none"/>
                <w:u w:val="none"/>
                <w:lang w:val="en-US" w:eastAsia="zh-CN" w:bidi="ar"/>
              </w:rPr>
            </w:pPr>
            <w:r>
              <w:rPr>
                <w:rFonts w:hint="default" w:ascii="Times New Roman" w:hAnsi="Times New Roman" w:eastAsia="宋体" w:cs="Times New Roman"/>
                <w:i w:val="0"/>
                <w:iCs w:val="0"/>
                <w:color w:val="000000"/>
                <w:kern w:val="0"/>
                <w:sz w:val="18"/>
                <w:szCs w:val="18"/>
                <w:highlight w:val="none"/>
                <w:u w:val="none"/>
                <w:lang w:val="en-US" w:eastAsia="zh-CN" w:bidi="ar"/>
              </w:rPr>
              <w:t>202</w:t>
            </w:r>
            <w:r>
              <w:rPr>
                <w:rFonts w:hint="eastAsia" w:ascii="Times New Roman" w:hAnsi="Times New Roman" w:eastAsia="宋体" w:cs="Times New Roman"/>
                <w:i w:val="0"/>
                <w:iCs w:val="0"/>
                <w:color w:val="000000"/>
                <w:kern w:val="0"/>
                <w:sz w:val="18"/>
                <w:szCs w:val="18"/>
                <w:highlight w:val="none"/>
                <w:u w:val="none"/>
                <w:lang w:val="en-US" w:eastAsia="zh-CN" w:bidi="ar"/>
              </w:rPr>
              <w:t>4</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年度</w:t>
            </w:r>
          </w:p>
        </w:tc>
        <w:tc>
          <w:tcPr>
            <w:tcW w:w="4486" w:type="dxa"/>
            <w:gridSpan w:val="6"/>
            <w:tcBorders>
              <w:top w:val="nil"/>
              <w:left w:val="nil"/>
              <w:bottom w:val="single" w:color="auto" w:sz="4" w:space="0"/>
              <w:right w:val="nil"/>
            </w:tcBorders>
            <w:noWrap/>
            <w:vAlign w:val="bottom"/>
          </w:tcPr>
          <w:p>
            <w:pPr>
              <w:keepNext w:val="0"/>
              <w:keepLines w:val="0"/>
              <w:widowControl/>
              <w:suppressLineNumbers w:val="0"/>
              <w:jc w:val="right"/>
              <w:textAlignment w:val="bottom"/>
              <w:rPr>
                <w:rFonts w:hint="default" w:ascii="宋体" w:hAnsi="宋体" w:eastAsia="宋体" w:cs="宋体"/>
                <w:i w:val="0"/>
                <w:iCs w:val="0"/>
                <w:color w:val="000000"/>
                <w:kern w:val="0"/>
                <w:sz w:val="18"/>
                <w:szCs w:val="18"/>
                <w:highlight w:val="none"/>
                <w:u w:val="none"/>
                <w:lang w:val="en-US" w:eastAsia="zh-CN" w:bidi="ar"/>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31" w:hRule="atLeast"/>
        </w:trPr>
        <w:tc>
          <w:tcPr>
            <w:tcW w:w="5507" w:type="dxa"/>
            <w:gridSpan w:val="7"/>
            <w:tcBorders>
              <w:top w:val="single" w:color="auto"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预算数</w:t>
            </w:r>
          </w:p>
        </w:tc>
        <w:tc>
          <w:tcPr>
            <w:tcW w:w="5331" w:type="dxa"/>
            <w:gridSpan w:val="7"/>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决算数</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31" w:hRule="atLeast"/>
        </w:trPr>
        <w:tc>
          <w:tcPr>
            <w:tcW w:w="1069" w:type="dxa"/>
            <w:vMerge w:val="restar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合计</w:t>
            </w:r>
          </w:p>
        </w:tc>
        <w:tc>
          <w:tcPr>
            <w:tcW w:w="838" w:type="dxa"/>
            <w:vMerge w:val="restar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w:t>
            </w:r>
          </w:p>
        </w:tc>
        <w:tc>
          <w:tcPr>
            <w:tcW w:w="2823" w:type="dxa"/>
            <w:gridSpan w:val="4"/>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公务用车购置及运行维护费</w:t>
            </w:r>
          </w:p>
        </w:tc>
        <w:tc>
          <w:tcPr>
            <w:tcW w:w="777" w:type="dxa"/>
            <w:vMerge w:val="restar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c>
          <w:tcPr>
            <w:tcW w:w="850" w:type="dxa"/>
            <w:gridSpan w:val="2"/>
            <w:vMerge w:val="restar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合计</w:t>
            </w:r>
          </w:p>
        </w:tc>
        <w:tc>
          <w:tcPr>
            <w:tcW w:w="1133" w:type="dxa"/>
            <w:vMerge w:val="restar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w:t>
            </w:r>
          </w:p>
        </w:tc>
        <w:tc>
          <w:tcPr>
            <w:tcW w:w="2613" w:type="dxa"/>
            <w:gridSpan w:val="3"/>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公务用车购置及运行维护费</w:t>
            </w:r>
          </w:p>
        </w:tc>
        <w:tc>
          <w:tcPr>
            <w:tcW w:w="735" w:type="dxa"/>
            <w:vMerge w:val="restar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31" w:hRule="atLeast"/>
        </w:trPr>
        <w:tc>
          <w:tcPr>
            <w:tcW w:w="1069" w:type="dxa"/>
            <w:vMerge w:val="continue"/>
            <w:tcBorders>
              <w:top w:val="nil"/>
              <w:left w:val="single" w:color="000000" w:sz="4" w:space="0"/>
              <w:bottom w:val="single" w:color="000000" w:sz="4" w:space="0"/>
              <w:right w:val="single" w:color="000000" w:sz="4" w:space="0"/>
            </w:tcBorders>
            <w:noWrap/>
            <w:vAlign w:val="center"/>
          </w:tcPr>
          <w:p>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838" w:type="dxa"/>
            <w:vMerge w:val="continue"/>
            <w:tcBorders>
              <w:top w:val="nil"/>
              <w:left w:val="nil"/>
              <w:bottom w:val="single" w:color="000000" w:sz="4" w:space="0"/>
              <w:right w:val="single" w:color="000000" w:sz="4" w:space="0"/>
            </w:tcBorders>
            <w:noWrap/>
            <w:vAlign w:val="center"/>
          </w:tcPr>
          <w:p>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81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小计</w:t>
            </w:r>
          </w:p>
        </w:tc>
        <w:tc>
          <w:tcPr>
            <w:tcW w:w="946"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公务用车购置费</w:t>
            </w:r>
          </w:p>
        </w:tc>
        <w:tc>
          <w:tcPr>
            <w:tcW w:w="1063"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777" w:type="dxa"/>
            <w:vMerge w:val="continue"/>
            <w:tcBorders>
              <w:top w:val="nil"/>
              <w:left w:val="nil"/>
              <w:bottom w:val="single" w:color="000000" w:sz="4" w:space="0"/>
              <w:right w:val="single" w:color="000000" w:sz="4" w:space="0"/>
            </w:tcBorders>
            <w:noWrap/>
            <w:vAlign w:val="center"/>
          </w:tcPr>
          <w:p>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850" w:type="dxa"/>
            <w:gridSpan w:val="2"/>
            <w:vMerge w:val="continue"/>
            <w:tcBorders>
              <w:top w:val="nil"/>
              <w:left w:val="nil"/>
              <w:bottom w:val="single" w:color="000000" w:sz="4" w:space="0"/>
              <w:right w:val="single" w:color="000000" w:sz="4" w:space="0"/>
            </w:tcBorders>
            <w:noWrap/>
            <w:vAlign w:val="center"/>
          </w:tcPr>
          <w:p>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1133" w:type="dxa"/>
            <w:vMerge w:val="continue"/>
            <w:tcBorders>
              <w:top w:val="nil"/>
              <w:left w:val="nil"/>
              <w:bottom w:val="single" w:color="000000" w:sz="4" w:space="0"/>
              <w:right w:val="single" w:color="000000" w:sz="4" w:space="0"/>
            </w:tcBorders>
            <w:noWrap/>
            <w:vAlign w:val="center"/>
          </w:tcPr>
          <w:p>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640"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小计</w:t>
            </w:r>
          </w:p>
        </w:tc>
        <w:tc>
          <w:tcPr>
            <w:tcW w:w="1027"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公务用车购置费</w:t>
            </w:r>
          </w:p>
        </w:tc>
        <w:tc>
          <w:tcPr>
            <w:tcW w:w="946"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735" w:type="dxa"/>
            <w:vMerge w:val="continue"/>
            <w:tcBorders>
              <w:top w:val="nil"/>
              <w:left w:val="nil"/>
              <w:bottom w:val="single" w:color="000000" w:sz="4" w:space="0"/>
              <w:right w:val="single" w:color="000000" w:sz="4" w:space="0"/>
            </w:tcBorders>
            <w:noWrap/>
            <w:vAlign w:val="center"/>
          </w:tcPr>
          <w:p>
            <w:pPr>
              <w:jc w:val="center"/>
              <w:rPr>
                <w:rFonts w:hint="eastAsia" w:ascii="方正仿宋_GB2312" w:hAnsi="方正仿宋_GB2312" w:eastAsia="方正仿宋_GB2312" w:cs="方正仿宋_GB2312"/>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31" w:hRule="atLeast"/>
        </w:trPr>
        <w:tc>
          <w:tcPr>
            <w:tcW w:w="1069"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w:t>
            </w:r>
          </w:p>
        </w:tc>
        <w:tc>
          <w:tcPr>
            <w:tcW w:w="838"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2</w:t>
            </w:r>
          </w:p>
        </w:tc>
        <w:tc>
          <w:tcPr>
            <w:tcW w:w="81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3</w:t>
            </w:r>
          </w:p>
        </w:tc>
        <w:tc>
          <w:tcPr>
            <w:tcW w:w="946"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4</w:t>
            </w:r>
          </w:p>
        </w:tc>
        <w:tc>
          <w:tcPr>
            <w:tcW w:w="1063"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5</w:t>
            </w:r>
          </w:p>
        </w:tc>
        <w:tc>
          <w:tcPr>
            <w:tcW w:w="777"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6</w:t>
            </w:r>
          </w:p>
        </w:tc>
        <w:tc>
          <w:tcPr>
            <w:tcW w:w="850"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7</w:t>
            </w:r>
          </w:p>
        </w:tc>
        <w:tc>
          <w:tcPr>
            <w:tcW w:w="1133"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8</w:t>
            </w:r>
          </w:p>
        </w:tc>
        <w:tc>
          <w:tcPr>
            <w:tcW w:w="640"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9</w:t>
            </w:r>
          </w:p>
        </w:tc>
        <w:tc>
          <w:tcPr>
            <w:tcW w:w="1027"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10</w:t>
            </w:r>
          </w:p>
        </w:tc>
        <w:tc>
          <w:tcPr>
            <w:tcW w:w="946"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11</w:t>
            </w:r>
          </w:p>
        </w:tc>
        <w:tc>
          <w:tcPr>
            <w:tcW w:w="735"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31" w:hRule="atLeast"/>
        </w:trPr>
        <w:tc>
          <w:tcPr>
            <w:tcW w:w="1069" w:type="dxa"/>
            <w:tcBorders>
              <w:top w:val="nil"/>
              <w:left w:val="single" w:color="000000" w:sz="4" w:space="0"/>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281.12</w:t>
            </w:r>
          </w:p>
        </w:tc>
        <w:tc>
          <w:tcPr>
            <w:tcW w:w="83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p>
        </w:tc>
        <w:tc>
          <w:tcPr>
            <w:tcW w:w="81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280.02</w:t>
            </w:r>
          </w:p>
        </w:tc>
        <w:tc>
          <w:tcPr>
            <w:tcW w:w="94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72.24</w:t>
            </w:r>
          </w:p>
        </w:tc>
        <w:tc>
          <w:tcPr>
            <w:tcW w:w="1063"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207.78</w:t>
            </w:r>
          </w:p>
        </w:tc>
        <w:tc>
          <w:tcPr>
            <w:tcW w:w="77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1.10</w:t>
            </w:r>
          </w:p>
        </w:tc>
        <w:tc>
          <w:tcPr>
            <w:tcW w:w="850"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260.99</w:t>
            </w:r>
          </w:p>
        </w:tc>
        <w:tc>
          <w:tcPr>
            <w:tcW w:w="1133"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p>
        </w:tc>
        <w:tc>
          <w:tcPr>
            <w:tcW w:w="640"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260.99</w:t>
            </w: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72.24</w:t>
            </w:r>
          </w:p>
        </w:tc>
        <w:tc>
          <w:tcPr>
            <w:tcW w:w="94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188.75</w:t>
            </w:r>
          </w:p>
        </w:tc>
        <w:tc>
          <w:tcPr>
            <w:tcW w:w="735"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31" w:hRule="atLeast"/>
        </w:trPr>
        <w:tc>
          <w:tcPr>
            <w:tcW w:w="10838" w:type="dxa"/>
            <w:gridSpan w:val="14"/>
            <w:tcBorders>
              <w:top w:val="nil"/>
              <w:left w:val="nil"/>
              <w:bottom w:val="nil"/>
              <w:right w:val="nil"/>
            </w:tcBorders>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注：本表反映部门本年度财政拨款“三公”经费支出预决算情况。其中：预算数为“三公”经费全年预算数，反映按规定程序调整后的预算数；决算数是包括当年财政拨款和以前年度结转资金安排的实际支出。</w:t>
            </w:r>
          </w:p>
        </w:tc>
      </w:tr>
    </w:tbl>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pPr>
        <w:rPr>
          <w:rFonts w:hint="eastAsia" w:ascii="仿宋_GB2312" w:hAnsi="宋体" w:eastAsia="仿宋_GB2312"/>
          <w:b/>
          <w:color w:val="auto"/>
          <w:kern w:val="0"/>
          <w:sz w:val="32"/>
          <w:szCs w:val="32"/>
          <w:highlight w:val="none"/>
        </w:rPr>
        <w:sectPr>
          <w:headerReference r:id="rId8" w:type="default"/>
          <w:pgSz w:w="11906" w:h="16838"/>
          <w:pgMar w:top="1531" w:right="1984" w:bottom="1531" w:left="2098" w:header="851" w:footer="992" w:gutter="0"/>
          <w:pgBorders>
            <w:top w:val="none" w:sz="0" w:space="0"/>
            <w:left w:val="none" w:sz="0" w:space="0"/>
            <w:bottom w:val="none" w:sz="0" w:space="0"/>
            <w:right w:val="none" w:sz="0" w:space="0"/>
          </w:pgBorders>
          <w:cols w:space="720" w:num="1"/>
          <w:docGrid w:type="lines" w:linePitch="312" w:charSpace="0"/>
        </w:sectPr>
      </w:pPr>
      <w:r>
        <w:rPr>
          <w:rFonts w:hint="eastAsia" w:ascii="仿宋_GB2312" w:hAnsi="宋体" w:eastAsia="仿宋_GB2312"/>
          <w:b/>
          <w:color w:val="auto"/>
          <w:kern w:val="0"/>
          <w:sz w:val="32"/>
          <w:szCs w:val="32"/>
          <w:highlight w:val="none"/>
        </w:rPr>
        <w:br w:type="page"/>
      </w:r>
    </w:p>
    <w:p>
      <w:pPr>
        <w:widowControl/>
        <w:spacing w:before="0" w:beforeLines="0" w:beforeAutospacing="0" w:after="0" w:afterLines="0" w:afterAutospacing="0" w:line="360" w:lineRule="auto"/>
        <w:jc w:val="center"/>
        <w:outlineLvl w:val="0"/>
        <w:rPr>
          <w:rFonts w:ascii="Times New Roman" w:eastAsia="黑体"/>
          <w:b w:val="0"/>
          <w:sz w:val="44"/>
          <w:szCs w:val="44"/>
        </w:rPr>
      </w:pPr>
    </w:p>
    <w:p>
      <w:pPr>
        <w:widowControl/>
        <w:spacing w:before="0" w:beforeLines="0" w:beforeAutospacing="0" w:after="0" w:afterLines="0" w:afterAutospacing="0" w:line="360" w:lineRule="auto"/>
        <w:jc w:val="center"/>
        <w:outlineLvl w:val="0"/>
        <w:rPr>
          <w:rFonts w:ascii="Times New Roman" w:eastAsia="黑体"/>
          <w:b w:val="0"/>
          <w:sz w:val="44"/>
          <w:szCs w:val="44"/>
        </w:rPr>
      </w:pPr>
    </w:p>
    <w:p>
      <w:pPr>
        <w:widowControl/>
        <w:spacing w:before="0" w:beforeLines="0" w:beforeAutospacing="0" w:after="0" w:afterLines="0" w:afterAutospacing="0" w:line="360" w:lineRule="auto"/>
        <w:jc w:val="center"/>
        <w:outlineLvl w:val="0"/>
        <w:rPr>
          <w:rFonts w:ascii="Times New Roman" w:eastAsia="黑体"/>
          <w:b w:val="0"/>
          <w:sz w:val="44"/>
          <w:szCs w:val="44"/>
        </w:rPr>
      </w:pPr>
    </w:p>
    <w:p>
      <w:pPr>
        <w:widowControl/>
        <w:spacing w:before="0" w:beforeLines="0" w:beforeAutospacing="0" w:after="0" w:afterLines="0" w:afterAutospacing="0" w:line="360" w:lineRule="auto"/>
        <w:jc w:val="center"/>
        <w:outlineLvl w:val="0"/>
        <w:rPr>
          <w:rFonts w:ascii="Times New Roman" w:eastAsia="黑体"/>
          <w:b w:val="0"/>
          <w:sz w:val="44"/>
          <w:szCs w:val="44"/>
        </w:rPr>
      </w:pPr>
    </w:p>
    <w:p>
      <w:pPr>
        <w:widowControl/>
        <w:spacing w:before="0" w:beforeLines="0" w:beforeAutospacing="0" w:after="0" w:afterLines="0" w:afterAutospacing="0" w:line="360" w:lineRule="auto"/>
        <w:jc w:val="center"/>
        <w:outlineLvl w:val="0"/>
        <w:rPr>
          <w:rFonts w:ascii="Times New Roman" w:eastAsia="黑体"/>
          <w:b w:val="0"/>
          <w:sz w:val="44"/>
          <w:szCs w:val="44"/>
        </w:rPr>
      </w:pPr>
    </w:p>
    <w:p>
      <w:pPr>
        <w:widowControl/>
        <w:spacing w:before="0" w:beforeLines="0" w:beforeAutospacing="0" w:after="0" w:afterLines="0" w:afterAutospacing="0" w:line="360" w:lineRule="auto"/>
        <w:jc w:val="center"/>
        <w:outlineLvl w:val="0"/>
        <w:rPr>
          <w:rFonts w:ascii="Times New Roman" w:eastAsia="黑体"/>
          <w:b w:val="0"/>
          <w:sz w:val="44"/>
          <w:szCs w:val="44"/>
        </w:rPr>
      </w:pPr>
    </w:p>
    <w:p>
      <w:pPr>
        <w:widowControl/>
        <w:spacing w:before="0" w:beforeLines="0" w:beforeAutospacing="0" w:after="0" w:afterLines="0" w:afterAutospacing="0" w:line="360" w:lineRule="auto"/>
        <w:jc w:val="center"/>
        <w:outlineLvl w:val="0"/>
        <w:rPr>
          <w:rFonts w:ascii="Times New Roman" w:eastAsia="黑体"/>
          <w:b w:val="0"/>
          <w:sz w:val="44"/>
          <w:szCs w:val="44"/>
        </w:rPr>
      </w:pPr>
    </w:p>
    <w:p>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第三部分</w:t>
      </w:r>
      <w:r>
        <w:rPr>
          <w:rFonts w:ascii="Times New Roman" w:eastAsia="仿宋_GB2312"/>
          <w:b w:val="0"/>
          <w:sz w:val="44"/>
          <w:szCs w:val="44"/>
        </w:rPr>
        <w:t>2024</w:t>
      </w:r>
      <w:r>
        <w:rPr>
          <w:rFonts w:ascii="Times New Roman" w:eastAsia="黑体"/>
          <w:b w:val="0"/>
          <w:sz w:val="44"/>
          <w:szCs w:val="44"/>
        </w:rPr>
        <w:t>年度部门决算情况说明</w:t>
      </w:r>
    </w:p>
    <w:p>
      <w:pPr>
        <w:rPr>
          <w:rFonts w:ascii="Times New Roman" w:eastAsia="黑体"/>
          <w:b w:val="0"/>
          <w:sz w:val="32"/>
          <w:szCs w:val="32"/>
        </w:rPr>
      </w:pPr>
      <w:r>
        <w:rPr>
          <w:rFonts w:ascii="Times New Roman" w:eastAsia="黑体"/>
          <w:b w:val="0"/>
          <w:sz w:val="32"/>
          <w:szCs w:val="32"/>
        </w:rPr>
        <w:br w:type="page"/>
      </w:r>
    </w:p>
    <w:p>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一、收入支出决算总体情况说明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本部门2024年度收、支总计（含结转和结余）均为1,246,846.75万元。与2023年度决算相比，收支各增加509,462.13万元，增长69.1%，主要原因是</w:t>
      </w:r>
      <w:r>
        <w:rPr>
          <w:rFonts w:hint="eastAsia" w:ascii="Times New Roman" w:eastAsia="仿宋_GB2312"/>
          <w:b w:val="0"/>
          <w:sz w:val="32"/>
          <w:szCs w:val="32"/>
          <w:lang w:eastAsia="zh-CN"/>
        </w:rPr>
        <w:t>：</w:t>
      </w:r>
      <w:bookmarkStart w:id="0" w:name="OLE_LINK2"/>
      <w:r>
        <w:rPr>
          <w:rFonts w:hint="eastAsia" w:ascii="Times New Roman" w:eastAsia="仿宋_GB2312"/>
          <w:b w:val="0"/>
          <w:sz w:val="32"/>
          <w:szCs w:val="32"/>
          <w:lang w:eastAsia="zh-CN"/>
        </w:rPr>
        <w:t>增加石家庄市城区基础设施提升、石家庄市北部片区基础设施提升专项债券项目资金及再融资专项债资金</w:t>
      </w:r>
      <w:r>
        <w:rPr>
          <w:rFonts w:ascii="Times New Roman" w:eastAsia="仿宋_GB2312"/>
          <w:b w:val="0"/>
          <w:sz w:val="32"/>
          <w:szCs w:val="32"/>
        </w:rPr>
        <w:t>。</w:t>
      </w:r>
    </w:p>
    <w:bookmarkEnd w:id="0"/>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eastAsia="Arial" w:cs="Times New Roman"/>
          <w:highlight w:val="none"/>
        </w:rPr>
      </w:pPr>
      <w:r>
        <w:rPr>
          <w:rFonts w:hint="eastAsia" w:ascii="Times New Roman" w:hAnsi="Times New Roman" w:eastAsia="宋体"/>
        </w:rPr>
        <w:drawing>
          <wp:inline distT="0" distB="0" distL="114300" distR="114300">
            <wp:extent cx="5256530" cy="2988310"/>
            <wp:effectExtent l="5080" t="4445" r="8890" b="17145"/>
            <wp:docPr id="5" name="图表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r>
        <w:rPr>
          <w:rFonts w:hint="default" w:ascii="Times New Roman" w:hAnsi="Times New Roman" w:eastAsia="Arial" w:cs="Times New Roman"/>
          <w:i w:val="0"/>
          <w:iCs w:val="0"/>
          <w:caps w:val="0"/>
          <w:color w:val="000000"/>
          <w:spacing w:val="0"/>
          <w:sz w:val="18"/>
          <w:szCs w:val="18"/>
          <w:highlight w:val="none"/>
          <w:shd w:val="clear" w:fill="FFFFFF"/>
        </w:rPr>
        <w:t> </w:t>
      </w:r>
    </w:p>
    <w:p>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二、收入决算情况说明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部门2024年度本年收入合计1,241,574.16万元，其中：财政拨款收入1,238,938.53万元，占99.8%；上级补助收入0.00万元，占0.0%；事业收入0.00万元，占0.0%；经营收入0.00万元，占0.0%；附属单位上缴收入0.00万元，占0.0%；其他收入2,635.63万元，占0.2%。</w:t>
      </w:r>
    </w:p>
    <w:p>
      <w:pPr>
        <w:adjustRightInd w:val="0"/>
        <w:snapToGrid w:val="0"/>
        <w:spacing w:line="580" w:lineRule="exact"/>
        <w:jc w:val="both"/>
        <w:rPr>
          <w:rFonts w:hint="default" w:ascii="Times New Roman" w:hAnsi="Times New Roman" w:eastAsia="仿宋_GB2312" w:cs="Times New Roman"/>
          <w:kern w:val="2"/>
          <w:sz w:val="32"/>
          <w:szCs w:val="32"/>
          <w:highlight w:val="yellow"/>
          <w:lang w:val="zh-CN"/>
        </w:rPr>
      </w:pPr>
      <w:r>
        <w:rPr>
          <w:rFonts w:ascii="Times New Roman" w:hAnsi="Times New Roman" w:eastAsia="仿宋_GB2312"/>
          <w:kern w:val="2"/>
          <w:sz w:val="32"/>
          <w:szCs w:val="32"/>
          <w:highlight w:val="yellow"/>
          <w:lang w:val="zh-CN"/>
        </w:rPr>
        <w:drawing>
          <wp:anchor distT="0" distB="0" distL="114300" distR="114300" simplePos="0" relativeHeight="251661312" behindDoc="0" locked="0" layoutInCell="1" allowOverlap="1">
            <wp:simplePos x="0" y="0"/>
            <wp:positionH relativeFrom="column">
              <wp:posOffset>-16510</wp:posOffset>
            </wp:positionH>
            <wp:positionV relativeFrom="paragraph">
              <wp:posOffset>201930</wp:posOffset>
            </wp:positionV>
            <wp:extent cx="5256530" cy="2988310"/>
            <wp:effectExtent l="5080" t="4445" r="8890" b="17145"/>
            <wp:wrapTopAndBottom/>
            <wp:docPr id="9" name="图表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anchor>
        </w:drawing>
      </w:r>
    </w:p>
    <w:p>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三、支出决算情况说明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本部门2024年度本年支出合计1,242,997.43万元，其中：基本支出15,368.22万元，占1.2%；项目支出1,227,629.20万元，占98.8%；上缴上级支出0.00万元，占0.0%；经营支出0.00万元，占0.0%；对附属单位补助支出0.00万元，占0.0%。</w:t>
      </w:r>
    </w:p>
    <w:p>
      <w:pPr>
        <w:autoSpaceDE w:val="0"/>
        <w:autoSpaceDN w:val="0"/>
        <w:adjustRightInd w:val="0"/>
        <w:jc w:val="center"/>
        <w:rPr>
          <w:rFonts w:hint="default" w:ascii="Times New Roman" w:hAnsi="Times New Roman" w:eastAsia="仿宋_GB2312" w:cs="Times New Roman"/>
          <w:color w:val="auto"/>
          <w:kern w:val="0"/>
          <w:sz w:val="32"/>
          <w:szCs w:val="32"/>
          <w:highlight w:val="none"/>
          <w:lang w:val="en-US" w:eastAsia="zh-CN" w:bidi="ar-SA"/>
        </w:rPr>
      </w:pPr>
      <w:r>
        <w:rPr>
          <w:rFonts w:ascii="Times New Roman" w:hAnsi="Times New Roman" w:eastAsia="仿宋_GB2312" w:cs="Times New Roman"/>
          <w:sz w:val="32"/>
          <w:szCs w:val="32"/>
          <w:highlight w:val="none"/>
        </w:rPr>
        <w:drawing>
          <wp:inline distT="0" distB="0" distL="114300" distR="114300">
            <wp:extent cx="5256530" cy="2988310"/>
            <wp:effectExtent l="5080" t="4445" r="15240" b="17145"/>
            <wp:docPr id="7" name="图表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四、财政拨款收入支出决算总体情况说明</w:t>
      </w:r>
    </w:p>
    <w:p>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（一）财政拨款收支与</w:t>
      </w:r>
      <w:r>
        <w:rPr>
          <w:rFonts w:ascii="Times New Roman" w:eastAsia="仿宋_GB2312"/>
          <w:b/>
          <w:sz w:val="32"/>
          <w:szCs w:val="32"/>
        </w:rPr>
        <w:t>2023</w:t>
      </w:r>
      <w:r>
        <w:rPr>
          <w:rFonts w:ascii="Times New Roman" w:eastAsia="楷体_GB2312"/>
          <w:b/>
          <w:sz w:val="32"/>
          <w:szCs w:val="32"/>
        </w:rPr>
        <w:t>年度决算对比情况</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本部门2024年度财政拨款收、支总计（含结转和结余）均为1,244,211.12万元。与2023年度相比，财政拨款收支各增加506,826.50万元，增长68.7%，主要原因是</w:t>
      </w:r>
      <w:r>
        <w:rPr>
          <w:rFonts w:hint="eastAsia" w:ascii="Times New Roman" w:eastAsia="仿宋_GB2312"/>
          <w:b w:val="0"/>
          <w:sz w:val="32"/>
          <w:szCs w:val="32"/>
          <w:lang w:eastAsia="zh-CN"/>
        </w:rPr>
        <w:t>：增加石家庄市城区基础设施提升、石家庄市北部片区基础设施提升专项债券项目资金及再融资专项债资金</w:t>
      </w:r>
      <w:r>
        <w:rPr>
          <w:rFonts w:ascii="Times New Roman" w:eastAsia="仿宋_GB2312"/>
          <w:b w:val="0"/>
          <w:sz w:val="32"/>
          <w:szCs w:val="32"/>
        </w:rPr>
        <w:t>。</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本部门2024年度财政拨款本年收入1,238,938.53万元,比上年增加513,255.30万元，增长70.7%，主要原因是</w:t>
      </w:r>
      <w:r>
        <w:rPr>
          <w:rFonts w:hint="eastAsia" w:ascii="Times New Roman" w:eastAsia="仿宋_GB2312"/>
          <w:b w:val="0"/>
          <w:sz w:val="32"/>
          <w:szCs w:val="32"/>
          <w:lang w:eastAsia="zh-CN"/>
        </w:rPr>
        <w:t>：增加石家庄市城区基础设施提升、石家庄市北部片区基础设施提升专项债券项目资金及再融资专项债资金收入</w:t>
      </w:r>
      <w:r>
        <w:rPr>
          <w:rFonts w:ascii="Times New Roman" w:eastAsia="仿宋_GB2312"/>
          <w:b w:val="0"/>
          <w:sz w:val="32"/>
          <w:szCs w:val="32"/>
        </w:rPr>
        <w:t>；本年支出1,240,361.80万元，比上年增加509,852.03万元，增长69.8%，主要原因是</w:t>
      </w:r>
      <w:r>
        <w:rPr>
          <w:rFonts w:hint="eastAsia" w:ascii="Times New Roman" w:eastAsia="仿宋_GB2312"/>
          <w:b w:val="0"/>
          <w:sz w:val="32"/>
          <w:szCs w:val="32"/>
          <w:lang w:eastAsia="zh-CN"/>
        </w:rPr>
        <w:t>：增加石家庄市城区基础设施提升、石家庄市北部片区基础设施提升工作专项债券项目资金及再融资专项债资金支出</w:t>
      </w:r>
      <w:r>
        <w:rPr>
          <w:rFonts w:ascii="Times New Roman" w:eastAsia="仿宋_GB2312"/>
          <w:b w:val="0"/>
          <w:sz w:val="32"/>
          <w:szCs w:val="32"/>
        </w:rPr>
        <w:t>。具体情况如下：</w:t>
      </w:r>
    </w:p>
    <w:p>
      <w:pPr>
        <w:widowControl/>
        <w:spacing w:before="0" w:beforeLines="0" w:beforeAutospacing="0" w:after="0" w:afterLines="0" w:afterAutospacing="0" w:line="360" w:lineRule="auto"/>
        <w:ind w:firstLine="640" w:firstLineChars="200"/>
        <w:jc w:val="left"/>
        <w:outlineLvl w:val="1"/>
        <w:rPr>
          <w:rFonts w:ascii="Times New Roman" w:eastAsia="仿宋_GB2312"/>
          <w:sz w:val="32"/>
          <w:szCs w:val="32"/>
        </w:rPr>
      </w:pPr>
      <w:r>
        <w:rPr>
          <w:rFonts w:ascii="Times New Roman" w:eastAsia="仿宋_GB2312"/>
          <w:b w:val="0"/>
          <w:sz w:val="32"/>
          <w:szCs w:val="32"/>
        </w:rPr>
        <w:t>1.一般公共预算财政拨款本年收入184,843.29万元,比上年增加3,561.91万元，增长2.0%，主要原因是</w:t>
      </w:r>
      <w:r>
        <w:rPr>
          <w:rFonts w:hint="eastAsia" w:ascii="Times New Roman" w:eastAsia="仿宋_GB2312"/>
          <w:b w:val="0"/>
          <w:sz w:val="32"/>
          <w:szCs w:val="32"/>
          <w:lang w:eastAsia="zh-CN"/>
        </w:rPr>
        <w:t>：</w:t>
      </w:r>
      <w:r>
        <w:rPr>
          <w:rFonts w:ascii="仿宋" w:hAnsi="仿宋" w:eastAsia="仿宋"/>
          <w:sz w:val="32"/>
          <w:szCs w:val="32"/>
        </w:rPr>
        <w:t>主要原因是2024年</w:t>
      </w:r>
      <w:r>
        <w:rPr>
          <w:rFonts w:hint="eastAsia" w:ascii="仿宋" w:hAnsi="仿宋" w:eastAsia="仿宋"/>
          <w:sz w:val="32"/>
          <w:szCs w:val="32"/>
          <w:lang w:eastAsia="zh-CN"/>
        </w:rPr>
        <w:t>度</w:t>
      </w:r>
      <w:r>
        <w:rPr>
          <w:rFonts w:ascii="仿宋" w:hAnsi="仿宋" w:eastAsia="仿宋"/>
          <w:sz w:val="32"/>
          <w:szCs w:val="32"/>
        </w:rPr>
        <w:t>下达的上级一般公共预算安排的转移支付的项目资金（中央投资普通干线公路养护工程）</w:t>
      </w:r>
      <w:r>
        <w:rPr>
          <w:rFonts w:hint="eastAsia" w:ascii="仿宋" w:hAnsi="仿宋" w:eastAsia="仿宋"/>
          <w:sz w:val="32"/>
          <w:szCs w:val="32"/>
        </w:rPr>
        <w:t>收入增加</w:t>
      </w:r>
      <w:r>
        <w:rPr>
          <w:rFonts w:ascii="Times New Roman" w:eastAsia="仿宋_GB2312"/>
          <w:b w:val="0"/>
          <w:sz w:val="32"/>
          <w:szCs w:val="32"/>
        </w:rPr>
        <w:t>；本年支出186,266.56万元，比上年增加158.64万元，增长0.1%，主要原因是</w:t>
      </w:r>
      <w:r>
        <w:rPr>
          <w:rFonts w:hint="eastAsia" w:ascii="Times New Roman" w:eastAsia="仿宋_GB2312"/>
          <w:b w:val="0"/>
          <w:sz w:val="32"/>
          <w:szCs w:val="32"/>
          <w:lang w:eastAsia="zh-CN"/>
        </w:rPr>
        <w:t>公路工程项目资金支出增加</w:t>
      </w:r>
      <w:r>
        <w:rPr>
          <w:rFonts w:ascii="Times New Roman" w:eastAsia="仿宋_GB2312"/>
          <w:b w:val="0"/>
          <w:sz w:val="32"/>
          <w:szCs w:val="32"/>
        </w:rPr>
        <w:t>。</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2.政府性基金预算财政拨款本年收入1,054,095.23万元，比上年增加509,693.39万元，增长93.6%，主要原因是</w:t>
      </w:r>
      <w:r>
        <w:rPr>
          <w:rFonts w:hint="eastAsia" w:ascii="Times New Roman" w:eastAsia="仿宋_GB2312"/>
          <w:b w:val="0"/>
          <w:sz w:val="32"/>
          <w:szCs w:val="32"/>
          <w:lang w:eastAsia="zh-CN"/>
        </w:rPr>
        <w:t>增加石家庄市城区基础设施提升、石家庄市北部片区基础设施提升专项债券项目资金及再融资专项债资金收入</w:t>
      </w:r>
      <w:r>
        <w:rPr>
          <w:rFonts w:ascii="Times New Roman" w:eastAsia="仿宋_GB2312"/>
          <w:b w:val="0"/>
          <w:sz w:val="32"/>
          <w:szCs w:val="32"/>
        </w:rPr>
        <w:t>；本年支出1,054,095.23万元，比上年增加509,693.39万元，增长93.6%，主要原因是</w:t>
      </w:r>
      <w:r>
        <w:rPr>
          <w:rFonts w:hint="eastAsia" w:ascii="Times New Roman" w:eastAsia="仿宋_GB2312"/>
          <w:b w:val="0"/>
          <w:sz w:val="32"/>
          <w:szCs w:val="32"/>
          <w:lang w:eastAsia="zh-CN"/>
        </w:rPr>
        <w:t>增加石家庄市城区基础设施提升、石家庄市北部片区基础设施提升工作专项债券项目资金及再融资专项债资金支出</w:t>
      </w:r>
      <w:r>
        <w:rPr>
          <w:rFonts w:ascii="Times New Roman" w:eastAsia="仿宋_GB2312"/>
          <w:b w:val="0"/>
          <w:sz w:val="32"/>
          <w:szCs w:val="32"/>
        </w:rPr>
        <w:t>。</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3.国有资本经营预算财政拨款本年收入0.00万元，比上年增加0.00万元，增长0.00%，</w:t>
      </w:r>
      <w:r>
        <w:rPr>
          <w:rFonts w:hint="eastAsia" w:ascii="Times New Roman" w:eastAsia="仿宋_GB2312"/>
          <w:b w:val="0"/>
          <w:sz w:val="32"/>
          <w:szCs w:val="32"/>
          <w:lang w:eastAsia="zh-CN"/>
        </w:rPr>
        <w:t>主要原因是我部门无国有资产经营预算收入</w:t>
      </w:r>
      <w:r>
        <w:rPr>
          <w:rFonts w:ascii="Times New Roman" w:eastAsia="仿宋_GB2312"/>
          <w:b w:val="0"/>
          <w:sz w:val="32"/>
          <w:szCs w:val="32"/>
        </w:rPr>
        <w:t>；本年支出0.00万元，比上年增加0.00万元，增长0.00%，</w:t>
      </w:r>
      <w:r>
        <w:rPr>
          <w:rFonts w:hint="eastAsia" w:ascii="Times New Roman" w:eastAsia="仿宋_GB2312"/>
          <w:b w:val="0"/>
          <w:sz w:val="32"/>
          <w:szCs w:val="32"/>
          <w:lang w:eastAsia="zh-CN"/>
        </w:rPr>
        <w:t>主要原因是我部门无国有资产经营预算支出</w:t>
      </w:r>
      <w:r>
        <w:rPr>
          <w:rFonts w:ascii="Times New Roman" w:eastAsia="仿宋_GB2312"/>
          <w:b w:val="0"/>
          <w:sz w:val="32"/>
          <w:szCs w:val="32"/>
        </w:rPr>
        <w:t>。</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eastAsia="仿宋_GB2312" w:cs="Times New Roman"/>
          <w:sz w:val="32"/>
          <w:szCs w:val="32"/>
          <w:highlight w:val="none"/>
          <w:lang w:val="en-US" w:eastAsia="zh-CN"/>
        </w:rPr>
      </w:pPr>
      <w:r>
        <w:rPr>
          <w:rFonts w:ascii="Times New Roman" w:hAnsi="Times New Roman" w:eastAsia="仿宋_GB2312"/>
          <w:sz w:val="32"/>
          <w:szCs w:val="32"/>
        </w:rPr>
        <w:drawing>
          <wp:inline distT="0" distB="0" distL="114300" distR="114300">
            <wp:extent cx="5256530" cy="2988310"/>
            <wp:effectExtent l="5080" t="4445" r="8890" b="17145"/>
            <wp:docPr id="3" name="图表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（二）财政拨款收支与年初预算数对比情况</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本部门2024年度财政拨款本年收入1,238,938.53万元，完成年初预算的298.2%，比年初预算增加823,528.27万元，决算数大于预算数主要原因是</w:t>
      </w:r>
      <w:bookmarkStart w:id="1" w:name="OLE_LINK1"/>
      <w:r>
        <w:rPr>
          <w:rFonts w:hint="eastAsia" w:ascii="Times New Roman" w:eastAsia="仿宋_GB2312"/>
          <w:b w:val="0"/>
          <w:sz w:val="32"/>
          <w:szCs w:val="32"/>
          <w:lang w:eastAsia="zh-CN"/>
        </w:rPr>
        <w:t>增加石家庄市城区基础设施提升、石家庄市北部片区基础设施提升专项债券项目资金及再融资专项债资金及上级转移支付资金</w:t>
      </w:r>
      <w:bookmarkEnd w:id="1"/>
      <w:r>
        <w:rPr>
          <w:rFonts w:ascii="Times New Roman" w:eastAsia="仿宋_GB2312"/>
          <w:b w:val="0"/>
          <w:sz w:val="32"/>
          <w:szCs w:val="32"/>
        </w:rPr>
        <w:t>。本年支出1,240,361.80万元，完成年初预算的297.2%，比年初预算增加822,995.56万元，决算数大于预算数主要原因是</w:t>
      </w:r>
      <w:r>
        <w:rPr>
          <w:rFonts w:hint="eastAsia" w:ascii="Times New Roman" w:eastAsia="仿宋_GB2312"/>
          <w:b w:val="0"/>
          <w:sz w:val="32"/>
          <w:szCs w:val="32"/>
          <w:lang w:eastAsia="zh-CN"/>
        </w:rPr>
        <w:t>增加石家庄市城区基础设施提升、石家庄市北部片区基础设施提升专项债券项目资金及再融资专项债资金及上级转移支付资金</w:t>
      </w:r>
      <w:r>
        <w:rPr>
          <w:rFonts w:ascii="Times New Roman" w:eastAsia="仿宋_GB2312"/>
          <w:b w:val="0"/>
          <w:sz w:val="32"/>
          <w:szCs w:val="32"/>
        </w:rPr>
        <w:t>。具体情况如下：</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1.一般公共预算财政拨款本年收入完成年初预算的96.0%，比年初预算减少7,757.20万元，主要原因是部分工程项目资金存在结转；支出完成年初预算的95.7%，比年初预算减少8,289.91万元，主要原因是主要原因是部分工程项目资金存在结转。</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2.政府性基金预算财政拨款本年收入完成年初预算的473.1%，比年初预算增加831,285.46万元，主要原因是</w:t>
      </w:r>
      <w:r>
        <w:rPr>
          <w:rFonts w:hint="eastAsia" w:ascii="Times New Roman" w:eastAsia="仿宋_GB2312"/>
          <w:b w:val="0"/>
          <w:sz w:val="32"/>
          <w:szCs w:val="32"/>
          <w:lang w:eastAsia="zh-CN"/>
        </w:rPr>
        <w:t>增加石家庄市城区基础设施提升、石家庄市北部片区基础设施提升专项债券项目资金及再融资专项债资金收入</w:t>
      </w:r>
      <w:r>
        <w:rPr>
          <w:rFonts w:ascii="Times New Roman" w:eastAsia="仿宋_GB2312"/>
          <w:b w:val="0"/>
          <w:sz w:val="32"/>
          <w:szCs w:val="32"/>
        </w:rPr>
        <w:t>；支出完成年初预算的473.1%，比年初预算增加831,285.46万元，主要原因是</w:t>
      </w:r>
      <w:r>
        <w:rPr>
          <w:rFonts w:hint="eastAsia" w:ascii="Times New Roman" w:eastAsia="仿宋_GB2312"/>
          <w:b w:val="0"/>
          <w:sz w:val="32"/>
          <w:szCs w:val="32"/>
          <w:lang w:eastAsia="zh-CN"/>
        </w:rPr>
        <w:t>增加石家庄市城区基础设施提升、石家庄市北部片区基础设施提升专项债券项目资金及再融资专项债资金支出</w:t>
      </w:r>
      <w:r>
        <w:rPr>
          <w:rFonts w:ascii="Times New Roman" w:eastAsia="仿宋_GB2312"/>
          <w:b w:val="0"/>
          <w:sz w:val="32"/>
          <w:szCs w:val="32"/>
        </w:rPr>
        <w:t>。</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3.国有资本经营预算财政拨款本年收入完成年初预算的0.0%，比年初预算增加0.00万元，</w:t>
      </w:r>
      <w:r>
        <w:rPr>
          <w:rFonts w:ascii="仿宋" w:hAnsi="仿宋" w:eastAsia="仿宋"/>
          <w:sz w:val="32"/>
          <w:szCs w:val="32"/>
        </w:rPr>
        <w:t>主要原因是我</w:t>
      </w:r>
      <w:r>
        <w:rPr>
          <w:rFonts w:hint="eastAsia" w:ascii="仿宋" w:hAnsi="仿宋" w:eastAsia="仿宋"/>
          <w:sz w:val="32"/>
          <w:szCs w:val="32"/>
          <w:lang w:eastAsia="zh-CN"/>
        </w:rPr>
        <w:t>部门</w:t>
      </w:r>
      <w:r>
        <w:rPr>
          <w:rFonts w:ascii="仿宋" w:hAnsi="仿宋" w:eastAsia="仿宋"/>
          <w:sz w:val="32"/>
          <w:szCs w:val="32"/>
        </w:rPr>
        <w:t>无国有资本经营预算</w:t>
      </w:r>
      <w:r>
        <w:rPr>
          <w:rFonts w:hint="eastAsia" w:ascii="仿宋" w:hAnsi="仿宋" w:eastAsia="仿宋"/>
          <w:sz w:val="32"/>
          <w:szCs w:val="32"/>
          <w:lang w:eastAsia="zh-CN"/>
        </w:rPr>
        <w:t>收入</w:t>
      </w:r>
      <w:r>
        <w:rPr>
          <w:rFonts w:ascii="Times New Roman" w:eastAsia="仿宋_GB2312"/>
          <w:b w:val="0"/>
          <w:sz w:val="32"/>
          <w:szCs w:val="32"/>
        </w:rPr>
        <w:t>；支出完成年初预算的0.0%，比年初预算增加0.00万元，</w:t>
      </w:r>
      <w:r>
        <w:rPr>
          <w:rFonts w:ascii="仿宋" w:hAnsi="仿宋" w:eastAsia="仿宋"/>
          <w:sz w:val="32"/>
          <w:szCs w:val="32"/>
        </w:rPr>
        <w:t>主要原因是我</w:t>
      </w:r>
      <w:r>
        <w:rPr>
          <w:rFonts w:hint="eastAsia" w:ascii="仿宋" w:hAnsi="仿宋" w:eastAsia="仿宋"/>
          <w:sz w:val="32"/>
          <w:szCs w:val="32"/>
          <w:lang w:eastAsia="zh-CN"/>
        </w:rPr>
        <w:t>部门</w:t>
      </w:r>
      <w:r>
        <w:rPr>
          <w:rFonts w:ascii="仿宋" w:hAnsi="仿宋" w:eastAsia="仿宋"/>
          <w:sz w:val="32"/>
          <w:szCs w:val="32"/>
        </w:rPr>
        <w:t>无国有资本经营预算</w:t>
      </w:r>
      <w:r>
        <w:rPr>
          <w:rFonts w:hint="eastAsia" w:ascii="仿宋" w:hAnsi="仿宋" w:eastAsia="仿宋"/>
          <w:sz w:val="32"/>
          <w:szCs w:val="32"/>
          <w:lang w:eastAsia="zh-CN"/>
        </w:rPr>
        <w:t>支出</w:t>
      </w:r>
      <w:r>
        <w:rPr>
          <w:rFonts w:ascii="Times New Roman" w:eastAsia="仿宋_GB2312"/>
          <w:b w:val="0"/>
          <w:sz w:val="32"/>
          <w:szCs w:val="32"/>
        </w:rPr>
        <w:t>。</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ascii="Times New Roman" w:hAnsi="Times New Roman" w:eastAsia="Arial" w:cs="Times New Roman"/>
          <w:highlight w:val="none"/>
        </w:rPr>
      </w:pP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eastAsia="仿宋_GB2312" w:cs="Times New Roman"/>
          <w:color w:val="auto"/>
          <w:kern w:val="0"/>
          <w:sz w:val="32"/>
          <w:szCs w:val="32"/>
          <w:highlight w:val="none"/>
          <w:lang w:val="en-US" w:eastAsia="zh-CN" w:bidi="ar-SA"/>
        </w:rPr>
      </w:pPr>
      <w:r>
        <w:rPr>
          <w:rFonts w:ascii="Times New Roman" w:hAnsi="Times New Roman" w:eastAsia="仿宋_GB2312"/>
          <w:sz w:val="32"/>
          <w:szCs w:val="32"/>
          <w:highlight w:val="none"/>
        </w:rPr>
        <w:drawing>
          <wp:inline distT="0" distB="0" distL="114300" distR="114300">
            <wp:extent cx="5256530" cy="2988310"/>
            <wp:effectExtent l="5080" t="4445" r="8890" b="17145"/>
            <wp:docPr id="11" name="图表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（三）财政拨款支出决算结构情况</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2024年度财政拨款支出1,240,361.80万元，主要用于以下方面：</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一般公共预算财政拨款支出：</w:t>
      </w:r>
    </w:p>
    <w:p>
      <w:pPr>
        <w:widowControl/>
        <w:spacing w:before="0" w:beforeLines="0" w:beforeAutospacing="0" w:after="0" w:afterLines="0" w:afterAutospacing="0" w:line="360" w:lineRule="auto"/>
        <w:ind w:firstLine="640" w:firstLineChars="200"/>
        <w:jc w:val="left"/>
        <w:rPr>
          <w:rFonts w:hint="eastAsia" w:ascii="Times New Roman" w:eastAsia="仿宋_GB2312"/>
          <w:sz w:val="32"/>
          <w:szCs w:val="32"/>
          <w:lang w:eastAsia="zh-CN"/>
        </w:rPr>
      </w:pPr>
      <w:r>
        <w:rPr>
          <w:rFonts w:ascii="Times New Roman" w:eastAsia="仿宋_GB2312"/>
          <w:b w:val="0"/>
          <w:sz w:val="32"/>
          <w:szCs w:val="32"/>
        </w:rPr>
        <w:t>社会保障和就业（类）支出3,753.55万元，占0.3%，主要用于</w:t>
      </w:r>
      <w:bookmarkStart w:id="2" w:name="OLE_LINK3"/>
      <w:r>
        <w:rPr>
          <w:rFonts w:ascii="仿宋" w:hAnsi="仿宋" w:eastAsia="仿宋"/>
          <w:sz w:val="32"/>
          <w:szCs w:val="32"/>
        </w:rPr>
        <w:t>交纳职工养老保险、失业保险、工伤保险及发放退休人员生活补贴、取暖费</w:t>
      </w:r>
      <w:bookmarkEnd w:id="2"/>
      <w:r>
        <w:rPr>
          <w:rFonts w:ascii="Times New Roman" w:eastAsia="仿宋_GB2312"/>
          <w:b w:val="0"/>
          <w:sz w:val="32"/>
          <w:szCs w:val="32"/>
        </w:rPr>
        <w:t>等支出；卫生健康（类）支出771.12万元，占0.1%，主要用于</w:t>
      </w:r>
      <w:r>
        <w:rPr>
          <w:rFonts w:ascii="仿宋" w:hAnsi="仿宋" w:eastAsia="仿宋"/>
          <w:sz w:val="32"/>
          <w:szCs w:val="32"/>
        </w:rPr>
        <w:t>交纳职工医疗保险</w:t>
      </w:r>
      <w:r>
        <w:rPr>
          <w:rFonts w:ascii="Times New Roman" w:eastAsia="仿宋_GB2312"/>
          <w:b w:val="0"/>
          <w:sz w:val="32"/>
          <w:szCs w:val="32"/>
        </w:rPr>
        <w:t>等支出；城乡社区（类）支出91,702.41万元，占7.4%，主要用于</w:t>
      </w:r>
      <w:r>
        <w:rPr>
          <w:rFonts w:hint="eastAsia" w:ascii="Times New Roman" w:eastAsia="仿宋_GB2312"/>
          <w:b w:val="0"/>
          <w:sz w:val="32"/>
          <w:szCs w:val="32"/>
          <w:lang w:eastAsia="zh-CN"/>
        </w:rPr>
        <w:t>公交运营补贴、三环路道路维护费</w:t>
      </w:r>
      <w:r>
        <w:rPr>
          <w:rFonts w:ascii="Times New Roman" w:eastAsia="仿宋_GB2312"/>
          <w:b w:val="0"/>
          <w:sz w:val="32"/>
          <w:szCs w:val="32"/>
        </w:rPr>
        <w:t>等支出；交通运输（类）支出68,666.01万元，占5.5%，主要用于</w:t>
      </w:r>
      <w:r>
        <w:rPr>
          <w:rFonts w:hint="eastAsia" w:ascii="Times New Roman" w:eastAsia="仿宋_GB2312"/>
          <w:b w:val="0"/>
          <w:sz w:val="32"/>
          <w:szCs w:val="32"/>
          <w:lang w:eastAsia="zh-CN"/>
        </w:rPr>
        <w:t>公路工程项目资金、农村道路客运补贴及城市发展奖励资金、人员类、运转类项目</w:t>
      </w:r>
      <w:r>
        <w:rPr>
          <w:rFonts w:ascii="Times New Roman" w:eastAsia="仿宋_GB2312"/>
          <w:b w:val="0"/>
          <w:sz w:val="32"/>
          <w:szCs w:val="32"/>
        </w:rPr>
        <w:t>等支出；住房保障（类）支出964.74万元，占0.1%，主要用于</w:t>
      </w:r>
      <w:r>
        <w:rPr>
          <w:rFonts w:hint="eastAsia" w:ascii="Times New Roman" w:eastAsia="仿宋_GB2312"/>
          <w:b w:val="0"/>
          <w:sz w:val="32"/>
          <w:szCs w:val="32"/>
          <w:lang w:eastAsia="zh-CN"/>
        </w:rPr>
        <w:t>缴纳职工公积金</w:t>
      </w:r>
      <w:r>
        <w:rPr>
          <w:rFonts w:ascii="Times New Roman" w:eastAsia="仿宋_GB2312"/>
          <w:b w:val="0"/>
          <w:sz w:val="32"/>
          <w:szCs w:val="32"/>
        </w:rPr>
        <w:t>支出；害防治及应急管理（类）支出20,408.73万元，占1.6%，主要用于</w:t>
      </w:r>
      <w:r>
        <w:rPr>
          <w:rFonts w:ascii="仿宋" w:hAnsi="仿宋" w:eastAsia="仿宋"/>
          <w:sz w:val="32"/>
          <w:szCs w:val="32"/>
        </w:rPr>
        <w:t>水毁重建工程工程款</w:t>
      </w:r>
      <w:r>
        <w:rPr>
          <w:rFonts w:hint="eastAsia" w:ascii="仿宋" w:hAnsi="仿宋" w:eastAsia="仿宋"/>
          <w:sz w:val="32"/>
          <w:szCs w:val="32"/>
        </w:rPr>
        <w:t>的</w:t>
      </w:r>
      <w:r>
        <w:rPr>
          <w:rFonts w:ascii="Times New Roman" w:eastAsia="仿宋_GB2312"/>
          <w:b w:val="0"/>
          <w:sz w:val="32"/>
          <w:szCs w:val="32"/>
        </w:rPr>
        <w:t>等支出</w:t>
      </w:r>
      <w:r>
        <w:rPr>
          <w:rFonts w:hint="eastAsia" w:ascii="Times New Roman" w:eastAsia="仿宋_GB2312"/>
          <w:b w:val="0"/>
          <w:sz w:val="32"/>
          <w:szCs w:val="32"/>
          <w:lang w:eastAsia="zh-CN"/>
        </w:rPr>
        <w:t>。</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政府性基金预算财政拨款支出：</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城乡社区（类）支出56,190.25万元，占4.5%，主要用于</w:t>
      </w:r>
      <w:r>
        <w:rPr>
          <w:rFonts w:hint="eastAsia" w:ascii="Times New Roman" w:eastAsia="仿宋_GB2312"/>
          <w:b w:val="0"/>
          <w:sz w:val="32"/>
          <w:szCs w:val="32"/>
          <w:lang w:eastAsia="zh-CN"/>
        </w:rPr>
        <w:t>北三环、复兴大街市政化改造、公路工程项目</w:t>
      </w:r>
      <w:r>
        <w:rPr>
          <w:rFonts w:ascii="Times New Roman" w:eastAsia="仿宋_GB2312"/>
          <w:b w:val="0"/>
          <w:sz w:val="32"/>
          <w:szCs w:val="32"/>
        </w:rPr>
        <w:t>等支出；交通运输（类）支出352,080.47万元，占28.4%，主要用于</w:t>
      </w:r>
      <w:r>
        <w:rPr>
          <w:rFonts w:hint="eastAsia" w:ascii="Times New Roman" w:eastAsia="仿宋_GB2312"/>
          <w:b w:val="0"/>
          <w:sz w:val="32"/>
          <w:szCs w:val="32"/>
          <w:lang w:eastAsia="zh-CN"/>
        </w:rPr>
        <w:t>政府还贷高速公路运营养护资金、还贷资金</w:t>
      </w:r>
      <w:r>
        <w:rPr>
          <w:rFonts w:ascii="Times New Roman" w:eastAsia="仿宋_GB2312"/>
          <w:b w:val="0"/>
          <w:sz w:val="32"/>
          <w:szCs w:val="32"/>
        </w:rPr>
        <w:t>等支出；资源勘探信息等（类）支出210.15万元，占0.0%，主要用于</w:t>
      </w:r>
      <w:r>
        <w:rPr>
          <w:rFonts w:hint="eastAsia" w:ascii="Times New Roman" w:eastAsia="仿宋_GB2312"/>
          <w:b w:val="0"/>
          <w:sz w:val="32"/>
          <w:szCs w:val="32"/>
          <w:lang w:eastAsia="zh-CN"/>
        </w:rPr>
        <w:t>老旧营运货车更新超长期特别国债资金</w:t>
      </w:r>
      <w:r>
        <w:rPr>
          <w:rFonts w:ascii="Times New Roman" w:eastAsia="仿宋_GB2312"/>
          <w:b w:val="0"/>
          <w:sz w:val="32"/>
          <w:szCs w:val="32"/>
        </w:rPr>
        <w:t>等支出；其他（类）支出632,016.72万元，占51.0%，主要用于</w:t>
      </w:r>
      <w:r>
        <w:rPr>
          <w:rFonts w:hint="eastAsia" w:ascii="Times New Roman" w:eastAsia="仿宋_GB2312"/>
          <w:b w:val="0"/>
          <w:sz w:val="32"/>
          <w:szCs w:val="32"/>
          <w:lang w:eastAsia="zh-CN"/>
        </w:rPr>
        <w:t>石家庄市城区基础社区提升工程、石家庄市北部片区基础设施提升工程专项债券资金</w:t>
      </w:r>
      <w:r>
        <w:rPr>
          <w:rFonts w:ascii="Times New Roman" w:eastAsia="仿宋_GB2312"/>
          <w:b w:val="0"/>
          <w:sz w:val="32"/>
          <w:szCs w:val="32"/>
        </w:rPr>
        <w:t>等支出；债务付息（类）支出13,597.64万元，占1.1%，主要用于</w:t>
      </w:r>
      <w:r>
        <w:rPr>
          <w:rFonts w:hint="eastAsia" w:ascii="Times New Roman" w:eastAsia="仿宋_GB2312"/>
          <w:b w:val="0"/>
          <w:sz w:val="32"/>
          <w:szCs w:val="32"/>
          <w:lang w:eastAsia="zh-CN"/>
        </w:rPr>
        <w:t>专项债券利息、兑付兑息费</w:t>
      </w:r>
      <w:r>
        <w:rPr>
          <w:rFonts w:ascii="Times New Roman" w:eastAsia="仿宋_GB2312"/>
          <w:b w:val="0"/>
          <w:sz w:val="32"/>
          <w:szCs w:val="32"/>
        </w:rPr>
        <w:t>等支出。</w:t>
      </w:r>
    </w:p>
    <w:p>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（四）一般公共预算基本支出决算情况说明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2024年度财政拨款基本支出15,368.22万元，其中：</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人员经费14,222.75万元，主要包括基本工资、津贴补贴、奖金、绩效工资、机关事业</w:t>
      </w:r>
      <w:r>
        <w:rPr>
          <w:rFonts w:hint="eastAsia" w:ascii="Times New Roman" w:eastAsia="仿宋_GB2312"/>
          <w:b w:val="0"/>
          <w:sz w:val="32"/>
          <w:szCs w:val="32"/>
          <w:lang w:eastAsia="zh-CN"/>
        </w:rPr>
        <w:t>单位</w:t>
      </w:r>
      <w:r>
        <w:rPr>
          <w:rFonts w:ascii="Times New Roman" w:eastAsia="仿宋_GB2312"/>
          <w:b w:val="0"/>
          <w:sz w:val="32"/>
          <w:szCs w:val="32"/>
        </w:rPr>
        <w:t>基本养老保险缴费、职业年金缴费、职工基本医疗保险缴费、公务员医疗补助缴费、住房公积金</w:t>
      </w:r>
      <w:r>
        <w:rPr>
          <w:rFonts w:hint="eastAsia" w:ascii="Times New Roman" w:eastAsia="仿宋_GB2312"/>
          <w:b w:val="0"/>
          <w:sz w:val="32"/>
          <w:szCs w:val="32"/>
          <w:lang w:eastAsia="zh-CN"/>
        </w:rPr>
        <w:t>、</w:t>
      </w:r>
      <w:r>
        <w:rPr>
          <w:rFonts w:ascii="Times New Roman" w:eastAsia="仿宋_GB2312"/>
          <w:b w:val="0"/>
          <w:sz w:val="32"/>
          <w:szCs w:val="32"/>
        </w:rPr>
        <w:t>其他社会保障缴费、其他工资福利支出、离休费、退休费、抚恤金、生活补助、奖励金、其他对个人和家庭的补助支出。</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公用经费1,145.48万元，主要包括办公费、水费、电费、邮电费、取暖费、差旅费、维修（护）费、会议费、培训费、公务接待费、工会经费、福利费、公务用车运行维护费</w:t>
      </w:r>
      <w:r>
        <w:rPr>
          <w:rFonts w:hint="eastAsia" w:ascii="Times New Roman" w:eastAsia="仿宋_GB2312"/>
          <w:b w:val="0"/>
          <w:sz w:val="32"/>
          <w:szCs w:val="32"/>
          <w:lang w:eastAsia="zh-CN"/>
        </w:rPr>
        <w:t>、</w:t>
      </w:r>
      <w:r>
        <w:rPr>
          <w:rFonts w:ascii="Times New Roman" w:eastAsia="仿宋_GB2312"/>
          <w:b w:val="0"/>
          <w:sz w:val="32"/>
          <w:szCs w:val="32"/>
        </w:rPr>
        <w:t>其他商品和服务支出。</w:t>
      </w:r>
    </w:p>
    <w:p>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五、财政拨款“三公”经费支出决算情况说明</w:t>
      </w:r>
    </w:p>
    <w:p>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（一）“三公”经费财政拨款支出决算总体情况说明</w:t>
      </w:r>
    </w:p>
    <w:p>
      <w:pPr>
        <w:widowControl/>
        <w:spacing w:line="360" w:lineRule="auto"/>
        <w:ind w:firstLine="640" w:firstLineChars="200"/>
        <w:jc w:val="both"/>
        <w:rPr>
          <w:rFonts w:ascii="仿宋" w:hAnsi="仿宋" w:eastAsia="仿宋"/>
          <w:sz w:val="32"/>
          <w:szCs w:val="32"/>
        </w:rPr>
      </w:pPr>
      <w:r>
        <w:rPr>
          <w:rFonts w:ascii="Times New Roman" w:eastAsia="仿宋_GB2312"/>
          <w:b w:val="0"/>
          <w:sz w:val="32"/>
          <w:szCs w:val="32"/>
        </w:rPr>
        <w:t>本部门2024年度“三公”经费财政拨款支出预算为281.12万元，支出决算为260.99万元，完成预算的92.8%，较预算减少20.13万元，降低7.2%，主要原因是</w:t>
      </w:r>
      <w:r>
        <w:rPr>
          <w:rFonts w:hint="eastAsia" w:ascii="Times New Roman" w:eastAsia="仿宋_GB2312"/>
          <w:b w:val="0"/>
          <w:sz w:val="32"/>
          <w:szCs w:val="32"/>
          <w:lang w:eastAsia="zh-CN"/>
        </w:rPr>
        <w:t>根据财政“过紧日子”要求，压减“三公”经费支出</w:t>
      </w:r>
      <w:r>
        <w:rPr>
          <w:rFonts w:ascii="Times New Roman" w:eastAsia="仿宋_GB2312"/>
          <w:b w:val="0"/>
          <w:sz w:val="32"/>
          <w:szCs w:val="32"/>
        </w:rPr>
        <w:t>；较2023年度决算增加91.35万元，增长53.9%，主要原因是</w:t>
      </w:r>
      <w:r>
        <w:rPr>
          <w:rFonts w:ascii="仿宋" w:hAnsi="仿宋" w:eastAsia="仿宋"/>
          <w:sz w:val="32"/>
          <w:szCs w:val="32"/>
        </w:rPr>
        <w:t>按照市财政局</w:t>
      </w:r>
      <w:r>
        <w:rPr>
          <w:rFonts w:hint="eastAsia" w:ascii="仿宋" w:hAnsi="仿宋" w:eastAsia="仿宋"/>
          <w:sz w:val="32"/>
          <w:szCs w:val="32"/>
          <w:lang w:eastAsia="zh-CN"/>
        </w:rPr>
        <w:t>《关于调剂公务用车购置资金的批复》</w:t>
      </w:r>
      <w:r>
        <w:rPr>
          <w:rFonts w:ascii="仿宋" w:hAnsi="仿宋" w:eastAsia="仿宋"/>
          <w:sz w:val="32"/>
          <w:szCs w:val="32"/>
        </w:rPr>
        <w:t>文件，购置两辆公务用车。</w:t>
      </w:r>
    </w:p>
    <w:p>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（二）“三公”经费财政拨款支出决算具体情况说明</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楷体_GB2312"/>
          <w:b/>
          <w:sz w:val="32"/>
          <w:szCs w:val="32"/>
        </w:rPr>
        <w:t>1.因公出国（境）费支出情况。</w:t>
      </w:r>
      <w:r>
        <w:rPr>
          <w:rFonts w:ascii="Times New Roman" w:eastAsia="仿宋_GB2312"/>
          <w:b w:val="0"/>
          <w:sz w:val="32"/>
          <w:szCs w:val="32"/>
        </w:rPr>
        <w:t>本部门2024年度因公出国（境）费支出预算为0.00万元,支出决算0.00万元。完成预算的0.0%。因公出国（境）费支出较预算增加0.00万元，增长0.0%,</w:t>
      </w:r>
      <w:r>
        <w:rPr>
          <w:rFonts w:hint="eastAsia" w:ascii="Times New Roman" w:eastAsia="仿宋_GB2312"/>
          <w:b w:val="0"/>
          <w:sz w:val="32"/>
          <w:szCs w:val="32"/>
          <w:lang w:eastAsia="zh-CN"/>
        </w:rPr>
        <w:t>主要原因是</w:t>
      </w:r>
      <w:r>
        <w:rPr>
          <w:rFonts w:ascii="仿宋" w:hAnsi="仿宋" w:eastAsia="仿宋"/>
          <w:sz w:val="32"/>
          <w:szCs w:val="32"/>
        </w:rPr>
        <w:t>我</w:t>
      </w:r>
      <w:r>
        <w:rPr>
          <w:rFonts w:hint="eastAsia" w:ascii="仿宋" w:hAnsi="仿宋" w:eastAsia="仿宋"/>
          <w:sz w:val="32"/>
          <w:szCs w:val="32"/>
          <w:lang w:eastAsia="zh-CN"/>
        </w:rPr>
        <w:t>部门</w:t>
      </w:r>
      <w:r>
        <w:rPr>
          <w:rFonts w:ascii="仿宋" w:hAnsi="仿宋" w:eastAsia="仿宋"/>
          <w:sz w:val="32"/>
          <w:szCs w:val="32"/>
        </w:rPr>
        <w:t>无因公出国（</w:t>
      </w:r>
      <w:r>
        <w:rPr>
          <w:rFonts w:hint="eastAsia" w:ascii="仿宋" w:hAnsi="仿宋" w:eastAsia="仿宋"/>
          <w:sz w:val="32"/>
          <w:szCs w:val="32"/>
        </w:rPr>
        <w:t>境）支出</w:t>
      </w:r>
      <w:r>
        <w:rPr>
          <w:rFonts w:ascii="Times New Roman" w:eastAsia="仿宋_GB2312"/>
          <w:b w:val="0"/>
          <w:sz w:val="32"/>
          <w:szCs w:val="32"/>
        </w:rPr>
        <w:t>；较上年增加0.00万元，增长0.00%,</w:t>
      </w:r>
      <w:r>
        <w:rPr>
          <w:rFonts w:hint="eastAsia" w:ascii="Times New Roman" w:eastAsia="仿宋_GB2312"/>
          <w:b w:val="0"/>
          <w:sz w:val="32"/>
          <w:szCs w:val="32"/>
          <w:lang w:eastAsia="zh-CN"/>
        </w:rPr>
        <w:t>主要原因是</w:t>
      </w:r>
      <w:r>
        <w:rPr>
          <w:rFonts w:ascii="仿宋" w:hAnsi="仿宋" w:eastAsia="仿宋"/>
          <w:sz w:val="32"/>
          <w:szCs w:val="32"/>
        </w:rPr>
        <w:t>我</w:t>
      </w:r>
      <w:r>
        <w:rPr>
          <w:rFonts w:hint="eastAsia" w:ascii="仿宋" w:hAnsi="仿宋" w:eastAsia="仿宋"/>
          <w:sz w:val="32"/>
          <w:szCs w:val="32"/>
          <w:lang w:eastAsia="zh-CN"/>
        </w:rPr>
        <w:t>部门</w:t>
      </w:r>
      <w:r>
        <w:rPr>
          <w:rFonts w:ascii="仿宋" w:hAnsi="仿宋" w:eastAsia="仿宋"/>
          <w:sz w:val="32"/>
          <w:szCs w:val="32"/>
        </w:rPr>
        <w:t>无因公出国（</w:t>
      </w:r>
      <w:r>
        <w:rPr>
          <w:rFonts w:hint="eastAsia" w:ascii="仿宋" w:hAnsi="仿宋" w:eastAsia="仿宋"/>
          <w:sz w:val="32"/>
          <w:szCs w:val="32"/>
        </w:rPr>
        <w:t>境）支出</w:t>
      </w:r>
      <w:r>
        <w:rPr>
          <w:rFonts w:ascii="Times New Roman" w:eastAsia="仿宋_GB2312"/>
          <w:b w:val="0"/>
          <w:sz w:val="32"/>
          <w:szCs w:val="32"/>
        </w:rPr>
        <w:t>。因公出国（境）团组0个、共0人、参加其他单位组织的因公出国（境）团组</w:t>
      </w:r>
      <w:r>
        <w:rPr>
          <w:rFonts w:hint="eastAsia" w:ascii="Times New Roman" w:eastAsia="仿宋_GB2312"/>
          <w:b w:val="0"/>
          <w:sz w:val="32"/>
          <w:szCs w:val="32"/>
          <w:lang w:val="en-US" w:eastAsia="zh-CN"/>
        </w:rPr>
        <w:t>0</w:t>
      </w:r>
      <w:r>
        <w:rPr>
          <w:rFonts w:ascii="Times New Roman" w:eastAsia="仿宋_GB2312"/>
          <w:b w:val="0"/>
          <w:sz w:val="32"/>
          <w:szCs w:val="32"/>
        </w:rPr>
        <w:t>个、共</w:t>
      </w:r>
      <w:r>
        <w:rPr>
          <w:rFonts w:hint="eastAsia" w:ascii="Times New Roman" w:eastAsia="仿宋_GB2312"/>
          <w:b w:val="0"/>
          <w:sz w:val="32"/>
          <w:szCs w:val="32"/>
          <w:lang w:val="en-US" w:eastAsia="zh-CN"/>
        </w:rPr>
        <w:t>0</w:t>
      </w:r>
      <w:r>
        <w:rPr>
          <w:rFonts w:ascii="Times New Roman" w:eastAsia="仿宋_GB2312"/>
          <w:b w:val="0"/>
          <w:sz w:val="32"/>
          <w:szCs w:val="32"/>
        </w:rPr>
        <w:t>人</w:t>
      </w:r>
      <w:r>
        <w:rPr>
          <w:rFonts w:hint="eastAsia" w:ascii="Times New Roman" w:eastAsia="仿宋_GB2312"/>
          <w:b w:val="0"/>
          <w:sz w:val="32"/>
          <w:szCs w:val="32"/>
          <w:lang w:eastAsia="zh-CN"/>
        </w:rPr>
        <w:t>，</w:t>
      </w:r>
      <w:r>
        <w:rPr>
          <w:rFonts w:ascii="Times New Roman" w:eastAsia="仿宋_GB2312"/>
          <w:b w:val="0"/>
          <w:sz w:val="32"/>
          <w:szCs w:val="32"/>
        </w:rPr>
        <w:t>无本部门组织的出国（境）团组。</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楷体_GB2312"/>
          <w:b/>
          <w:sz w:val="32"/>
          <w:szCs w:val="32"/>
        </w:rPr>
        <w:t>2.公务用车购置及运行维护费支出情况。</w:t>
      </w:r>
      <w:r>
        <w:rPr>
          <w:rFonts w:ascii="Times New Roman" w:eastAsia="仿宋_GB2312"/>
          <w:b w:val="0"/>
          <w:sz w:val="32"/>
          <w:szCs w:val="32"/>
        </w:rPr>
        <w:t>本部门2024年度公务用车购置及运行维护费预算为280.02万元，支出决算260.99万元，完成预算的93.2%,较预算减少19.03万元，降低6.8%,主要原因是</w:t>
      </w:r>
      <w:r>
        <w:rPr>
          <w:rFonts w:hint="eastAsia" w:ascii="Times New Roman" w:eastAsia="仿宋_GB2312"/>
          <w:b w:val="0"/>
          <w:sz w:val="32"/>
          <w:szCs w:val="32"/>
          <w:lang w:eastAsia="zh-CN"/>
        </w:rPr>
        <w:t>部分车辆退租，公车租赁费减少</w:t>
      </w:r>
      <w:r>
        <w:rPr>
          <w:rFonts w:ascii="Times New Roman" w:eastAsia="仿宋_GB2312"/>
          <w:b w:val="0"/>
          <w:sz w:val="32"/>
          <w:szCs w:val="32"/>
        </w:rPr>
        <w:t>；较上年增加91.35万元，增长53.9%,主要原因是</w:t>
      </w:r>
      <w:r>
        <w:rPr>
          <w:rFonts w:ascii="仿宋" w:hAnsi="仿宋" w:eastAsia="仿宋"/>
          <w:sz w:val="32"/>
          <w:szCs w:val="32"/>
        </w:rPr>
        <w:t>按照市财政局</w:t>
      </w:r>
      <w:r>
        <w:rPr>
          <w:rFonts w:hint="eastAsia" w:ascii="仿宋" w:hAnsi="仿宋" w:eastAsia="仿宋"/>
          <w:sz w:val="32"/>
          <w:szCs w:val="32"/>
          <w:lang w:eastAsia="zh-CN"/>
        </w:rPr>
        <w:t>《关于调剂公务用车购置资金的批复》</w:t>
      </w:r>
      <w:r>
        <w:rPr>
          <w:rFonts w:ascii="仿宋" w:hAnsi="仿宋" w:eastAsia="仿宋"/>
          <w:sz w:val="32"/>
          <w:szCs w:val="32"/>
        </w:rPr>
        <w:t>文件，购置两辆公务用车</w:t>
      </w:r>
      <w:r>
        <w:rPr>
          <w:rFonts w:ascii="Times New Roman" w:eastAsia="仿宋_GB2312"/>
          <w:b w:val="0"/>
          <w:sz w:val="32"/>
          <w:szCs w:val="32"/>
        </w:rPr>
        <w:t>。其中：</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公务用车购置费支出72.24万元：</w:t>
      </w:r>
      <w:r>
        <w:rPr>
          <w:rFonts w:ascii="Times New Roman" w:eastAsia="仿宋_GB2312"/>
          <w:b w:val="0"/>
          <w:sz w:val="32"/>
          <w:szCs w:val="32"/>
        </w:rPr>
        <w:t>本部门2024年度公务用车购置量7辆，发生“公务用车购置”经费支出72.24万元。公务用车购置费支出较预算增加0.00万元，增长0.0%,主要原因是</w:t>
      </w:r>
      <w:r>
        <w:rPr>
          <w:rFonts w:hint="eastAsia" w:ascii="仿宋" w:hAnsi="仿宋" w:eastAsia="仿宋"/>
          <w:sz w:val="32"/>
          <w:szCs w:val="32"/>
        </w:rPr>
        <w:t>本年按预算批复完成了公务用车购置</w:t>
      </w:r>
      <w:r>
        <w:rPr>
          <w:rFonts w:ascii="Times New Roman" w:eastAsia="仿宋_GB2312"/>
          <w:b w:val="0"/>
          <w:sz w:val="32"/>
          <w:szCs w:val="32"/>
        </w:rPr>
        <w:t>；较上年增加59.16万元，增长452.3%,主要原因是</w:t>
      </w:r>
      <w:r>
        <w:rPr>
          <w:rFonts w:ascii="仿宋" w:hAnsi="仿宋" w:eastAsia="仿宋"/>
          <w:sz w:val="32"/>
          <w:szCs w:val="32"/>
        </w:rPr>
        <w:t>按照市财政局</w:t>
      </w:r>
      <w:r>
        <w:rPr>
          <w:rFonts w:hint="eastAsia" w:ascii="仿宋" w:hAnsi="仿宋" w:eastAsia="仿宋"/>
          <w:sz w:val="32"/>
          <w:szCs w:val="32"/>
          <w:lang w:eastAsia="zh-CN"/>
        </w:rPr>
        <w:t>《关于调剂公务用车购置资金的批复》</w:t>
      </w:r>
      <w:r>
        <w:rPr>
          <w:rFonts w:ascii="仿宋" w:hAnsi="仿宋" w:eastAsia="仿宋"/>
          <w:sz w:val="32"/>
          <w:szCs w:val="32"/>
        </w:rPr>
        <w:t>文件，购置两辆公务用车</w:t>
      </w:r>
      <w:r>
        <w:rPr>
          <w:rFonts w:ascii="Times New Roman" w:eastAsia="仿宋_GB2312"/>
          <w:b w:val="0"/>
          <w:sz w:val="32"/>
          <w:szCs w:val="32"/>
        </w:rPr>
        <w:t>。</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公务用车运行维护费支出188.75万元：</w:t>
      </w:r>
      <w:r>
        <w:rPr>
          <w:rFonts w:ascii="Times New Roman" w:eastAsia="仿宋_GB2312"/>
          <w:b w:val="0"/>
          <w:sz w:val="32"/>
          <w:szCs w:val="32"/>
        </w:rPr>
        <w:t>本部门2024年度单位公务用车保有量79辆，发生运行维护费支出188.75万元。公车运行维护费支出较预算减少19.03万元，降低9.2%,主要原因是</w:t>
      </w:r>
      <w:r>
        <w:rPr>
          <w:rFonts w:hint="eastAsia" w:ascii="Times New Roman" w:eastAsia="仿宋_GB2312"/>
          <w:b w:val="0"/>
          <w:sz w:val="32"/>
          <w:szCs w:val="32"/>
          <w:lang w:eastAsia="zh-CN"/>
        </w:rPr>
        <w:t>根据财政“过紧日子”要求，压减公车运行开支</w:t>
      </w:r>
      <w:r>
        <w:rPr>
          <w:rFonts w:ascii="Times New Roman" w:eastAsia="仿宋_GB2312"/>
          <w:b w:val="0"/>
          <w:sz w:val="32"/>
          <w:szCs w:val="32"/>
        </w:rPr>
        <w:t>；较上年增加32.19万元，增长20.6%，主要原因是</w:t>
      </w:r>
      <w:r>
        <w:rPr>
          <w:rFonts w:ascii="仿宋" w:hAnsi="仿宋" w:eastAsia="仿宋"/>
          <w:sz w:val="32"/>
          <w:szCs w:val="32"/>
        </w:rPr>
        <w:t>按照市财政局</w:t>
      </w:r>
      <w:r>
        <w:rPr>
          <w:rFonts w:hint="eastAsia" w:ascii="仿宋" w:hAnsi="仿宋" w:eastAsia="仿宋"/>
          <w:sz w:val="32"/>
          <w:szCs w:val="32"/>
          <w:lang w:eastAsia="zh-CN"/>
        </w:rPr>
        <w:t>《关于调剂公务用车购置资金的批复》</w:t>
      </w:r>
      <w:r>
        <w:rPr>
          <w:rFonts w:ascii="仿宋" w:hAnsi="仿宋" w:eastAsia="仿宋"/>
          <w:sz w:val="32"/>
          <w:szCs w:val="32"/>
        </w:rPr>
        <w:t>文件，购置两辆公务用车</w:t>
      </w:r>
      <w:r>
        <w:rPr>
          <w:rFonts w:ascii="Times New Roman" w:eastAsia="仿宋_GB2312"/>
          <w:b w:val="0"/>
          <w:sz w:val="32"/>
          <w:szCs w:val="32"/>
        </w:rPr>
        <w:t>。</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楷体_GB2312"/>
          <w:b/>
          <w:sz w:val="32"/>
          <w:szCs w:val="32"/>
        </w:rPr>
        <w:t>3.公务接待费支出情况。</w:t>
      </w:r>
      <w:r>
        <w:rPr>
          <w:rFonts w:ascii="Times New Roman" w:eastAsia="仿宋_GB2312"/>
          <w:b w:val="0"/>
          <w:sz w:val="32"/>
          <w:szCs w:val="32"/>
        </w:rPr>
        <w:t>本部门2024年度公务接待费支出预算为1.10万元，支出决算0.00万元，完成预算的0.0%。公务接待费支出较预算减少1.10万元，降低100.0%,主要原因是</w:t>
      </w:r>
      <w:r>
        <w:rPr>
          <w:rFonts w:hint="eastAsia" w:ascii="Times New Roman" w:eastAsia="仿宋_GB2312"/>
          <w:b w:val="0"/>
          <w:sz w:val="32"/>
          <w:szCs w:val="32"/>
          <w:lang w:val="en-US" w:eastAsia="zh-CN"/>
        </w:rPr>
        <w:t>2024年部门未发生接待费支出</w:t>
      </w:r>
      <w:r>
        <w:rPr>
          <w:rFonts w:ascii="Times New Roman" w:eastAsia="仿宋_GB2312"/>
          <w:b w:val="0"/>
          <w:sz w:val="32"/>
          <w:szCs w:val="32"/>
        </w:rPr>
        <w:t>；较上年度增加0.00万元，增长0.00%,主要原因是</w:t>
      </w:r>
      <w:r>
        <w:rPr>
          <w:rFonts w:hint="eastAsia" w:ascii="Times New Roman" w:eastAsia="仿宋_GB2312"/>
          <w:b w:val="0"/>
          <w:sz w:val="32"/>
          <w:szCs w:val="32"/>
          <w:lang w:val="en-US" w:eastAsia="zh-CN"/>
        </w:rPr>
        <w:t>2024年部门未发生接待费支出</w:t>
      </w:r>
      <w:r>
        <w:rPr>
          <w:rFonts w:ascii="Times New Roman" w:eastAsia="仿宋_GB2312"/>
          <w:b w:val="0"/>
          <w:sz w:val="32"/>
          <w:szCs w:val="32"/>
        </w:rPr>
        <w:t>。本年度共发生公务接待0批次、0人次。</w:t>
      </w:r>
    </w:p>
    <w:p>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六、机关运行经费支出说明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本部门2024年度机关运行经费支出236.27万元，较2023年度增加5.79万元，增长2.5%。主要原因是</w:t>
      </w:r>
      <w:r>
        <w:rPr>
          <w:rFonts w:hint="eastAsia" w:ascii="Times New Roman" w:eastAsia="仿宋_GB2312"/>
          <w:b w:val="0"/>
          <w:sz w:val="32"/>
          <w:szCs w:val="32"/>
          <w:lang w:eastAsia="zh-CN"/>
        </w:rPr>
        <w:t>人员增加，机关运行经费支出增加</w:t>
      </w:r>
      <w:r>
        <w:rPr>
          <w:rFonts w:ascii="Times New Roman" w:eastAsia="仿宋_GB2312"/>
          <w:b w:val="0"/>
          <w:sz w:val="32"/>
          <w:szCs w:val="32"/>
        </w:rPr>
        <w:t>。</w:t>
      </w:r>
    </w:p>
    <w:p>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七、政府采购支出说明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部门2024年度政府采购支出总额118,522.15万元，从采购类型来看，政府采购货物支出238.87万元、政府采购工程支出97,012.49万元、政府采购服务支出21,270.79万元。授予中小企业合同金额78,931.17万元，占政府采购支出总额的66.6%，其中授予小微企业合同金额26,101.82万元，占政府采购支出总额的22.0%。</w:t>
      </w:r>
    </w:p>
    <w:p>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八、国有资产占用情况说明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截至2024年12月31日，本部门共有车辆86辆，比上年减少6辆，主要是</w:t>
      </w:r>
      <w:r>
        <w:rPr>
          <w:rFonts w:hint="eastAsia" w:ascii="Times New Roman" w:eastAsia="仿宋_GB2312"/>
          <w:b w:val="0"/>
          <w:sz w:val="32"/>
          <w:szCs w:val="32"/>
          <w:lang w:eastAsia="zh-CN"/>
        </w:rPr>
        <w:t>部分租赁公务用车按要求退租</w:t>
      </w:r>
      <w:r>
        <w:rPr>
          <w:rFonts w:ascii="Times New Roman" w:eastAsia="仿宋_GB2312"/>
          <w:b w:val="0"/>
          <w:sz w:val="32"/>
          <w:szCs w:val="32"/>
        </w:rPr>
        <w:t>。其中，副部（省）级及以上领导用车0辆，主要负责人用车0辆，机要通信用车3辆，应急保障用车8辆，执法执勤用车50辆，特种专业技术用车0辆，离退休干部用车3辆，其他用车22辆，其他用车主要是</w:t>
      </w:r>
      <w:r>
        <w:rPr>
          <w:rFonts w:hint="eastAsia" w:ascii="Times New Roman" w:eastAsia="仿宋_GB2312"/>
          <w:b w:val="0"/>
          <w:sz w:val="32"/>
          <w:szCs w:val="32"/>
          <w:lang w:eastAsia="zh-CN"/>
        </w:rPr>
        <w:t>业务用车</w:t>
      </w:r>
      <w:r>
        <w:rPr>
          <w:rFonts w:ascii="Times New Roman" w:eastAsia="仿宋_GB2312"/>
          <w:b w:val="0"/>
          <w:sz w:val="32"/>
          <w:szCs w:val="32"/>
        </w:rPr>
        <w:t>。单位价值100万元（含）以上设备（不含车辆）3台（套）。</w:t>
      </w:r>
    </w:p>
    <w:p>
      <w:pPr>
        <w:widowControl/>
        <w:spacing w:before="0" w:beforeLines="0" w:beforeAutospacing="0" w:after="0" w:afterLines="0" w:afterAutospacing="0" w:line="360" w:lineRule="auto"/>
        <w:ind w:firstLine="640" w:firstLineChars="200"/>
        <w:jc w:val="left"/>
        <w:outlineLvl w:val="1"/>
        <w:rPr>
          <w:rFonts w:ascii="Times New Roman" w:eastAsia="黑体"/>
          <w:color w:val="auto"/>
          <w:sz w:val="32"/>
          <w:szCs w:val="32"/>
        </w:rPr>
      </w:pPr>
      <w:r>
        <w:rPr>
          <w:rFonts w:ascii="Times New Roman" w:eastAsia="黑体"/>
          <w:b w:val="0"/>
          <w:color w:val="auto"/>
          <w:sz w:val="32"/>
          <w:szCs w:val="32"/>
        </w:rPr>
        <w:t>九、关于2024年度绩效评价情况的说明</w:t>
      </w:r>
    </w:p>
    <w:p>
      <w:pPr>
        <w:widowControl/>
        <w:spacing w:before="0" w:beforeLines="0" w:beforeAutospacing="0" w:after="0" w:afterLines="0" w:afterAutospacing="0" w:line="360" w:lineRule="auto"/>
        <w:ind w:firstLine="643" w:firstLineChars="200"/>
        <w:jc w:val="left"/>
        <w:rPr>
          <w:rFonts w:ascii="Times New Roman" w:eastAsia="仿宋_GB2312"/>
          <w:color w:val="auto"/>
          <w:sz w:val="32"/>
          <w:szCs w:val="32"/>
        </w:rPr>
      </w:pPr>
      <w:r>
        <w:rPr>
          <w:rFonts w:ascii="Times New Roman" w:eastAsia="仿宋_GB2312"/>
          <w:b/>
          <w:color w:val="auto"/>
          <w:sz w:val="32"/>
          <w:szCs w:val="32"/>
        </w:rPr>
        <w:t>（一）绩效评价工作开展情况</w:t>
      </w:r>
    </w:p>
    <w:p>
      <w:pPr>
        <w:widowControl/>
        <w:spacing w:before="0" w:beforeLines="0" w:beforeAutospacing="0" w:after="0" w:afterLines="0" w:afterAutospacing="0" w:line="360" w:lineRule="auto"/>
        <w:ind w:firstLine="640" w:firstLineChars="200"/>
        <w:jc w:val="left"/>
        <w:rPr>
          <w:rFonts w:ascii="Times New Roman" w:eastAsia="仿宋_GB2312"/>
          <w:color w:val="auto"/>
          <w:sz w:val="32"/>
          <w:szCs w:val="32"/>
        </w:rPr>
      </w:pPr>
      <w:r>
        <w:rPr>
          <w:rFonts w:ascii="Times New Roman" w:eastAsia="仿宋_GB2312"/>
          <w:b w:val="0"/>
          <w:color w:val="auto"/>
          <w:sz w:val="32"/>
          <w:szCs w:val="32"/>
        </w:rPr>
        <w:t>根据预算绩效管理要求，本部门组织对2024年度本级预算项目支出全面开展绩效自评，共涉及资金</w:t>
      </w:r>
      <w:r>
        <w:rPr>
          <w:rFonts w:hint="eastAsia" w:ascii="Times New Roman" w:eastAsia="仿宋_GB2312"/>
          <w:b w:val="0"/>
          <w:color w:val="auto"/>
          <w:sz w:val="32"/>
          <w:szCs w:val="32"/>
          <w:lang w:val="en-US" w:eastAsia="zh-CN"/>
        </w:rPr>
        <w:t>1227629.2</w:t>
      </w:r>
      <w:r>
        <w:rPr>
          <w:rFonts w:ascii="Times New Roman" w:eastAsia="仿宋_GB2312"/>
          <w:b w:val="0"/>
          <w:color w:val="auto"/>
          <w:sz w:val="32"/>
          <w:szCs w:val="32"/>
        </w:rPr>
        <w:t>万元。其中，一般公共预算项目</w:t>
      </w:r>
      <w:r>
        <w:rPr>
          <w:rFonts w:hint="eastAsia" w:ascii="Times New Roman" w:eastAsia="仿宋_GB2312"/>
          <w:b w:val="0"/>
          <w:color w:val="auto"/>
          <w:sz w:val="32"/>
          <w:szCs w:val="32"/>
          <w:lang w:val="en-US" w:eastAsia="zh-CN"/>
        </w:rPr>
        <w:t>135</w:t>
      </w:r>
      <w:r>
        <w:rPr>
          <w:rFonts w:ascii="Times New Roman" w:eastAsia="仿宋_GB2312"/>
          <w:b w:val="0"/>
          <w:color w:val="auto"/>
          <w:sz w:val="32"/>
          <w:szCs w:val="32"/>
        </w:rPr>
        <w:t>个，涉及资金</w:t>
      </w:r>
      <w:r>
        <w:rPr>
          <w:rFonts w:hint="eastAsia" w:ascii="Times New Roman" w:eastAsia="仿宋_GB2312"/>
          <w:b w:val="0"/>
          <w:color w:val="auto"/>
          <w:sz w:val="32"/>
          <w:szCs w:val="32"/>
          <w:lang w:val="en-US" w:eastAsia="zh-CN"/>
        </w:rPr>
        <w:t>170898.34</w:t>
      </w:r>
      <w:r>
        <w:rPr>
          <w:rFonts w:ascii="Times New Roman" w:eastAsia="仿宋_GB2312"/>
          <w:b w:val="0"/>
          <w:color w:val="auto"/>
          <w:sz w:val="32"/>
          <w:szCs w:val="32"/>
        </w:rPr>
        <w:t>万元，占一般公共预算项目支出总额的</w:t>
      </w:r>
      <w:r>
        <w:rPr>
          <w:rFonts w:hint="eastAsia" w:ascii="Times New Roman" w:eastAsia="仿宋_GB2312"/>
          <w:b w:val="0"/>
          <w:color w:val="auto"/>
          <w:sz w:val="32"/>
          <w:szCs w:val="32"/>
          <w:lang w:val="en-US" w:eastAsia="zh-CN"/>
        </w:rPr>
        <w:t>100</w:t>
      </w:r>
      <w:r>
        <w:rPr>
          <w:rFonts w:ascii="Times New Roman" w:eastAsia="仿宋_GB2312"/>
          <w:b w:val="0"/>
          <w:color w:val="auto"/>
          <w:sz w:val="32"/>
          <w:szCs w:val="32"/>
        </w:rPr>
        <w:t>%；政府性基金预算项目</w:t>
      </w:r>
      <w:r>
        <w:rPr>
          <w:rFonts w:hint="eastAsia" w:ascii="Times New Roman" w:eastAsia="仿宋_GB2312"/>
          <w:b w:val="0"/>
          <w:color w:val="auto"/>
          <w:sz w:val="32"/>
          <w:szCs w:val="32"/>
          <w:lang w:val="en-US" w:eastAsia="zh-CN"/>
        </w:rPr>
        <w:t>29</w:t>
      </w:r>
      <w:r>
        <w:rPr>
          <w:rFonts w:ascii="Times New Roman" w:eastAsia="仿宋_GB2312"/>
          <w:b w:val="0"/>
          <w:color w:val="auto"/>
          <w:sz w:val="32"/>
          <w:szCs w:val="32"/>
        </w:rPr>
        <w:t>个，涉及资金</w:t>
      </w:r>
      <w:r>
        <w:rPr>
          <w:rFonts w:hint="eastAsia" w:ascii="Times New Roman" w:eastAsia="仿宋_GB2312"/>
          <w:b w:val="0"/>
          <w:color w:val="auto"/>
          <w:sz w:val="32"/>
          <w:szCs w:val="32"/>
          <w:lang w:val="en-US" w:eastAsia="zh-CN"/>
        </w:rPr>
        <w:t>1054095.23</w:t>
      </w:r>
      <w:r>
        <w:rPr>
          <w:rFonts w:ascii="Times New Roman" w:eastAsia="仿宋_GB2312"/>
          <w:b w:val="0"/>
          <w:color w:val="auto"/>
          <w:sz w:val="32"/>
          <w:szCs w:val="32"/>
        </w:rPr>
        <w:t>万元，占政府性基金预算项目支出总额的</w:t>
      </w:r>
      <w:r>
        <w:rPr>
          <w:rFonts w:hint="eastAsia" w:ascii="Times New Roman" w:eastAsia="仿宋_GB2312"/>
          <w:b w:val="0"/>
          <w:color w:val="auto"/>
          <w:sz w:val="32"/>
          <w:szCs w:val="32"/>
          <w:lang w:val="en-US" w:eastAsia="zh-CN"/>
        </w:rPr>
        <w:t>100</w:t>
      </w:r>
      <w:r>
        <w:rPr>
          <w:rFonts w:ascii="Times New Roman" w:eastAsia="仿宋_GB2312"/>
          <w:b w:val="0"/>
          <w:color w:val="auto"/>
          <w:sz w:val="32"/>
          <w:szCs w:val="32"/>
        </w:rPr>
        <w:t>%</w:t>
      </w:r>
      <w:r>
        <w:rPr>
          <w:rFonts w:hint="eastAsia" w:ascii="Times New Roman" w:eastAsia="仿宋_GB2312"/>
          <w:b w:val="0"/>
          <w:color w:val="auto"/>
          <w:sz w:val="32"/>
          <w:szCs w:val="32"/>
          <w:lang w:eastAsia="zh-CN"/>
        </w:rPr>
        <w:t>；</w:t>
      </w:r>
      <w:r>
        <w:rPr>
          <w:rFonts w:ascii="Times New Roman" w:eastAsia="仿宋_GB2312"/>
          <w:b w:val="0"/>
          <w:color w:val="auto"/>
          <w:sz w:val="32"/>
          <w:szCs w:val="32"/>
        </w:rPr>
        <w:t>国有资本经营预算项目</w:t>
      </w:r>
      <w:r>
        <w:rPr>
          <w:rFonts w:hint="eastAsia" w:ascii="Times New Roman" w:eastAsia="仿宋_GB2312"/>
          <w:b w:val="0"/>
          <w:color w:val="auto"/>
          <w:sz w:val="32"/>
          <w:szCs w:val="32"/>
          <w:lang w:val="en-US" w:eastAsia="zh-CN"/>
        </w:rPr>
        <w:t>0</w:t>
      </w:r>
      <w:r>
        <w:rPr>
          <w:rFonts w:ascii="Times New Roman" w:eastAsia="仿宋_GB2312"/>
          <w:b w:val="0"/>
          <w:color w:val="auto"/>
          <w:sz w:val="32"/>
          <w:szCs w:val="32"/>
        </w:rPr>
        <w:t>个，涉及资金</w:t>
      </w:r>
      <w:r>
        <w:rPr>
          <w:rFonts w:hint="eastAsia" w:ascii="Times New Roman" w:eastAsia="仿宋_GB2312"/>
          <w:b w:val="0"/>
          <w:color w:val="auto"/>
          <w:sz w:val="32"/>
          <w:szCs w:val="32"/>
          <w:lang w:val="en-US" w:eastAsia="zh-CN"/>
        </w:rPr>
        <w:t>0.00</w:t>
      </w:r>
      <w:r>
        <w:rPr>
          <w:rFonts w:ascii="Times New Roman" w:eastAsia="仿宋_GB2312"/>
          <w:b w:val="0"/>
          <w:color w:val="auto"/>
          <w:sz w:val="32"/>
          <w:szCs w:val="32"/>
        </w:rPr>
        <w:t>万元，占国有资本经营预算项目支出总额的</w:t>
      </w:r>
      <w:r>
        <w:rPr>
          <w:rFonts w:hint="eastAsia" w:ascii="Times New Roman" w:eastAsia="仿宋_GB2312"/>
          <w:b w:val="0"/>
          <w:color w:val="auto"/>
          <w:sz w:val="32"/>
          <w:szCs w:val="32"/>
          <w:lang w:val="en-US" w:eastAsia="zh-CN"/>
        </w:rPr>
        <w:t>0.0</w:t>
      </w:r>
      <w:r>
        <w:rPr>
          <w:rFonts w:ascii="Times New Roman" w:eastAsia="仿宋_GB2312"/>
          <w:b w:val="0"/>
          <w:color w:val="auto"/>
          <w:sz w:val="32"/>
          <w:szCs w:val="32"/>
        </w:rPr>
        <w:t>%</w:t>
      </w:r>
      <w:r>
        <w:rPr>
          <w:rFonts w:hint="eastAsia" w:ascii="Times New Roman" w:eastAsia="仿宋_GB2312"/>
          <w:b w:val="0"/>
          <w:color w:val="auto"/>
          <w:sz w:val="32"/>
          <w:szCs w:val="32"/>
          <w:lang w:eastAsia="zh-CN"/>
        </w:rPr>
        <w:t>，其他收入资金项目</w:t>
      </w:r>
      <w:r>
        <w:rPr>
          <w:rFonts w:hint="eastAsia" w:ascii="Times New Roman" w:eastAsia="仿宋_GB2312"/>
          <w:b w:val="0"/>
          <w:color w:val="auto"/>
          <w:sz w:val="32"/>
          <w:szCs w:val="32"/>
          <w:lang w:val="en-US" w:eastAsia="zh-CN"/>
        </w:rPr>
        <w:t>2个，涉及资金2635.63万元</w:t>
      </w:r>
      <w:r>
        <w:rPr>
          <w:rFonts w:ascii="Times New Roman" w:eastAsia="仿宋_GB2312"/>
          <w:b w:val="0"/>
          <w:color w:val="auto"/>
          <w:sz w:val="32"/>
          <w:szCs w:val="32"/>
        </w:rPr>
        <w:t>。</w:t>
      </w:r>
    </w:p>
    <w:p>
      <w:pPr>
        <w:widowControl/>
        <w:spacing w:before="0" w:beforeLines="0" w:beforeAutospacing="0" w:after="0" w:afterLines="0" w:afterAutospacing="0" w:line="360" w:lineRule="auto"/>
        <w:ind w:firstLine="640" w:firstLineChars="200"/>
        <w:jc w:val="left"/>
        <w:rPr>
          <w:rFonts w:ascii="Times New Roman" w:eastAsia="仿宋_GB2312" w:cs="宋体"/>
          <w:b w:val="0"/>
          <w:color w:val="auto"/>
          <w:sz w:val="32"/>
          <w:szCs w:val="32"/>
        </w:rPr>
      </w:pPr>
      <w:r>
        <w:rPr>
          <w:rFonts w:ascii="Times New Roman" w:eastAsia="仿宋_GB2312" w:cs="宋体"/>
          <w:b w:val="0"/>
          <w:color w:val="auto"/>
          <w:sz w:val="32"/>
          <w:szCs w:val="32"/>
        </w:rPr>
        <w:t>组织对</w:t>
      </w:r>
      <w:r>
        <w:rPr>
          <w:rFonts w:hint="eastAsia" w:ascii="Times New Roman" w:eastAsia="仿宋_GB2312" w:cs="宋体"/>
          <w:b w:val="0"/>
          <w:color w:val="auto"/>
          <w:sz w:val="32"/>
          <w:szCs w:val="32"/>
          <w:lang w:eastAsia="zh-CN"/>
        </w:rPr>
        <w:t>冷链物流城市集配中心项目</w:t>
      </w:r>
      <w:r>
        <w:rPr>
          <w:rFonts w:ascii="Times New Roman" w:eastAsia="仿宋_GB2312" w:cs="宋体"/>
          <w:b w:val="0"/>
          <w:color w:val="auto"/>
          <w:sz w:val="32"/>
          <w:szCs w:val="32"/>
        </w:rPr>
        <w:t>等</w:t>
      </w:r>
      <w:r>
        <w:rPr>
          <w:rFonts w:hint="eastAsia" w:ascii="Times New Roman" w:eastAsia="仿宋_GB2312" w:cs="宋体"/>
          <w:b w:val="0"/>
          <w:color w:val="auto"/>
          <w:sz w:val="32"/>
          <w:szCs w:val="32"/>
          <w:lang w:val="en-US" w:eastAsia="zh-CN"/>
        </w:rPr>
        <w:t>35</w:t>
      </w:r>
      <w:r>
        <w:rPr>
          <w:rFonts w:ascii="Times New Roman" w:eastAsia="仿宋_GB2312" w:cs="宋体"/>
          <w:b w:val="0"/>
          <w:color w:val="auto"/>
          <w:sz w:val="32"/>
          <w:szCs w:val="32"/>
        </w:rPr>
        <w:t>个项目开展了重点评价，涉及一般公共预算支出</w:t>
      </w:r>
      <w:r>
        <w:rPr>
          <w:rFonts w:hint="eastAsia" w:ascii="Times New Roman" w:eastAsia="仿宋_GB2312" w:cs="宋体"/>
          <w:b w:val="0"/>
          <w:color w:val="auto"/>
          <w:sz w:val="32"/>
          <w:szCs w:val="32"/>
          <w:lang w:val="en-US" w:eastAsia="zh-CN"/>
        </w:rPr>
        <w:t>68118.33</w:t>
      </w:r>
      <w:r>
        <w:rPr>
          <w:rFonts w:ascii="Times New Roman" w:eastAsia="仿宋_GB2312" w:cs="宋体"/>
          <w:b w:val="0"/>
          <w:color w:val="auto"/>
          <w:sz w:val="32"/>
          <w:szCs w:val="32"/>
        </w:rPr>
        <w:t>万元，政府性基金预算支出</w:t>
      </w:r>
      <w:r>
        <w:rPr>
          <w:rFonts w:hint="eastAsia" w:ascii="Times New Roman" w:eastAsia="仿宋_GB2312" w:cs="宋体"/>
          <w:b w:val="0"/>
          <w:color w:val="auto"/>
          <w:sz w:val="32"/>
          <w:szCs w:val="32"/>
          <w:lang w:val="en-US" w:eastAsia="zh-CN"/>
        </w:rPr>
        <w:t>285534.60</w:t>
      </w:r>
      <w:r>
        <w:rPr>
          <w:rFonts w:ascii="Times New Roman" w:eastAsia="仿宋_GB2312" w:cs="宋体"/>
          <w:b w:val="0"/>
          <w:color w:val="auto"/>
          <w:sz w:val="32"/>
          <w:szCs w:val="32"/>
        </w:rPr>
        <w:t>万元，</w:t>
      </w:r>
      <w:r>
        <w:rPr>
          <w:rFonts w:hint="eastAsia" w:ascii="Times New Roman" w:eastAsia="仿宋_GB2312" w:cs="宋体"/>
          <w:b w:val="0"/>
          <w:color w:val="auto"/>
          <w:sz w:val="32"/>
          <w:szCs w:val="32"/>
          <w:lang w:eastAsia="zh-CN"/>
        </w:rPr>
        <w:t>其他收入预算项目支出</w:t>
      </w:r>
      <w:r>
        <w:rPr>
          <w:rFonts w:hint="eastAsia" w:ascii="Times New Roman" w:eastAsia="仿宋_GB2312" w:cs="宋体"/>
          <w:b w:val="0"/>
          <w:color w:val="auto"/>
          <w:sz w:val="32"/>
          <w:szCs w:val="32"/>
          <w:lang w:val="en-US" w:eastAsia="zh-CN"/>
        </w:rPr>
        <w:t>2635.63</w:t>
      </w:r>
      <w:r>
        <w:rPr>
          <w:rFonts w:ascii="Times New Roman" w:eastAsia="仿宋_GB2312" w:cs="宋体"/>
          <w:b w:val="0"/>
          <w:color w:val="auto"/>
          <w:sz w:val="32"/>
          <w:szCs w:val="32"/>
        </w:rPr>
        <w:t>万元，从评价情况来看，</w:t>
      </w:r>
      <w:r>
        <w:rPr>
          <w:rFonts w:hint="eastAsia" w:ascii="Times New Roman" w:eastAsia="仿宋_GB2312" w:cs="宋体"/>
          <w:b w:val="0"/>
          <w:color w:val="auto"/>
          <w:sz w:val="32"/>
          <w:szCs w:val="32"/>
          <w:lang w:eastAsia="zh-CN"/>
        </w:rPr>
        <w:t>总体情况较好，基本完成年度绩效目标</w:t>
      </w:r>
      <w:r>
        <w:rPr>
          <w:rFonts w:ascii="Times New Roman" w:eastAsia="仿宋_GB2312" w:cs="宋体"/>
          <w:b w:val="0"/>
          <w:color w:val="auto"/>
          <w:sz w:val="32"/>
          <w:szCs w:val="32"/>
        </w:rPr>
        <w:t>。</w:t>
      </w:r>
    </w:p>
    <w:p>
      <w:pPr>
        <w:widowControl/>
        <w:spacing w:before="0" w:beforeLines="0" w:beforeAutospacing="0" w:after="0" w:afterLines="0" w:afterAutospacing="0" w:line="360" w:lineRule="auto"/>
        <w:ind w:firstLine="643" w:firstLineChars="200"/>
        <w:jc w:val="left"/>
        <w:rPr>
          <w:rFonts w:ascii="Times New Roman" w:eastAsia="仿宋_GB2312"/>
          <w:color w:val="auto"/>
          <w:sz w:val="32"/>
          <w:szCs w:val="32"/>
        </w:rPr>
      </w:pPr>
      <w:r>
        <w:rPr>
          <w:rFonts w:ascii="Times New Roman" w:eastAsia="仿宋_GB2312"/>
          <w:b/>
          <w:color w:val="auto"/>
          <w:sz w:val="32"/>
          <w:szCs w:val="32"/>
        </w:rPr>
        <w:t>（二）部门决算中项目绩效自评结果</w:t>
      </w:r>
    </w:p>
    <w:p>
      <w:pPr>
        <w:widowControl/>
        <w:spacing w:before="0" w:beforeLines="0" w:beforeAutospacing="0" w:after="0" w:afterLines="0" w:afterAutospacing="0" w:line="360" w:lineRule="auto"/>
        <w:ind w:firstLine="640" w:firstLineChars="200"/>
        <w:jc w:val="left"/>
        <w:rPr>
          <w:rFonts w:ascii="Times New Roman" w:eastAsia="仿宋_GB2312"/>
          <w:color w:val="auto"/>
          <w:sz w:val="32"/>
          <w:szCs w:val="32"/>
        </w:rPr>
      </w:pPr>
      <w:r>
        <w:rPr>
          <w:rFonts w:ascii="Times New Roman" w:eastAsia="仿宋_GB2312"/>
          <w:b w:val="0"/>
          <w:color w:val="auto"/>
          <w:sz w:val="32"/>
          <w:szCs w:val="32"/>
        </w:rPr>
        <w:t>本部门在今年部门决算公开中反映</w:t>
      </w:r>
      <w:r>
        <w:rPr>
          <w:rFonts w:hint="eastAsia" w:ascii="Times New Roman" w:eastAsia="仿宋_GB2312"/>
          <w:b w:val="0"/>
          <w:color w:val="auto"/>
          <w:sz w:val="32"/>
          <w:szCs w:val="32"/>
          <w:lang w:eastAsia="zh-CN"/>
        </w:rPr>
        <w:t>公交运营补贴</w:t>
      </w:r>
      <w:r>
        <w:rPr>
          <w:rFonts w:ascii="Times New Roman" w:eastAsia="仿宋_GB2312"/>
          <w:b w:val="0"/>
          <w:color w:val="auto"/>
          <w:sz w:val="32"/>
          <w:szCs w:val="32"/>
        </w:rPr>
        <w:t>等</w:t>
      </w:r>
      <w:r>
        <w:rPr>
          <w:rFonts w:hint="eastAsia" w:ascii="Times New Roman" w:eastAsia="仿宋_GB2312"/>
          <w:b w:val="0"/>
          <w:color w:val="auto"/>
          <w:sz w:val="32"/>
          <w:szCs w:val="32"/>
          <w:lang w:val="en-US" w:eastAsia="zh-CN"/>
        </w:rPr>
        <w:t>10</w:t>
      </w:r>
      <w:r>
        <w:rPr>
          <w:rFonts w:ascii="Times New Roman" w:eastAsia="仿宋_GB2312"/>
          <w:b w:val="0"/>
          <w:color w:val="auto"/>
          <w:sz w:val="32"/>
          <w:szCs w:val="32"/>
        </w:rPr>
        <w:t>个项目绩效自评结果。</w:t>
      </w:r>
    </w:p>
    <w:p>
      <w:pPr>
        <w:widowControl/>
        <w:numPr>
          <w:ilvl w:val="0"/>
          <w:numId w:val="2"/>
        </w:numPr>
        <w:spacing w:before="0" w:beforeLines="0" w:beforeAutospacing="0" w:after="0" w:afterLines="0" w:afterAutospacing="0" w:line="360" w:lineRule="auto"/>
        <w:ind w:firstLine="640" w:firstLineChars="200"/>
        <w:jc w:val="left"/>
        <w:rPr>
          <w:rFonts w:hint="eastAsia" w:ascii="Times New Roman" w:hAnsi="Times New Roman" w:eastAsia="仿宋_GB2312" w:cs="Times New Roman"/>
          <w:sz w:val="32"/>
          <w:szCs w:val="32"/>
          <w:lang w:val="en-US" w:eastAsia="zh-CN"/>
        </w:rPr>
      </w:pPr>
      <w:r>
        <w:rPr>
          <w:rFonts w:hint="eastAsia" w:ascii="Times New Roman" w:eastAsia="仿宋_GB2312"/>
          <w:b w:val="0"/>
          <w:color w:val="auto"/>
          <w:sz w:val="32"/>
          <w:szCs w:val="32"/>
          <w:lang w:val="en-US" w:eastAsia="zh-CN"/>
        </w:rPr>
        <w:t>公交运营补贴</w:t>
      </w:r>
      <w:r>
        <w:rPr>
          <w:rFonts w:ascii="Times New Roman" w:eastAsia="仿宋_GB2312"/>
          <w:b w:val="0"/>
          <w:color w:val="auto"/>
          <w:sz w:val="32"/>
          <w:szCs w:val="32"/>
        </w:rPr>
        <w:t>项目绩效自评情况：根据年初设定的绩效目标，项目绩效自评得分为</w:t>
      </w:r>
      <w:r>
        <w:rPr>
          <w:rFonts w:hint="eastAsia" w:ascii="Times New Roman" w:eastAsia="仿宋_GB2312"/>
          <w:b w:val="0"/>
          <w:color w:val="auto"/>
          <w:sz w:val="32"/>
          <w:szCs w:val="32"/>
          <w:lang w:val="en-US" w:eastAsia="zh-CN"/>
        </w:rPr>
        <w:t>100</w:t>
      </w:r>
      <w:r>
        <w:rPr>
          <w:rFonts w:ascii="Times New Roman" w:eastAsia="仿宋_GB2312"/>
          <w:b w:val="0"/>
          <w:color w:val="auto"/>
          <w:sz w:val="32"/>
          <w:szCs w:val="32"/>
        </w:rPr>
        <w:t>分（绩效自评表附后）。全年预算数为</w:t>
      </w:r>
      <w:r>
        <w:rPr>
          <w:rFonts w:hint="eastAsia" w:ascii="Times New Roman" w:eastAsia="仿宋_GB2312"/>
          <w:b w:val="0"/>
          <w:color w:val="auto"/>
          <w:sz w:val="32"/>
          <w:szCs w:val="32"/>
          <w:lang w:val="en-US" w:eastAsia="zh-CN"/>
        </w:rPr>
        <w:t>92000</w:t>
      </w:r>
      <w:r>
        <w:rPr>
          <w:rFonts w:ascii="Times New Roman" w:eastAsia="仿宋_GB2312"/>
          <w:b w:val="0"/>
          <w:color w:val="auto"/>
          <w:sz w:val="32"/>
          <w:szCs w:val="32"/>
        </w:rPr>
        <w:t>万元，执行数为</w:t>
      </w:r>
      <w:r>
        <w:rPr>
          <w:rFonts w:hint="eastAsia" w:ascii="Times New Roman" w:eastAsia="仿宋_GB2312"/>
          <w:b w:val="0"/>
          <w:color w:val="auto"/>
          <w:sz w:val="32"/>
          <w:szCs w:val="32"/>
          <w:lang w:val="en-US" w:eastAsia="zh-CN"/>
        </w:rPr>
        <w:t>92000</w:t>
      </w:r>
      <w:r>
        <w:rPr>
          <w:rFonts w:ascii="Times New Roman" w:eastAsia="仿宋_GB2312"/>
          <w:b w:val="0"/>
          <w:color w:val="auto"/>
          <w:sz w:val="32"/>
          <w:szCs w:val="32"/>
        </w:rPr>
        <w:t>万元，完成预算的</w:t>
      </w:r>
      <w:r>
        <w:rPr>
          <w:rFonts w:hint="eastAsia" w:ascii="Times New Roman" w:eastAsia="仿宋_GB2312"/>
          <w:b w:val="0"/>
          <w:color w:val="auto"/>
          <w:sz w:val="32"/>
          <w:szCs w:val="32"/>
          <w:lang w:val="en-US" w:eastAsia="zh-CN"/>
        </w:rPr>
        <w:t>100</w:t>
      </w:r>
      <w:r>
        <w:rPr>
          <w:rFonts w:ascii="Times New Roman" w:eastAsia="仿宋_GB2312"/>
          <w:b w:val="0"/>
          <w:color w:val="auto"/>
          <w:sz w:val="32"/>
          <w:szCs w:val="32"/>
        </w:rPr>
        <w:t>%。项目绩效目标完成情况：一是</w:t>
      </w:r>
      <w:r>
        <w:rPr>
          <w:rFonts w:hint="default" w:ascii="Times New Roman" w:hAnsi="Times New Roman" w:eastAsia="仿宋_GB2312" w:cs="Times New Roman"/>
          <w:color w:val="auto"/>
          <w:sz w:val="32"/>
          <w:szCs w:val="32"/>
          <w:lang w:val="en-US" w:eastAsia="zh-CN"/>
        </w:rPr>
        <w:t>2024年公交运营线路实际达到254条，运客人次完成率和年运营里程完成率都超预期指标值完成，百万公里事故率0.33起/百万公里，百公里燃料消耗也较预期指标值有所提升。</w:t>
      </w:r>
      <w:r>
        <w:rPr>
          <w:rFonts w:hint="eastAsia" w:ascii="Times New Roman" w:hAnsi="Times New Roman" w:eastAsia="仿宋_GB2312" w:cs="Times New Roman"/>
          <w:color w:val="auto"/>
          <w:sz w:val="32"/>
          <w:szCs w:val="32"/>
          <w:lang w:val="en-US" w:eastAsia="zh-CN"/>
        </w:rPr>
        <w:t>二是</w:t>
      </w:r>
      <w:r>
        <w:rPr>
          <w:rFonts w:hint="default" w:ascii="Times New Roman" w:hAnsi="Times New Roman" w:eastAsia="仿宋_GB2312" w:cs="Times New Roman"/>
          <w:color w:val="auto"/>
          <w:sz w:val="32"/>
          <w:szCs w:val="32"/>
          <w:lang w:val="en-US" w:eastAsia="zh-CN"/>
        </w:rPr>
        <w:t>运营补贴保障城市公交正常运营，同时新能源车的广泛使用，有助于节约能耗，减少燃油消费</w:t>
      </w:r>
      <w:r>
        <w:rPr>
          <w:rFonts w:hint="default" w:ascii="Times New Roman" w:hAnsi="Times New Roman" w:eastAsia="仿宋_GB2312" w:cs="Times New Roman"/>
          <w:sz w:val="32"/>
          <w:szCs w:val="32"/>
          <w:lang w:val="en-US" w:eastAsia="zh-CN"/>
        </w:rPr>
        <w:t>，为市民提供低碳、绿色的出行服务。</w:t>
      </w:r>
      <w:r>
        <w:rPr>
          <w:rFonts w:hint="eastAsia" w:ascii="Times New Roman" w:hAnsi="Times New Roman" w:eastAsia="仿宋_GB2312" w:cs="Times New Roman"/>
          <w:sz w:val="32"/>
          <w:szCs w:val="32"/>
          <w:lang w:val="en-US" w:eastAsia="zh-CN"/>
        </w:rPr>
        <w:t>三是</w:t>
      </w:r>
      <w:r>
        <w:rPr>
          <w:rFonts w:hint="default" w:ascii="Times New Roman" w:hAnsi="Times New Roman" w:eastAsia="仿宋_GB2312" w:cs="Times New Roman"/>
          <w:sz w:val="32"/>
          <w:szCs w:val="32"/>
          <w:lang w:val="en-US" w:eastAsia="zh-CN"/>
        </w:rPr>
        <w:t>根据公交集团车厢服务合格率99.83%，完成预期指标值。</w:t>
      </w:r>
      <w:r>
        <w:rPr>
          <w:rFonts w:hint="eastAsia" w:ascii="Times New Roman" w:hAnsi="Times New Roman" w:eastAsia="仿宋_GB2312" w:cs="Times New Roman"/>
          <w:sz w:val="32"/>
          <w:szCs w:val="32"/>
          <w:lang w:val="en-US" w:eastAsia="zh-CN"/>
        </w:rPr>
        <w:t>项目执行中未发现问题。</w:t>
      </w:r>
    </w:p>
    <w:p>
      <w:pPr>
        <w:keepNext w:val="0"/>
        <w:keepLines w:val="0"/>
        <w:pageBreakBefore w:val="0"/>
        <w:widowControl/>
        <w:numPr>
          <w:ilvl w:val="0"/>
          <w:numId w:val="0"/>
        </w:numPr>
        <w:kinsoku/>
        <w:wordWrap/>
        <w:overflowPunct/>
        <w:topLinePunct w:val="0"/>
        <w:autoSpaceDE/>
        <w:autoSpaceDN/>
        <w:bidi w:val="0"/>
        <w:adjustRightInd/>
        <w:snapToGrid/>
        <w:spacing w:before="0" w:beforeLines="0" w:beforeAutospacing="0" w:after="0" w:afterLines="0" w:afterAutospacing="0" w:line="360" w:lineRule="auto"/>
        <w:ind w:leftChars="0" w:firstLine="640" w:firstLineChars="200"/>
        <w:jc w:val="left"/>
        <w:textAlignment w:val="auto"/>
        <w:rPr>
          <w:rFonts w:ascii="Times New Roman" w:eastAsia="仿宋_GB2312"/>
          <w:b w:val="0"/>
          <w:sz w:val="32"/>
          <w:szCs w:val="32"/>
        </w:rPr>
      </w:pPr>
      <w:r>
        <w:rPr>
          <w:rFonts w:hint="eastAsia" w:ascii="Times New Roman" w:eastAsia="仿宋_GB2312"/>
          <w:b w:val="0"/>
          <w:sz w:val="32"/>
          <w:szCs w:val="32"/>
          <w:lang w:val="en-US" w:eastAsia="zh-CN"/>
        </w:rPr>
        <w:t>2.12328交通服务监督电话经费</w:t>
      </w:r>
      <w:r>
        <w:rPr>
          <w:rFonts w:ascii="Times New Roman" w:eastAsia="仿宋_GB2312"/>
          <w:b w:val="0"/>
          <w:sz w:val="32"/>
          <w:szCs w:val="32"/>
        </w:rPr>
        <w:t>项目绩效自评情况：根据年初设定的绩效目标，项目绩效自评得分</w:t>
      </w:r>
      <w:r>
        <w:rPr>
          <w:rFonts w:hint="eastAsia" w:ascii="Times New Roman" w:eastAsia="仿宋_GB2312"/>
          <w:b w:val="0"/>
          <w:sz w:val="32"/>
          <w:szCs w:val="32"/>
          <w:lang w:val="en-US" w:eastAsia="zh-CN"/>
        </w:rPr>
        <w:t>为100</w:t>
      </w:r>
      <w:r>
        <w:rPr>
          <w:rFonts w:ascii="Times New Roman" w:eastAsia="仿宋_GB2312"/>
          <w:b w:val="0"/>
          <w:sz w:val="32"/>
          <w:szCs w:val="32"/>
        </w:rPr>
        <w:t>分（绩效自评表附后）。全年预算数为</w:t>
      </w:r>
      <w:r>
        <w:rPr>
          <w:rFonts w:hint="eastAsia" w:ascii="Times New Roman" w:eastAsia="仿宋_GB2312"/>
          <w:b w:val="0"/>
          <w:sz w:val="32"/>
          <w:szCs w:val="32"/>
          <w:lang w:val="en-US" w:eastAsia="zh-CN"/>
        </w:rPr>
        <w:t>4.77</w:t>
      </w:r>
      <w:r>
        <w:rPr>
          <w:rFonts w:ascii="Times New Roman" w:eastAsia="仿宋_GB2312"/>
          <w:b w:val="0"/>
          <w:sz w:val="32"/>
          <w:szCs w:val="32"/>
        </w:rPr>
        <w:t>万元，执行数为</w:t>
      </w:r>
      <w:r>
        <w:rPr>
          <w:rFonts w:hint="eastAsia" w:ascii="Times New Roman" w:eastAsia="仿宋_GB2312"/>
          <w:b w:val="0"/>
          <w:sz w:val="32"/>
          <w:szCs w:val="32"/>
          <w:lang w:val="en-US" w:eastAsia="zh-CN"/>
        </w:rPr>
        <w:t>4.77</w:t>
      </w:r>
      <w:r>
        <w:rPr>
          <w:rFonts w:ascii="Times New Roman" w:eastAsia="仿宋_GB2312"/>
          <w:b w:val="0"/>
          <w:sz w:val="32"/>
          <w:szCs w:val="32"/>
        </w:rPr>
        <w:t>万元，完成预算的</w:t>
      </w:r>
      <w:r>
        <w:rPr>
          <w:rFonts w:hint="eastAsia" w:ascii="Times New Roman" w:eastAsia="仿宋_GB2312"/>
          <w:b w:val="0"/>
          <w:sz w:val="32"/>
          <w:szCs w:val="32"/>
          <w:lang w:val="en-US" w:eastAsia="zh-CN"/>
        </w:rPr>
        <w:t>100</w:t>
      </w:r>
      <w:r>
        <w:rPr>
          <w:rFonts w:ascii="Times New Roman" w:eastAsia="仿宋_GB2312"/>
          <w:b w:val="0"/>
          <w:sz w:val="32"/>
          <w:szCs w:val="32"/>
        </w:rPr>
        <w:t>%。项目绩效目标完成情况：</w:t>
      </w:r>
      <w:r>
        <w:rPr>
          <w:rFonts w:hint="eastAsia" w:ascii="Times New Roman" w:hAnsi="Times New Roman" w:eastAsia="仿宋_GB2312"/>
          <w:kern w:val="2"/>
          <w:sz w:val="32"/>
          <w:szCs w:val="32"/>
          <w:rtl w:val="0"/>
          <w:lang w:val="en-US" w:eastAsia="zh-CN"/>
        </w:rPr>
        <w:t>通过项目实施，完成了年初设定的各项绩效目标，完成100%</w:t>
      </w:r>
      <w:r>
        <w:rPr>
          <w:rFonts w:ascii="Times New Roman" w:eastAsia="仿宋_GB2312"/>
          <w:b w:val="0"/>
          <w:sz w:val="32"/>
          <w:szCs w:val="32"/>
        </w:rPr>
        <w:t>。</w:t>
      </w:r>
      <w:r>
        <w:rPr>
          <w:rFonts w:hint="eastAsia" w:ascii="Times New Roman" w:eastAsia="仿宋_GB2312"/>
          <w:b w:val="0"/>
          <w:sz w:val="32"/>
          <w:szCs w:val="32"/>
          <w:lang w:val="en-US" w:eastAsia="zh-CN"/>
        </w:rPr>
        <w:t>未发现问题</w:t>
      </w:r>
      <w:r>
        <w:rPr>
          <w:rFonts w:ascii="Times New Roman" w:eastAsia="仿宋_GB2312"/>
          <w:b w:val="0"/>
          <w:sz w:val="32"/>
          <w:szCs w:val="32"/>
        </w:rPr>
        <w:t>。</w:t>
      </w:r>
    </w:p>
    <w:p>
      <w:pPr>
        <w:widowControl/>
        <w:spacing w:line="360" w:lineRule="auto"/>
        <w:ind w:firstLine="640" w:firstLineChars="200"/>
        <w:jc w:val="both"/>
        <w:rPr>
          <w:rFonts w:ascii="仿宋" w:hAnsi="仿宋" w:eastAsia="仿宋"/>
          <w:sz w:val="32"/>
          <w:szCs w:val="32"/>
        </w:rPr>
      </w:pPr>
      <w:r>
        <w:rPr>
          <w:rFonts w:hint="eastAsia" w:ascii="仿宋" w:hAnsi="仿宋" w:eastAsia="仿宋"/>
          <w:sz w:val="32"/>
          <w:szCs w:val="32"/>
          <w:lang w:val="en-US" w:eastAsia="zh-CN"/>
        </w:rPr>
        <w:t>3.“2024年普通国省干线公路建设养护发展专项资金（大中修养护工程）”</w:t>
      </w:r>
      <w:r>
        <w:rPr>
          <w:rFonts w:hint="eastAsia" w:ascii="仿宋" w:hAnsi="仿宋" w:eastAsia="仿宋"/>
          <w:sz w:val="32"/>
          <w:szCs w:val="32"/>
        </w:rPr>
        <w:t>绩效自评情况：根据年初设定的绩效目标，项目绩效自评得分100分（绩效自评表附后）。全年预算数4488.22万元，执行数4488.22万元，完成预算的100%。通过实施该工程，提升了管养路段的技术状况水平，提高了行车速度，</w:t>
      </w:r>
      <w:r>
        <w:rPr>
          <w:rFonts w:hint="eastAsia" w:ascii="仿宋" w:hAnsi="仿宋" w:eastAsia="仿宋"/>
          <w:sz w:val="32"/>
          <w:szCs w:val="32"/>
          <w:lang w:eastAsia="zh-CN"/>
        </w:rPr>
        <w:t>通行状况良好改善</w:t>
      </w:r>
      <w:r>
        <w:rPr>
          <w:rFonts w:hint="eastAsia" w:ascii="仿宋" w:hAnsi="仿宋" w:eastAsia="仿宋"/>
          <w:sz w:val="32"/>
          <w:szCs w:val="32"/>
        </w:rPr>
        <w:t>。未发现问题。</w:t>
      </w:r>
    </w:p>
    <w:p>
      <w:pPr>
        <w:widowControl/>
        <w:spacing w:line="360" w:lineRule="auto"/>
        <w:ind w:firstLine="640" w:firstLineChars="200"/>
        <w:jc w:val="left"/>
        <w:rPr>
          <w:rFonts w:ascii="仿宋" w:hAnsi="仿宋" w:eastAsia="仿宋"/>
          <w:sz w:val="32"/>
          <w:szCs w:val="32"/>
        </w:rPr>
      </w:pPr>
      <w:r>
        <w:rPr>
          <w:rFonts w:hint="eastAsia" w:ascii="仿宋" w:hAnsi="仿宋" w:eastAsia="仿宋"/>
          <w:sz w:val="32"/>
          <w:szCs w:val="32"/>
          <w:lang w:val="en-US" w:eastAsia="zh-CN"/>
        </w:rPr>
        <w:t>4.</w:t>
      </w:r>
      <w:r>
        <w:rPr>
          <w:rFonts w:hint="eastAsia" w:ascii="国标仿宋" w:hAnsi="国标仿宋" w:eastAsia="国标仿宋" w:cs="国标仿宋"/>
          <w:sz w:val="32"/>
          <w:szCs w:val="32"/>
        </w:rPr>
        <w:t>石家庄市省道S543黄北坪至嶂石岩公路瓦房台桥等9座桥梁水毁重建工程</w:t>
      </w:r>
      <w:r>
        <w:rPr>
          <w:rFonts w:hint="eastAsia" w:ascii="仿宋" w:hAnsi="仿宋" w:eastAsia="仿宋"/>
          <w:sz w:val="32"/>
          <w:szCs w:val="32"/>
        </w:rPr>
        <w:t>绩效自评情况：根据年初设定的绩效目标，项目绩效自评得分</w:t>
      </w:r>
      <w:r>
        <w:rPr>
          <w:rFonts w:hint="eastAsia" w:ascii="仿宋" w:hAnsi="仿宋" w:eastAsia="仿宋"/>
          <w:sz w:val="32"/>
          <w:szCs w:val="32"/>
          <w:lang w:val="en-US" w:eastAsia="zh-CN"/>
        </w:rPr>
        <w:t>98.63</w:t>
      </w:r>
      <w:r>
        <w:rPr>
          <w:rFonts w:hint="eastAsia" w:ascii="仿宋" w:hAnsi="仿宋" w:eastAsia="仿宋"/>
          <w:sz w:val="32"/>
          <w:szCs w:val="32"/>
        </w:rPr>
        <w:t>分（绩效自评表附后）。全年预算数</w:t>
      </w:r>
      <w:r>
        <w:rPr>
          <w:rFonts w:hint="eastAsia" w:ascii="仿宋" w:hAnsi="仿宋" w:eastAsia="仿宋"/>
          <w:sz w:val="32"/>
          <w:szCs w:val="32"/>
          <w:lang w:val="en-US" w:eastAsia="zh-CN"/>
        </w:rPr>
        <w:t>6708</w:t>
      </w:r>
      <w:r>
        <w:rPr>
          <w:rFonts w:hint="eastAsia" w:ascii="仿宋" w:hAnsi="仿宋" w:eastAsia="仿宋"/>
          <w:sz w:val="32"/>
          <w:szCs w:val="32"/>
        </w:rPr>
        <w:t>万元，执行数</w:t>
      </w:r>
      <w:r>
        <w:rPr>
          <w:rFonts w:hint="eastAsia" w:ascii="仿宋" w:hAnsi="仿宋" w:eastAsia="仿宋"/>
          <w:sz w:val="32"/>
          <w:szCs w:val="32"/>
          <w:lang w:val="en-US" w:eastAsia="zh-CN"/>
        </w:rPr>
        <w:t>5789.62</w:t>
      </w:r>
      <w:r>
        <w:rPr>
          <w:rFonts w:hint="eastAsia" w:ascii="仿宋" w:hAnsi="仿宋" w:eastAsia="仿宋"/>
          <w:sz w:val="32"/>
          <w:szCs w:val="32"/>
        </w:rPr>
        <w:t>万元，完成预算的</w:t>
      </w:r>
      <w:r>
        <w:rPr>
          <w:rFonts w:hint="eastAsia" w:ascii="仿宋" w:hAnsi="仿宋" w:eastAsia="仿宋"/>
          <w:sz w:val="32"/>
          <w:szCs w:val="32"/>
          <w:lang w:val="en-US" w:eastAsia="zh-CN"/>
        </w:rPr>
        <w:t>86.3</w:t>
      </w:r>
      <w:r>
        <w:rPr>
          <w:rFonts w:hint="eastAsia" w:ascii="仿宋" w:hAnsi="仿宋" w:eastAsia="仿宋"/>
          <w:sz w:val="32"/>
          <w:szCs w:val="32"/>
        </w:rPr>
        <w:t>%。通过实施该工程，</w:t>
      </w:r>
      <w:r>
        <w:rPr>
          <w:rFonts w:hint="eastAsia" w:ascii="仿宋" w:hAnsi="仿宋" w:eastAsia="仿宋"/>
          <w:sz w:val="32"/>
          <w:szCs w:val="32"/>
          <w:lang w:eastAsia="zh-CN"/>
        </w:rPr>
        <w:t>保证了</w:t>
      </w:r>
      <w:r>
        <w:rPr>
          <w:rFonts w:hint="eastAsia" w:ascii="仿宋" w:hAnsi="仿宋" w:eastAsia="仿宋"/>
          <w:sz w:val="32"/>
          <w:szCs w:val="32"/>
        </w:rPr>
        <w:t>行车</w:t>
      </w:r>
      <w:r>
        <w:rPr>
          <w:rFonts w:hint="eastAsia" w:ascii="仿宋" w:hAnsi="仿宋" w:eastAsia="仿宋"/>
          <w:sz w:val="32"/>
          <w:szCs w:val="32"/>
          <w:lang w:eastAsia="zh-CN"/>
        </w:rPr>
        <w:t>安全</w:t>
      </w:r>
      <w:r>
        <w:rPr>
          <w:rFonts w:hint="eastAsia" w:ascii="仿宋" w:hAnsi="仿宋" w:eastAsia="仿宋"/>
          <w:sz w:val="32"/>
          <w:szCs w:val="32"/>
        </w:rPr>
        <w:t>，</w:t>
      </w:r>
      <w:r>
        <w:rPr>
          <w:rFonts w:hint="eastAsia" w:ascii="仿宋" w:hAnsi="仿宋" w:eastAsia="仿宋"/>
          <w:sz w:val="32"/>
          <w:szCs w:val="32"/>
          <w:lang w:eastAsia="zh-CN"/>
        </w:rPr>
        <w:t>促进了周边经济的发展</w:t>
      </w:r>
      <w:r>
        <w:rPr>
          <w:rFonts w:hint="eastAsia" w:ascii="仿宋" w:hAnsi="仿宋" w:eastAsia="仿宋"/>
          <w:sz w:val="32"/>
          <w:szCs w:val="32"/>
        </w:rPr>
        <w:t>。未发现问题。</w:t>
      </w:r>
    </w:p>
    <w:p>
      <w:pPr>
        <w:widowControl/>
        <w:spacing w:line="360" w:lineRule="auto"/>
        <w:ind w:firstLine="640" w:firstLineChars="200"/>
        <w:jc w:val="left"/>
        <w:rPr>
          <w:rFonts w:hint="eastAsia" w:ascii="仿宋" w:hAnsi="仿宋" w:eastAsia="仿宋"/>
          <w:color w:val="auto"/>
          <w:sz w:val="32"/>
          <w:szCs w:val="32"/>
        </w:rPr>
      </w:pPr>
      <w:r>
        <w:rPr>
          <w:rFonts w:hint="eastAsia" w:ascii="仿宋" w:hAnsi="仿宋" w:eastAsia="仿宋"/>
          <w:sz w:val="32"/>
          <w:szCs w:val="32"/>
          <w:lang w:val="en-US" w:eastAsia="zh-CN"/>
        </w:rPr>
        <w:t>5.</w:t>
      </w:r>
      <w:r>
        <w:rPr>
          <w:rFonts w:hint="eastAsia" w:ascii="仿宋" w:hAnsi="仿宋" w:eastAsia="仿宋"/>
          <w:color w:val="auto"/>
          <w:sz w:val="32"/>
          <w:szCs w:val="32"/>
          <w:lang w:val="en-US" w:eastAsia="zh-CN"/>
        </w:rPr>
        <w:t>2024年车辆购置税收入补助地方资金（第三批）G234（K695.301-K715.408，K715.408-K745.606）安全提升</w:t>
      </w:r>
      <w:r>
        <w:rPr>
          <w:rFonts w:hint="eastAsia" w:ascii="仿宋" w:hAnsi="仿宋" w:eastAsia="仿宋"/>
          <w:color w:val="auto"/>
          <w:sz w:val="32"/>
          <w:szCs w:val="32"/>
        </w:rPr>
        <w:t>绩效自评情况：根据年初设定的绩效目标，项目绩效自评得分</w:t>
      </w:r>
      <w:r>
        <w:rPr>
          <w:rFonts w:hint="eastAsia" w:ascii="仿宋" w:hAnsi="仿宋" w:eastAsia="仿宋"/>
          <w:color w:val="auto"/>
          <w:sz w:val="32"/>
          <w:szCs w:val="32"/>
          <w:lang w:val="en-US" w:eastAsia="zh-CN"/>
        </w:rPr>
        <w:t>100</w:t>
      </w:r>
      <w:r>
        <w:rPr>
          <w:rFonts w:hint="eastAsia" w:ascii="仿宋" w:hAnsi="仿宋" w:eastAsia="仿宋"/>
          <w:color w:val="auto"/>
          <w:sz w:val="32"/>
          <w:szCs w:val="32"/>
        </w:rPr>
        <w:t>分（绩效自评表附后）。全年预算数</w:t>
      </w:r>
      <w:r>
        <w:rPr>
          <w:rFonts w:hint="eastAsia" w:ascii="仿宋" w:hAnsi="仿宋" w:eastAsia="仿宋"/>
          <w:color w:val="auto"/>
          <w:sz w:val="32"/>
          <w:szCs w:val="32"/>
          <w:lang w:val="en-US" w:eastAsia="zh-CN"/>
        </w:rPr>
        <w:t>252</w:t>
      </w:r>
      <w:r>
        <w:rPr>
          <w:rFonts w:hint="eastAsia" w:ascii="仿宋" w:hAnsi="仿宋" w:eastAsia="仿宋"/>
          <w:color w:val="auto"/>
          <w:sz w:val="32"/>
          <w:szCs w:val="32"/>
        </w:rPr>
        <w:t>万元，执行数</w:t>
      </w:r>
      <w:r>
        <w:rPr>
          <w:rFonts w:hint="eastAsia" w:ascii="仿宋" w:hAnsi="仿宋" w:eastAsia="仿宋"/>
          <w:color w:val="auto"/>
          <w:sz w:val="32"/>
          <w:szCs w:val="32"/>
          <w:lang w:val="en-US" w:eastAsia="zh-CN"/>
        </w:rPr>
        <w:t>252</w:t>
      </w:r>
      <w:r>
        <w:rPr>
          <w:rFonts w:hint="eastAsia" w:ascii="仿宋" w:hAnsi="仿宋" w:eastAsia="仿宋"/>
          <w:color w:val="auto"/>
          <w:sz w:val="32"/>
          <w:szCs w:val="32"/>
        </w:rPr>
        <w:t>万元，完成预算的</w:t>
      </w:r>
      <w:r>
        <w:rPr>
          <w:rFonts w:hint="eastAsia" w:ascii="仿宋" w:hAnsi="仿宋" w:eastAsia="仿宋"/>
          <w:color w:val="auto"/>
          <w:sz w:val="32"/>
          <w:szCs w:val="32"/>
          <w:lang w:val="en-US" w:eastAsia="zh-CN"/>
        </w:rPr>
        <w:t>100</w:t>
      </w:r>
      <w:r>
        <w:rPr>
          <w:rFonts w:hint="eastAsia" w:ascii="仿宋" w:hAnsi="仿宋" w:eastAsia="仿宋"/>
          <w:color w:val="auto"/>
          <w:sz w:val="32"/>
          <w:szCs w:val="32"/>
        </w:rPr>
        <w:t>%。通过实施该工程，</w:t>
      </w:r>
      <w:r>
        <w:rPr>
          <w:rFonts w:hint="eastAsia" w:ascii="仿宋" w:hAnsi="仿宋" w:eastAsia="仿宋"/>
          <w:color w:val="auto"/>
          <w:sz w:val="32"/>
          <w:szCs w:val="32"/>
          <w:lang w:eastAsia="zh-CN"/>
        </w:rPr>
        <w:t>提升了公路安全水平</w:t>
      </w:r>
      <w:r>
        <w:rPr>
          <w:rFonts w:hint="eastAsia" w:ascii="仿宋" w:hAnsi="仿宋" w:eastAsia="仿宋"/>
          <w:color w:val="auto"/>
          <w:sz w:val="32"/>
          <w:szCs w:val="32"/>
        </w:rPr>
        <w:t>，</w:t>
      </w:r>
      <w:r>
        <w:rPr>
          <w:rFonts w:hint="eastAsia" w:ascii="仿宋" w:hAnsi="仿宋" w:eastAsia="仿宋"/>
          <w:color w:val="auto"/>
          <w:sz w:val="32"/>
          <w:szCs w:val="32"/>
          <w:lang w:eastAsia="zh-CN"/>
        </w:rPr>
        <w:t>促进了周边经济的发展</w:t>
      </w:r>
      <w:r>
        <w:rPr>
          <w:rFonts w:hint="eastAsia" w:ascii="仿宋" w:hAnsi="仿宋" w:eastAsia="仿宋"/>
          <w:color w:val="auto"/>
          <w:sz w:val="32"/>
          <w:szCs w:val="32"/>
        </w:rPr>
        <w:t>。未发现问题。</w:t>
      </w:r>
    </w:p>
    <w:p>
      <w:pPr>
        <w:widowControl/>
        <w:spacing w:before="0" w:beforeLines="0" w:beforeAutospacing="0" w:after="0" w:afterLines="0" w:afterAutospacing="0" w:line="360" w:lineRule="auto"/>
        <w:ind w:firstLine="480" w:firstLineChars="200"/>
        <w:jc w:val="left"/>
        <w:rPr>
          <w:rFonts w:hint="eastAsia" w:ascii="仿宋" w:hAnsi="仿宋" w:eastAsia="仿宋" w:cs="仿宋"/>
          <w:sz w:val="32"/>
          <w:szCs w:val="32"/>
        </w:rPr>
      </w:pPr>
      <w:r>
        <w:rPr>
          <w:rFonts w:hint="eastAsia"/>
          <w:lang w:val="en-US" w:eastAsia="zh-CN"/>
        </w:rPr>
        <w:t>6.</w:t>
      </w:r>
      <w:r>
        <w:rPr>
          <w:rFonts w:hint="eastAsia" w:ascii="仿宋" w:hAnsi="仿宋" w:eastAsia="仿宋"/>
          <w:sz w:val="32"/>
          <w:szCs w:val="32"/>
          <w:lang w:val="en-US" w:eastAsia="zh-CN"/>
        </w:rPr>
        <w:t>公务用车购置经费</w:t>
      </w:r>
      <w:r>
        <w:rPr>
          <w:rFonts w:ascii="Times New Roman" w:eastAsia="仿宋_GB2312"/>
          <w:b w:val="0"/>
          <w:sz w:val="32"/>
          <w:szCs w:val="32"/>
        </w:rPr>
        <w:t>项目绩效自评情况：根据年初设定的绩效目标，项目绩效自评得分为</w:t>
      </w:r>
      <w:r>
        <w:rPr>
          <w:rFonts w:hint="eastAsia" w:ascii="Times New Roman" w:eastAsia="仿宋_GB2312"/>
          <w:b w:val="0"/>
          <w:sz w:val="32"/>
          <w:szCs w:val="32"/>
          <w:lang w:val="en-US" w:eastAsia="zh-CN"/>
        </w:rPr>
        <w:t>100</w:t>
      </w:r>
      <w:r>
        <w:rPr>
          <w:rFonts w:ascii="Times New Roman" w:eastAsia="仿宋_GB2312"/>
          <w:b w:val="0"/>
          <w:sz w:val="32"/>
          <w:szCs w:val="32"/>
        </w:rPr>
        <w:t>分（绩效自评表附后）。全年预算数为</w:t>
      </w:r>
      <w:r>
        <w:rPr>
          <w:rFonts w:hint="eastAsia" w:ascii="Times New Roman" w:eastAsia="仿宋_GB2312"/>
          <w:b w:val="0"/>
          <w:sz w:val="32"/>
          <w:szCs w:val="32"/>
          <w:lang w:val="en-US" w:eastAsia="zh-CN"/>
        </w:rPr>
        <w:t>37.52</w:t>
      </w:r>
      <w:r>
        <w:rPr>
          <w:rFonts w:ascii="Times New Roman" w:eastAsia="仿宋_GB2312"/>
          <w:b w:val="0"/>
          <w:sz w:val="32"/>
          <w:szCs w:val="32"/>
        </w:rPr>
        <w:t>万元，执行数为</w:t>
      </w:r>
      <w:r>
        <w:rPr>
          <w:rFonts w:hint="eastAsia" w:ascii="Times New Roman" w:eastAsia="仿宋_GB2312"/>
          <w:b w:val="0"/>
          <w:sz w:val="32"/>
          <w:szCs w:val="32"/>
          <w:lang w:val="en-US" w:eastAsia="zh-CN"/>
        </w:rPr>
        <w:t>37.52</w:t>
      </w:r>
      <w:r>
        <w:rPr>
          <w:rFonts w:ascii="Times New Roman" w:eastAsia="仿宋_GB2312"/>
          <w:b w:val="0"/>
          <w:sz w:val="32"/>
          <w:szCs w:val="32"/>
        </w:rPr>
        <w:t>万元，完成预算的</w:t>
      </w:r>
      <w:r>
        <w:rPr>
          <w:rFonts w:hint="eastAsia" w:ascii="Times New Roman" w:eastAsia="仿宋_GB2312"/>
          <w:b w:val="0"/>
          <w:sz w:val="32"/>
          <w:szCs w:val="32"/>
          <w:lang w:val="en-US" w:eastAsia="zh-CN"/>
        </w:rPr>
        <w:t>100</w:t>
      </w:r>
      <w:r>
        <w:rPr>
          <w:rFonts w:ascii="Times New Roman" w:eastAsia="仿宋_GB2312"/>
          <w:b w:val="0"/>
          <w:sz w:val="32"/>
          <w:szCs w:val="32"/>
        </w:rPr>
        <w:t>%。</w:t>
      </w:r>
      <w:r>
        <w:rPr>
          <w:rFonts w:hint="eastAsia" w:ascii="Times New Roman" w:eastAsia="仿宋_GB2312"/>
          <w:b w:val="0"/>
          <w:sz w:val="32"/>
          <w:szCs w:val="32"/>
          <w:lang w:eastAsia="zh-CN"/>
        </w:rPr>
        <w:t>通过项目实施，</w:t>
      </w:r>
      <w:r>
        <w:rPr>
          <w:rFonts w:hint="eastAsia" w:ascii="Times New Roman" w:eastAsia="仿宋_GB2312"/>
          <w:b w:val="0"/>
          <w:sz w:val="32"/>
          <w:szCs w:val="32"/>
        </w:rPr>
        <w:t>购置更新公务用车，满足单位日常运转需求,保障工作顺利开展。</w:t>
      </w:r>
      <w:r>
        <w:rPr>
          <w:rFonts w:hint="eastAsia" w:ascii="仿宋" w:hAnsi="仿宋" w:eastAsia="仿宋" w:cs="仿宋"/>
          <w:sz w:val="32"/>
          <w:szCs w:val="32"/>
          <w:lang w:eastAsia="zh-CN"/>
        </w:rPr>
        <w:t>未发现问题</w:t>
      </w:r>
      <w:r>
        <w:rPr>
          <w:rFonts w:hint="eastAsia" w:ascii="仿宋" w:hAnsi="仿宋" w:eastAsia="仿宋" w:cs="仿宋"/>
          <w:sz w:val="32"/>
          <w:szCs w:val="32"/>
        </w:rPr>
        <w:t>。</w:t>
      </w:r>
    </w:p>
    <w:p>
      <w:pPr>
        <w:widowControl/>
        <w:spacing w:before="0" w:beforeLines="0" w:beforeAutospacing="0" w:after="0" w:afterLines="0" w:afterAutospacing="0" w:line="360" w:lineRule="auto"/>
        <w:ind w:firstLine="640" w:firstLineChars="200"/>
        <w:jc w:val="left"/>
        <w:rPr>
          <w:rFonts w:hint="eastAsia" w:ascii="仿宋" w:hAnsi="仿宋" w:eastAsia="仿宋" w:cs="仿宋"/>
          <w:sz w:val="32"/>
          <w:szCs w:val="32"/>
        </w:rPr>
      </w:pPr>
      <w:r>
        <w:rPr>
          <w:rFonts w:hint="eastAsia" w:ascii="仿宋" w:hAnsi="仿宋" w:eastAsia="仿宋"/>
          <w:sz w:val="32"/>
          <w:szCs w:val="32"/>
          <w:lang w:val="en-US" w:eastAsia="zh-CN"/>
        </w:rPr>
        <w:t>7.火车站出租车待客区域保洁费用</w:t>
      </w:r>
      <w:r>
        <w:rPr>
          <w:rFonts w:ascii="Times New Roman" w:eastAsia="仿宋_GB2312"/>
          <w:b w:val="0"/>
          <w:sz w:val="32"/>
          <w:szCs w:val="32"/>
        </w:rPr>
        <w:t>项目绩效自评情况：根据年初设定的绩效目标，项目绩效自评得分为</w:t>
      </w:r>
      <w:r>
        <w:rPr>
          <w:rFonts w:hint="eastAsia" w:ascii="Times New Roman" w:eastAsia="仿宋_GB2312"/>
          <w:b w:val="0"/>
          <w:sz w:val="32"/>
          <w:szCs w:val="32"/>
          <w:lang w:val="en-US" w:eastAsia="zh-CN"/>
        </w:rPr>
        <w:t>100</w:t>
      </w:r>
      <w:r>
        <w:rPr>
          <w:rFonts w:ascii="Times New Roman" w:eastAsia="仿宋_GB2312"/>
          <w:b w:val="0"/>
          <w:sz w:val="32"/>
          <w:szCs w:val="32"/>
        </w:rPr>
        <w:t>分（绩效自评表附后）。全年预算数为</w:t>
      </w:r>
      <w:r>
        <w:rPr>
          <w:rFonts w:hint="eastAsia" w:ascii="Times New Roman" w:eastAsia="仿宋_GB2312"/>
          <w:b w:val="0"/>
          <w:sz w:val="32"/>
          <w:szCs w:val="32"/>
          <w:lang w:val="en-US" w:eastAsia="zh-CN"/>
        </w:rPr>
        <w:t>49.85</w:t>
      </w:r>
      <w:r>
        <w:rPr>
          <w:rFonts w:ascii="Times New Roman" w:eastAsia="仿宋_GB2312"/>
          <w:b w:val="0"/>
          <w:sz w:val="32"/>
          <w:szCs w:val="32"/>
        </w:rPr>
        <w:t>万元，执行数为</w:t>
      </w:r>
      <w:r>
        <w:rPr>
          <w:rFonts w:hint="eastAsia" w:ascii="Times New Roman" w:eastAsia="仿宋_GB2312"/>
          <w:b w:val="0"/>
          <w:sz w:val="32"/>
          <w:szCs w:val="32"/>
          <w:lang w:val="en-US" w:eastAsia="zh-CN"/>
        </w:rPr>
        <w:t>49.85</w:t>
      </w:r>
      <w:r>
        <w:rPr>
          <w:rFonts w:ascii="Times New Roman" w:eastAsia="仿宋_GB2312"/>
          <w:b w:val="0"/>
          <w:sz w:val="32"/>
          <w:szCs w:val="32"/>
        </w:rPr>
        <w:t>万元，完成预算的</w:t>
      </w:r>
      <w:r>
        <w:rPr>
          <w:rFonts w:hint="eastAsia" w:ascii="Times New Roman" w:eastAsia="仿宋_GB2312"/>
          <w:b w:val="0"/>
          <w:sz w:val="32"/>
          <w:szCs w:val="32"/>
          <w:lang w:val="en-US" w:eastAsia="zh-CN"/>
        </w:rPr>
        <w:t>100</w:t>
      </w:r>
      <w:r>
        <w:rPr>
          <w:rFonts w:ascii="Times New Roman" w:eastAsia="仿宋_GB2312"/>
          <w:b w:val="0"/>
          <w:sz w:val="32"/>
          <w:szCs w:val="32"/>
        </w:rPr>
        <w:t>%。</w:t>
      </w:r>
      <w:r>
        <w:rPr>
          <w:rFonts w:hint="eastAsia" w:ascii="Times New Roman" w:eastAsia="仿宋_GB2312"/>
          <w:b w:val="0"/>
          <w:sz w:val="32"/>
          <w:szCs w:val="32"/>
          <w:lang w:eastAsia="zh-CN"/>
        </w:rPr>
        <w:t>通过项目实施，</w:t>
      </w:r>
      <w:r>
        <w:rPr>
          <w:rFonts w:hint="eastAsia" w:ascii="Times New Roman" w:eastAsia="仿宋_GB2312"/>
          <w:b w:val="0"/>
          <w:sz w:val="32"/>
          <w:szCs w:val="32"/>
        </w:rPr>
        <w:t>对火车站待客区域保洁，确保新火车站东西广场出租车待客区域干净卫生</w:t>
      </w:r>
      <w:r>
        <w:rPr>
          <w:rFonts w:hint="eastAsia" w:ascii="Times New Roman" w:eastAsia="仿宋_GB2312"/>
          <w:b w:val="0"/>
          <w:sz w:val="32"/>
          <w:szCs w:val="32"/>
          <w:lang w:eastAsia="zh-CN"/>
        </w:rPr>
        <w:t>；</w:t>
      </w:r>
      <w:r>
        <w:rPr>
          <w:rFonts w:hint="eastAsia" w:ascii="Times New Roman" w:eastAsia="仿宋_GB2312"/>
          <w:b w:val="0"/>
          <w:sz w:val="32"/>
          <w:szCs w:val="32"/>
        </w:rPr>
        <w:t>保障出租车辆严格有序文明经营，提升我市公众形象。</w:t>
      </w:r>
      <w:r>
        <w:rPr>
          <w:rFonts w:hint="eastAsia" w:ascii="仿宋" w:hAnsi="仿宋" w:eastAsia="仿宋" w:cs="仿宋"/>
          <w:sz w:val="32"/>
          <w:szCs w:val="32"/>
          <w:lang w:eastAsia="zh-CN"/>
        </w:rPr>
        <w:t>未发现问题</w:t>
      </w:r>
      <w:r>
        <w:rPr>
          <w:rFonts w:hint="eastAsia" w:ascii="仿宋" w:hAnsi="仿宋" w:eastAsia="仿宋" w:cs="仿宋"/>
          <w:sz w:val="32"/>
          <w:szCs w:val="32"/>
        </w:rPr>
        <w:t>。</w:t>
      </w:r>
    </w:p>
    <w:p>
      <w:pPr>
        <w:pStyle w:val="10"/>
        <w:keepNext w:val="0"/>
        <w:keepLines w:val="0"/>
        <w:pageBreakBefore w:val="0"/>
        <w:widowControl/>
        <w:kinsoku/>
        <w:wordWrap/>
        <w:overflowPunct/>
        <w:topLinePunct w:val="0"/>
        <w:autoSpaceDE/>
        <w:autoSpaceDN/>
        <w:bidi w:val="0"/>
        <w:spacing w:beforeAutospacing="0" w:afterAutospacing="0"/>
        <w:ind w:firstLine="640" w:firstLineChars="200"/>
        <w:textAlignment w:val="auto"/>
        <w:rPr>
          <w:rFonts w:hint="eastAsia" w:ascii="Times New Roman" w:eastAsia="仿宋_GB2312" w:cs="宋体" w:hAnsiTheme="minorHAnsi"/>
          <w:b w:val="0"/>
          <w:color w:val="auto"/>
          <w:kern w:val="0"/>
          <w:sz w:val="32"/>
          <w:szCs w:val="32"/>
          <w:lang w:val="zh-CN" w:eastAsia="zh-CN" w:bidi="ar-SA"/>
        </w:rPr>
      </w:pPr>
      <w:r>
        <w:rPr>
          <w:rFonts w:hint="eastAsia" w:ascii="Times New Roman" w:eastAsia="仿宋_GB2312" w:cs="宋体"/>
          <w:b w:val="0"/>
          <w:color w:val="auto"/>
          <w:kern w:val="0"/>
          <w:sz w:val="32"/>
          <w:szCs w:val="32"/>
          <w:lang w:val="en-US" w:eastAsia="zh-CN" w:bidi="ar-SA"/>
        </w:rPr>
        <w:t>8.</w:t>
      </w:r>
      <w:r>
        <w:rPr>
          <w:rFonts w:hint="eastAsia" w:ascii="Times New Roman" w:eastAsia="仿宋_GB2312" w:cs="宋体" w:hAnsiTheme="minorHAnsi"/>
          <w:b w:val="0"/>
          <w:color w:val="auto"/>
          <w:kern w:val="0"/>
          <w:sz w:val="32"/>
          <w:szCs w:val="32"/>
          <w:lang w:val="en-US" w:eastAsia="zh-CN" w:bidi="ar-SA"/>
        </w:rPr>
        <w:t>质量监督管理工作中的检测经费</w:t>
      </w:r>
      <w:r>
        <w:rPr>
          <w:rFonts w:hint="eastAsia" w:ascii="Times New Roman" w:eastAsia="仿宋_GB2312" w:cs="宋体" w:hAnsiTheme="minorHAnsi"/>
          <w:b w:val="0"/>
          <w:color w:val="auto"/>
          <w:kern w:val="0"/>
          <w:sz w:val="32"/>
          <w:szCs w:val="32"/>
          <w:lang w:val="zh-CN" w:eastAsia="zh-CN" w:bidi="ar-SA"/>
        </w:rPr>
        <w:t>项目绩效自评情况。根据年初设定的绩效目标，</w:t>
      </w:r>
      <w:r>
        <w:rPr>
          <w:rFonts w:hint="eastAsia" w:ascii="Times New Roman" w:eastAsia="仿宋_GB2312" w:cs="宋体" w:hAnsiTheme="minorHAnsi"/>
          <w:b w:val="0"/>
          <w:color w:val="auto"/>
          <w:kern w:val="0"/>
          <w:sz w:val="32"/>
          <w:szCs w:val="32"/>
          <w:lang w:val="en-US" w:eastAsia="zh-CN" w:bidi="ar-SA"/>
        </w:rPr>
        <w:t>质量监督管理工作中的检测经费</w:t>
      </w:r>
      <w:r>
        <w:rPr>
          <w:rFonts w:hint="eastAsia" w:ascii="Times New Roman" w:eastAsia="仿宋_GB2312" w:cs="宋体" w:hAnsiTheme="minorHAnsi"/>
          <w:b w:val="0"/>
          <w:color w:val="auto"/>
          <w:kern w:val="0"/>
          <w:sz w:val="32"/>
          <w:szCs w:val="32"/>
          <w:lang w:val="zh-CN" w:eastAsia="zh-CN" w:bidi="ar-SA"/>
        </w:rPr>
        <w:t>项目绩效自评得分为</w:t>
      </w:r>
      <w:r>
        <w:rPr>
          <w:rFonts w:hint="eastAsia" w:ascii="Times New Roman" w:eastAsia="仿宋_GB2312" w:cs="宋体" w:hAnsiTheme="minorHAnsi"/>
          <w:b w:val="0"/>
          <w:color w:val="auto"/>
          <w:kern w:val="0"/>
          <w:sz w:val="32"/>
          <w:szCs w:val="32"/>
          <w:lang w:val="en-US" w:eastAsia="zh-CN" w:bidi="ar-SA"/>
        </w:rPr>
        <w:t>100</w:t>
      </w:r>
      <w:r>
        <w:rPr>
          <w:rFonts w:hint="eastAsia" w:ascii="Times New Roman" w:eastAsia="仿宋_GB2312" w:cs="宋体" w:hAnsiTheme="minorHAnsi"/>
          <w:b w:val="0"/>
          <w:color w:val="auto"/>
          <w:kern w:val="0"/>
          <w:sz w:val="32"/>
          <w:szCs w:val="32"/>
          <w:lang w:val="zh-CN" w:eastAsia="zh-CN" w:bidi="ar-SA"/>
        </w:rPr>
        <w:t>分（绩效自评表附后）。全年预算数为</w:t>
      </w:r>
      <w:r>
        <w:rPr>
          <w:rFonts w:hint="eastAsia" w:ascii="Times New Roman" w:eastAsia="仿宋_GB2312" w:cs="宋体"/>
          <w:b w:val="0"/>
          <w:color w:val="auto"/>
          <w:kern w:val="0"/>
          <w:sz w:val="32"/>
          <w:szCs w:val="32"/>
          <w:lang w:val="en-US" w:eastAsia="zh-CN" w:bidi="ar-SA"/>
        </w:rPr>
        <w:t>6</w:t>
      </w:r>
      <w:r>
        <w:rPr>
          <w:rFonts w:hint="eastAsia" w:ascii="Times New Roman" w:eastAsia="仿宋_GB2312" w:cs="宋体" w:hAnsiTheme="minorHAnsi"/>
          <w:b w:val="0"/>
          <w:color w:val="auto"/>
          <w:kern w:val="0"/>
          <w:sz w:val="32"/>
          <w:szCs w:val="32"/>
          <w:lang w:val="en-US" w:eastAsia="zh-CN" w:bidi="ar-SA"/>
        </w:rPr>
        <w:t>00</w:t>
      </w:r>
      <w:r>
        <w:rPr>
          <w:rFonts w:hint="eastAsia" w:ascii="Times New Roman" w:eastAsia="仿宋_GB2312" w:cs="宋体"/>
          <w:b w:val="0"/>
          <w:color w:val="auto"/>
          <w:kern w:val="0"/>
          <w:sz w:val="32"/>
          <w:szCs w:val="32"/>
          <w:lang w:val="en-US" w:eastAsia="zh-CN" w:bidi="ar-SA"/>
        </w:rPr>
        <w:t>.00</w:t>
      </w:r>
      <w:r>
        <w:rPr>
          <w:rFonts w:hint="eastAsia" w:ascii="Times New Roman" w:eastAsia="仿宋_GB2312" w:cs="宋体" w:hAnsiTheme="minorHAnsi"/>
          <w:b w:val="0"/>
          <w:color w:val="auto"/>
          <w:kern w:val="0"/>
          <w:sz w:val="32"/>
          <w:szCs w:val="32"/>
          <w:lang w:val="zh-CN" w:eastAsia="zh-CN" w:bidi="ar-SA"/>
        </w:rPr>
        <w:t>万元，执行数为</w:t>
      </w:r>
      <w:r>
        <w:rPr>
          <w:rFonts w:hint="eastAsia" w:ascii="Times New Roman" w:eastAsia="仿宋_GB2312" w:cs="宋体"/>
          <w:b w:val="0"/>
          <w:color w:val="auto"/>
          <w:kern w:val="0"/>
          <w:sz w:val="32"/>
          <w:szCs w:val="32"/>
          <w:lang w:val="en-US" w:eastAsia="zh-CN" w:bidi="ar-SA"/>
        </w:rPr>
        <w:t>6</w:t>
      </w:r>
      <w:r>
        <w:rPr>
          <w:rFonts w:hint="eastAsia" w:ascii="Times New Roman" w:eastAsia="仿宋_GB2312" w:cs="宋体" w:hAnsiTheme="minorHAnsi"/>
          <w:b w:val="0"/>
          <w:color w:val="auto"/>
          <w:kern w:val="0"/>
          <w:sz w:val="32"/>
          <w:szCs w:val="32"/>
          <w:lang w:val="en-US" w:eastAsia="zh-CN" w:bidi="ar-SA"/>
        </w:rPr>
        <w:t>00</w:t>
      </w:r>
      <w:r>
        <w:rPr>
          <w:rFonts w:hint="eastAsia" w:ascii="Times New Roman" w:eastAsia="仿宋_GB2312" w:cs="宋体"/>
          <w:b w:val="0"/>
          <w:color w:val="auto"/>
          <w:kern w:val="0"/>
          <w:sz w:val="32"/>
          <w:szCs w:val="32"/>
          <w:lang w:val="en-US" w:eastAsia="zh-CN" w:bidi="ar-SA"/>
        </w:rPr>
        <w:t>.00</w:t>
      </w:r>
      <w:r>
        <w:rPr>
          <w:rFonts w:hint="eastAsia" w:ascii="Times New Roman" w:eastAsia="仿宋_GB2312" w:cs="宋体" w:hAnsiTheme="minorHAnsi"/>
          <w:b w:val="0"/>
          <w:color w:val="auto"/>
          <w:kern w:val="0"/>
          <w:sz w:val="32"/>
          <w:szCs w:val="32"/>
          <w:lang w:val="zh-CN" w:eastAsia="zh-CN" w:bidi="ar-SA"/>
        </w:rPr>
        <w:t>万元，完成预算的</w:t>
      </w:r>
      <w:r>
        <w:rPr>
          <w:rFonts w:hint="eastAsia" w:ascii="Times New Roman" w:eastAsia="仿宋_GB2312" w:cs="宋体" w:hAnsiTheme="minorHAnsi"/>
          <w:b w:val="0"/>
          <w:color w:val="auto"/>
          <w:kern w:val="0"/>
          <w:sz w:val="32"/>
          <w:szCs w:val="32"/>
          <w:lang w:val="en-US" w:eastAsia="zh-CN" w:bidi="ar-SA"/>
        </w:rPr>
        <w:t>100.0</w:t>
      </w:r>
      <w:r>
        <w:rPr>
          <w:rFonts w:hint="eastAsia" w:ascii="Times New Roman" w:eastAsia="仿宋_GB2312" w:cs="宋体" w:hAnsiTheme="minorHAnsi"/>
          <w:b w:val="0"/>
          <w:color w:val="auto"/>
          <w:kern w:val="0"/>
          <w:sz w:val="32"/>
          <w:szCs w:val="32"/>
          <w:lang w:val="zh-CN" w:eastAsia="zh-CN" w:bidi="ar-SA"/>
        </w:rPr>
        <w:t>%。项目绩效目标完成情况：一是</w:t>
      </w:r>
      <w:r>
        <w:rPr>
          <w:rFonts w:hint="eastAsia" w:ascii="Times New Roman" w:eastAsia="仿宋_GB2312" w:cs="宋体" w:hAnsiTheme="minorHAnsi"/>
          <w:b w:val="0"/>
          <w:color w:val="auto"/>
          <w:kern w:val="0"/>
          <w:sz w:val="32"/>
          <w:szCs w:val="32"/>
          <w:lang w:val="en-US" w:eastAsia="zh-CN" w:bidi="ar-SA"/>
        </w:rPr>
        <w:t>通过项目实施，能够保障单位对受理监督的公路建设项目正常开展交工核验检测工作</w:t>
      </w:r>
      <w:r>
        <w:rPr>
          <w:rFonts w:hint="eastAsia" w:ascii="Times New Roman" w:eastAsia="仿宋_GB2312" w:cs="宋体" w:hAnsiTheme="minorHAnsi"/>
          <w:b w:val="0"/>
          <w:color w:val="auto"/>
          <w:kern w:val="0"/>
          <w:sz w:val="32"/>
          <w:szCs w:val="32"/>
          <w:lang w:val="zh-CN" w:eastAsia="zh-CN" w:bidi="ar-SA"/>
        </w:rPr>
        <w:t>；二是</w:t>
      </w:r>
      <w:r>
        <w:rPr>
          <w:rFonts w:hint="eastAsia" w:ascii="Times New Roman" w:eastAsia="仿宋_GB2312" w:cs="宋体" w:hAnsiTheme="minorHAnsi"/>
          <w:b w:val="0"/>
          <w:color w:val="auto"/>
          <w:kern w:val="0"/>
          <w:sz w:val="32"/>
          <w:szCs w:val="32"/>
          <w:lang w:val="en-US" w:eastAsia="zh-CN" w:bidi="ar-SA"/>
        </w:rPr>
        <w:t>通过项目实施，能够保障我单位有关业务科室完成年度农村公路质量监督检查等工作任务</w:t>
      </w:r>
      <w:r>
        <w:rPr>
          <w:rFonts w:hint="eastAsia" w:ascii="Times New Roman" w:eastAsia="仿宋_GB2312" w:cs="宋体" w:hAnsiTheme="minorHAnsi"/>
          <w:b w:val="0"/>
          <w:color w:val="auto"/>
          <w:kern w:val="0"/>
          <w:sz w:val="32"/>
          <w:szCs w:val="32"/>
          <w:lang w:val="zh-CN" w:eastAsia="zh-CN" w:bidi="ar-SA"/>
        </w:rPr>
        <w:t>。</w:t>
      </w:r>
      <w:r>
        <w:rPr>
          <w:rFonts w:hint="eastAsia" w:ascii="Times New Roman" w:eastAsia="仿宋_GB2312" w:cs="宋体" w:hAnsiTheme="minorHAnsi"/>
          <w:b w:val="0"/>
          <w:color w:val="auto"/>
          <w:kern w:val="0"/>
          <w:sz w:val="32"/>
          <w:szCs w:val="32"/>
          <w:lang w:val="en-US" w:eastAsia="zh-CN" w:bidi="ar-SA"/>
        </w:rPr>
        <w:t>完成了年初设定的各项绩效目标，完成率100.0%，项目执行中未</w:t>
      </w:r>
      <w:r>
        <w:rPr>
          <w:rFonts w:hint="eastAsia" w:ascii="Times New Roman" w:eastAsia="仿宋_GB2312" w:cs="宋体" w:hAnsiTheme="minorHAnsi"/>
          <w:b w:val="0"/>
          <w:color w:val="auto"/>
          <w:kern w:val="0"/>
          <w:sz w:val="32"/>
          <w:szCs w:val="32"/>
          <w:lang w:val="zh-CN" w:eastAsia="zh-CN" w:bidi="ar-SA"/>
        </w:rPr>
        <w:t>发现的问题。</w:t>
      </w:r>
    </w:p>
    <w:p>
      <w:pPr>
        <w:pStyle w:val="10"/>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ind w:left="0" w:right="0" w:firstLine="640" w:firstLineChars="200"/>
        <w:jc w:val="left"/>
        <w:textAlignment w:val="auto"/>
        <w:rPr>
          <w:rFonts w:hint="eastAsia" w:ascii="Times New Roman" w:hAnsi="Times New Roman" w:eastAsia="仿宋_GB2312" w:cs="Times New Roman"/>
          <w:color w:val="auto"/>
          <w:kern w:val="2"/>
          <w:sz w:val="32"/>
          <w:szCs w:val="32"/>
          <w:lang w:val="en-US" w:eastAsia="zh-CN" w:bidi="ar-SA"/>
        </w:rPr>
      </w:pPr>
      <w:r>
        <w:rPr>
          <w:rFonts w:hint="eastAsia" w:ascii="Times New Roman" w:hAnsi="Times New Roman" w:eastAsia="仿宋_GB2312" w:cs="Times New Roman"/>
          <w:color w:val="auto"/>
          <w:kern w:val="2"/>
          <w:sz w:val="32"/>
          <w:szCs w:val="32"/>
          <w:lang w:val="en-US" w:eastAsia="zh-CN" w:bidi="ar-SA"/>
        </w:rPr>
        <w:t>9.</w:t>
      </w:r>
      <w:r>
        <w:rPr>
          <w:rFonts w:hint="default" w:ascii="Times New Roman" w:hAnsi="Times New Roman" w:eastAsia="仿宋_GB2312" w:cs="Times New Roman"/>
          <w:color w:val="auto"/>
          <w:kern w:val="2"/>
          <w:sz w:val="32"/>
          <w:szCs w:val="32"/>
          <w:lang w:val="zh-CN" w:eastAsia="zh-CN" w:bidi="ar-SA"/>
        </w:rPr>
        <w:t>202</w:t>
      </w:r>
      <w:r>
        <w:rPr>
          <w:rFonts w:hint="eastAsia" w:ascii="Times New Roman" w:hAnsi="Times New Roman" w:eastAsia="仿宋_GB2312" w:cs="Times New Roman"/>
          <w:color w:val="auto"/>
          <w:kern w:val="2"/>
          <w:sz w:val="32"/>
          <w:szCs w:val="32"/>
          <w:lang w:val="en-US" w:eastAsia="zh-CN" w:bidi="ar-SA"/>
        </w:rPr>
        <w:t>4</w:t>
      </w:r>
      <w:r>
        <w:rPr>
          <w:rFonts w:hint="default" w:ascii="Times New Roman" w:hAnsi="Times New Roman" w:eastAsia="仿宋_GB2312" w:cs="Times New Roman"/>
          <w:color w:val="auto"/>
          <w:kern w:val="2"/>
          <w:sz w:val="32"/>
          <w:szCs w:val="32"/>
          <w:lang w:val="zh-CN" w:eastAsia="zh-CN" w:bidi="ar-SA"/>
        </w:rPr>
        <w:t>年三环路等道路维护费项目绩效自评情况：根据年初设定的绩效目标，202</w:t>
      </w:r>
      <w:r>
        <w:rPr>
          <w:rFonts w:hint="eastAsia" w:ascii="Times New Roman" w:hAnsi="Times New Roman" w:eastAsia="仿宋_GB2312" w:cs="Times New Roman"/>
          <w:color w:val="auto"/>
          <w:kern w:val="2"/>
          <w:sz w:val="32"/>
          <w:szCs w:val="32"/>
          <w:lang w:val="en-US" w:eastAsia="zh-CN" w:bidi="ar-SA"/>
        </w:rPr>
        <w:t>4</w:t>
      </w:r>
      <w:r>
        <w:rPr>
          <w:rFonts w:hint="default" w:ascii="Times New Roman" w:hAnsi="Times New Roman" w:eastAsia="仿宋_GB2312" w:cs="Times New Roman"/>
          <w:color w:val="auto"/>
          <w:kern w:val="2"/>
          <w:sz w:val="32"/>
          <w:szCs w:val="32"/>
          <w:lang w:val="zh-CN" w:eastAsia="zh-CN" w:bidi="ar-SA"/>
        </w:rPr>
        <w:t>年三环路等道路维护费项目绩效自评得分为</w:t>
      </w:r>
      <w:r>
        <w:rPr>
          <w:rFonts w:hint="eastAsia" w:ascii="Times New Roman" w:hAnsi="Times New Roman" w:eastAsia="仿宋_GB2312" w:cs="Times New Roman"/>
          <w:color w:val="auto"/>
          <w:kern w:val="2"/>
          <w:sz w:val="32"/>
          <w:szCs w:val="32"/>
          <w:lang w:val="en-US" w:eastAsia="zh-CN" w:bidi="ar-SA"/>
        </w:rPr>
        <w:t>100</w:t>
      </w:r>
      <w:r>
        <w:rPr>
          <w:rFonts w:hint="default" w:ascii="Times New Roman" w:hAnsi="Times New Roman" w:eastAsia="仿宋_GB2312" w:cs="Times New Roman"/>
          <w:color w:val="auto"/>
          <w:kern w:val="2"/>
          <w:sz w:val="32"/>
          <w:szCs w:val="32"/>
          <w:lang w:val="zh-CN" w:eastAsia="zh-CN" w:bidi="ar-SA"/>
        </w:rPr>
        <w:t>分（绩效自评表附后）。全年预算数为</w:t>
      </w:r>
      <w:r>
        <w:rPr>
          <w:rFonts w:hint="eastAsia" w:ascii="Times New Roman" w:hAnsi="Times New Roman" w:eastAsia="仿宋_GB2312" w:cs="Times New Roman"/>
          <w:color w:val="auto"/>
          <w:kern w:val="2"/>
          <w:sz w:val="32"/>
          <w:szCs w:val="32"/>
          <w:lang w:val="en-US" w:eastAsia="zh-CN" w:bidi="ar-SA"/>
        </w:rPr>
        <w:t>17602.41</w:t>
      </w:r>
      <w:r>
        <w:rPr>
          <w:rFonts w:hint="default" w:ascii="Times New Roman" w:hAnsi="Times New Roman" w:eastAsia="仿宋_GB2312" w:cs="Times New Roman"/>
          <w:color w:val="auto"/>
          <w:kern w:val="2"/>
          <w:sz w:val="32"/>
          <w:szCs w:val="32"/>
          <w:lang w:val="zh-CN" w:eastAsia="zh-CN" w:bidi="ar-SA"/>
        </w:rPr>
        <w:t>万元，执行数为</w:t>
      </w:r>
      <w:r>
        <w:rPr>
          <w:rFonts w:hint="eastAsia" w:ascii="Times New Roman" w:hAnsi="Times New Roman" w:eastAsia="仿宋_GB2312" w:cs="Times New Roman"/>
          <w:color w:val="auto"/>
          <w:kern w:val="2"/>
          <w:sz w:val="32"/>
          <w:szCs w:val="32"/>
          <w:lang w:val="en-US" w:eastAsia="zh-CN" w:bidi="ar-SA"/>
        </w:rPr>
        <w:t>17602.41</w:t>
      </w:r>
      <w:r>
        <w:rPr>
          <w:rFonts w:hint="default" w:ascii="Times New Roman" w:hAnsi="Times New Roman" w:eastAsia="仿宋_GB2312" w:cs="Times New Roman"/>
          <w:color w:val="auto"/>
          <w:kern w:val="2"/>
          <w:sz w:val="32"/>
          <w:szCs w:val="32"/>
          <w:lang w:val="zh-CN" w:eastAsia="zh-CN" w:bidi="ar-SA"/>
        </w:rPr>
        <w:t>万元，完成预算的</w:t>
      </w:r>
      <w:r>
        <w:rPr>
          <w:rFonts w:hint="eastAsia" w:ascii="Times New Roman" w:hAnsi="Times New Roman" w:eastAsia="仿宋_GB2312" w:cs="Times New Roman"/>
          <w:color w:val="auto"/>
          <w:kern w:val="2"/>
          <w:sz w:val="32"/>
          <w:szCs w:val="32"/>
          <w:lang w:val="en-US" w:eastAsia="zh-CN" w:bidi="ar-SA"/>
        </w:rPr>
        <w:t>100</w:t>
      </w:r>
      <w:r>
        <w:rPr>
          <w:rFonts w:hint="default" w:ascii="Times New Roman" w:hAnsi="Times New Roman" w:eastAsia="仿宋_GB2312" w:cs="Times New Roman"/>
          <w:color w:val="auto"/>
          <w:kern w:val="2"/>
          <w:sz w:val="32"/>
          <w:szCs w:val="32"/>
          <w:lang w:val="zh-CN" w:eastAsia="zh-CN" w:bidi="ar-SA"/>
        </w:rPr>
        <w:t>%。项目绩效目标完成情况：</w:t>
      </w:r>
      <w:r>
        <w:rPr>
          <w:rFonts w:hint="eastAsia" w:ascii="Times New Roman" w:hAnsi="Times New Roman" w:eastAsia="仿宋_GB2312" w:cs="Times New Roman"/>
          <w:color w:val="auto"/>
          <w:kern w:val="2"/>
          <w:sz w:val="32"/>
          <w:szCs w:val="32"/>
          <w:lang w:val="zh-CN" w:eastAsia="zh-CN" w:bidi="ar-SA"/>
        </w:rPr>
        <w:t>按计划</w:t>
      </w:r>
      <w:r>
        <w:rPr>
          <w:rFonts w:hint="eastAsia" w:ascii="Times New Roman" w:hAnsi="Times New Roman" w:eastAsia="仿宋_GB2312" w:cs="Times New Roman"/>
          <w:color w:val="auto"/>
          <w:kern w:val="2"/>
          <w:sz w:val="32"/>
          <w:szCs w:val="32"/>
          <w:lang w:val="en-US" w:eastAsia="zh-CN" w:bidi="ar-SA"/>
        </w:rPr>
        <w:t>做好三环路等道路的清扫保洁、洒水、绿化养护等日常养护工作及各类巡查、检查；</w:t>
      </w:r>
      <w:r>
        <w:rPr>
          <w:rFonts w:hint="eastAsia" w:ascii="Times New Roman" w:hAnsi="Times New Roman" w:eastAsia="仿宋_GB2312" w:cs="Times New Roman"/>
          <w:color w:val="auto"/>
          <w:kern w:val="2"/>
          <w:sz w:val="32"/>
          <w:szCs w:val="32"/>
          <w:lang w:val="zh-CN" w:eastAsia="zh-CN" w:bidi="ar-SA"/>
        </w:rPr>
        <w:t>完成道路养护里程</w:t>
      </w:r>
      <w:r>
        <w:rPr>
          <w:rFonts w:hint="eastAsia" w:ascii="Times New Roman" w:hAnsi="Times New Roman" w:eastAsia="仿宋_GB2312" w:cs="Times New Roman"/>
          <w:color w:val="auto"/>
          <w:kern w:val="2"/>
          <w:sz w:val="32"/>
          <w:szCs w:val="32"/>
          <w:lang w:val="en-US" w:eastAsia="zh-CN" w:bidi="ar-SA"/>
        </w:rPr>
        <w:t>265.1公里、照明养护里程149.1公里、完成蓄水池、排水管道的清淤及修复；路面挖补、沥青灌缝，雨雪后路面清理；路面、桥梁技术状况检测评定；针对道路坑槽、桥梁局部构件损坏、交通设施缺损、机电照明设施的损坏、排水管道的堵塞等病害的修复工作。以及电费、设计费等费用。未发现问题。</w:t>
      </w:r>
    </w:p>
    <w:p>
      <w:pPr>
        <w:keepNext w:val="0"/>
        <w:keepLines w:val="0"/>
        <w:pageBreakBefore w:val="0"/>
        <w:widowControl/>
        <w:kinsoku/>
        <w:wordWrap/>
        <w:overflowPunct/>
        <w:topLinePunct w:val="0"/>
        <w:autoSpaceDE/>
        <w:autoSpaceDN/>
        <w:bidi w:val="0"/>
        <w:adjustRightInd/>
        <w:snapToGrid/>
        <w:spacing w:before="0" w:beforeLines="0" w:beforeAutospacing="0" w:after="0" w:afterLines="0" w:afterAutospacing="0" w:line="360" w:lineRule="auto"/>
        <w:ind w:firstLine="640" w:firstLineChars="200"/>
        <w:jc w:val="left"/>
        <w:textAlignment w:val="auto"/>
        <w:rPr>
          <w:rFonts w:hint="default" w:ascii="Times New Roman" w:eastAsia="仿宋_GB2312"/>
          <w:b w:val="0"/>
          <w:sz w:val="32"/>
          <w:szCs w:val="32"/>
          <w:lang w:val="en-US" w:eastAsia="zh-CN"/>
        </w:rPr>
      </w:pPr>
      <w:r>
        <w:rPr>
          <w:rFonts w:hint="eastAsia" w:ascii="Times New Roman" w:eastAsia="仿宋_GB2312"/>
          <w:b w:val="0"/>
          <w:sz w:val="32"/>
          <w:szCs w:val="32"/>
          <w:lang w:val="en-US" w:eastAsia="zh-CN"/>
        </w:rPr>
        <w:t>10.</w:t>
      </w:r>
      <w:r>
        <w:rPr>
          <w:rFonts w:ascii="Times New Roman" w:eastAsia="仿宋_GB2312"/>
          <w:b w:val="0"/>
          <w:sz w:val="32"/>
          <w:szCs w:val="32"/>
        </w:rPr>
        <w:t>省道S248正定至繁峙公路正定段改建工程项目绩效自评情况：根据年初设定的绩效目标，省道S248正定至繁峙公路正定段改建工程项目绩效自评得分为100分（绩效自评表附后）。全年预算数为2,000万元，执行数为2,000万元，完成预算的100%。项目绩效目标完成情况：通过对省道S248正定至繁峙公路正定段改建工程项目的改造，提高了道路通行能力及改造段公路质量。</w:t>
      </w:r>
      <w:r>
        <w:rPr>
          <w:rFonts w:hint="eastAsia" w:ascii="Times New Roman" w:eastAsia="仿宋_GB2312"/>
          <w:b w:val="0"/>
          <w:sz w:val="32"/>
          <w:szCs w:val="32"/>
          <w:lang w:val="en-US" w:eastAsia="zh-CN"/>
        </w:rPr>
        <w:t>未发展主要问题。</w:t>
      </w:r>
    </w:p>
    <w:p>
      <w:pPr>
        <w:widowControl/>
        <w:spacing w:before="0" w:beforeLines="0" w:beforeAutospacing="0" w:after="0" w:afterLines="0" w:afterAutospacing="0" w:line="360" w:lineRule="auto"/>
        <w:ind w:firstLine="640" w:firstLineChars="200"/>
        <w:jc w:val="left"/>
        <w:rPr>
          <w:rFonts w:hint="eastAsia" w:ascii="仿宋" w:hAnsi="仿宋" w:eastAsia="仿宋" w:cs="仿宋"/>
          <w:sz w:val="32"/>
          <w:szCs w:val="32"/>
        </w:rPr>
      </w:pPr>
    </w:p>
    <w:p>
      <w:pPr>
        <w:rPr>
          <w:rFonts w:hint="eastAsia" w:ascii="仿宋" w:hAnsi="仿宋" w:eastAsia="仿宋"/>
          <w:color w:val="auto"/>
          <w:sz w:val="32"/>
          <w:szCs w:val="32"/>
        </w:rPr>
      </w:pPr>
      <w:r>
        <w:rPr>
          <w:rFonts w:hint="eastAsia" w:ascii="仿宋" w:hAnsi="仿宋" w:eastAsia="仿宋"/>
          <w:color w:val="auto"/>
          <w:sz w:val="32"/>
          <w:szCs w:val="32"/>
        </w:rPr>
        <w:br w:type="page"/>
      </w:r>
    </w:p>
    <w:tbl>
      <w:tblPr>
        <w:tblStyle w:val="11"/>
        <w:tblpPr w:leftFromText="180" w:rightFromText="180" w:vertAnchor="text" w:horzAnchor="page" w:tblpX="1338" w:tblpY="369"/>
        <w:tblOverlap w:val="never"/>
        <w:tblW w:w="9581"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Layout w:type="fixed"/>
        <w:tblCellMar>
          <w:top w:w="0" w:type="dxa"/>
          <w:left w:w="0" w:type="dxa"/>
          <w:bottom w:w="0" w:type="dxa"/>
          <w:right w:w="0" w:type="dxa"/>
        </w:tblCellMar>
      </w:tblPr>
      <w:tblGrid>
        <w:gridCol w:w="1191"/>
        <w:gridCol w:w="888"/>
        <w:gridCol w:w="1129"/>
        <w:gridCol w:w="1191"/>
        <w:gridCol w:w="1245"/>
        <w:gridCol w:w="1"/>
        <w:gridCol w:w="1455"/>
        <w:gridCol w:w="1234"/>
        <w:gridCol w:w="124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Layout w:type="fixed"/>
          <w:tblCellMar>
            <w:top w:w="0" w:type="dxa"/>
            <w:left w:w="0" w:type="dxa"/>
            <w:bottom w:w="0" w:type="dxa"/>
            <w:right w:w="0" w:type="dxa"/>
          </w:tblCellMar>
        </w:tblPrEx>
        <w:trPr>
          <w:trHeight w:val="646" w:hRule="atLeast"/>
        </w:trPr>
        <w:tc>
          <w:tcPr>
            <w:tcW w:w="9581" w:type="dxa"/>
            <w:gridSpan w:val="9"/>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ascii="方正小标宋_GBK" w:hAnsi="方正小标宋_GBK" w:eastAsia="方正小标宋_GBK" w:cs="方正小标宋_GBK"/>
                <w:i w:val="0"/>
                <w:color w:val="000000"/>
                <w:sz w:val="44"/>
                <w:szCs w:val="44"/>
                <w:u w:val="none"/>
              </w:rPr>
            </w:pPr>
            <w:r>
              <w:rPr>
                <w:rFonts w:hint="eastAsia" w:ascii="方正小标宋_GBK" w:hAnsi="方正小标宋_GBK" w:eastAsia="方正小标宋_GBK" w:cs="方正小标宋_GBK"/>
                <w:i w:val="0"/>
                <w:color w:val="000000"/>
                <w:kern w:val="0"/>
                <w:sz w:val="44"/>
                <w:szCs w:val="44"/>
                <w:u w:val="none"/>
                <w:lang w:val="en-US" w:eastAsia="zh-CN" w:bidi="ar"/>
              </w:rPr>
              <w:t>市级部门预算项目绩效自评表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37" w:hRule="atLeast"/>
        </w:trPr>
        <w:tc>
          <w:tcPr>
            <w:tcW w:w="9581" w:type="dxa"/>
            <w:gridSpan w:val="9"/>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（2024年度）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37" w:hRule="atLeast"/>
        </w:trPr>
        <w:tc>
          <w:tcPr>
            <w:tcW w:w="1191" w:type="dxa"/>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填报单位：</w:t>
            </w:r>
          </w:p>
        </w:tc>
        <w:tc>
          <w:tcPr>
            <w:tcW w:w="3208" w:type="dxa"/>
            <w:gridSpan w:val="3"/>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石家庄市交通运输局</w:t>
            </w:r>
          </w:p>
        </w:tc>
        <w:tc>
          <w:tcPr>
            <w:tcW w:w="1246" w:type="dxa"/>
            <w:gridSpan w:val="2"/>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455" w:type="dxa"/>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234" w:type="dxa"/>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247" w:type="dxa"/>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单位：万元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575" w:hRule="atLeast"/>
        </w:trPr>
        <w:tc>
          <w:tcPr>
            <w:tcW w:w="1191" w:type="dxa"/>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一、</w:t>
            </w:r>
            <w:r>
              <w:rPr>
                <w:rFonts w:ascii="Calibri" w:hAnsi="Calibri" w:eastAsia="宋体" w:cs="Calibri"/>
                <w:i w:val="0"/>
                <w:color w:val="000000"/>
                <w:kern w:val="0"/>
                <w:sz w:val="20"/>
                <w:szCs w:val="20"/>
                <w:u w:val="none"/>
                <w:lang w:val="en-US" w:eastAsia="zh-CN" w:bidi="ar"/>
              </w:rPr>
              <w:t xml:space="preserve"> </w:t>
            </w:r>
            <w:r>
              <w:rPr>
                <w:rFonts w:hint="eastAsia" w:ascii="宋体" w:hAnsi="宋体" w:eastAsia="宋体" w:cs="宋体"/>
                <w:i w:val="0"/>
                <w:color w:val="000000"/>
                <w:kern w:val="0"/>
                <w:sz w:val="20"/>
                <w:szCs w:val="20"/>
                <w:u w:val="none"/>
                <w:lang w:val="en-US" w:eastAsia="zh-CN" w:bidi="ar"/>
              </w:rPr>
              <w:t>基本情况</w:t>
            </w:r>
          </w:p>
        </w:tc>
        <w:tc>
          <w:tcPr>
            <w:tcW w:w="888" w:type="dxa"/>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项目名称</w:t>
            </w:r>
          </w:p>
        </w:tc>
        <w:tc>
          <w:tcPr>
            <w:tcW w:w="2320" w:type="dxa"/>
            <w:gridSpan w:val="2"/>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公交运营补贴</w:t>
            </w:r>
          </w:p>
        </w:tc>
        <w:tc>
          <w:tcPr>
            <w:tcW w:w="1246" w:type="dxa"/>
            <w:gridSpan w:val="2"/>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实施(主管）单位</w:t>
            </w:r>
          </w:p>
        </w:tc>
        <w:tc>
          <w:tcPr>
            <w:tcW w:w="3936" w:type="dxa"/>
            <w:gridSpan w:val="3"/>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石家庄市交通运输局本级</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495" w:hRule="atLeast"/>
        </w:trPr>
        <w:tc>
          <w:tcPr>
            <w:tcW w:w="1191" w:type="dxa"/>
            <w:vMerge w:val="restart"/>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二、预算执行情况</w:t>
            </w:r>
          </w:p>
        </w:tc>
        <w:tc>
          <w:tcPr>
            <w:tcW w:w="2017" w:type="dxa"/>
            <w:gridSpan w:val="2"/>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预算安排情况（调整后）</w:t>
            </w:r>
          </w:p>
        </w:tc>
        <w:tc>
          <w:tcPr>
            <w:tcW w:w="2437" w:type="dxa"/>
            <w:gridSpan w:val="3"/>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资金到位情况</w:t>
            </w:r>
          </w:p>
        </w:tc>
        <w:tc>
          <w:tcPr>
            <w:tcW w:w="2689" w:type="dxa"/>
            <w:gridSpan w:val="2"/>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资金执行情况</w:t>
            </w:r>
          </w:p>
        </w:tc>
        <w:tc>
          <w:tcPr>
            <w:tcW w:w="1247" w:type="dxa"/>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预算执行进度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436" w:hRule="atLeast"/>
        </w:trPr>
        <w:tc>
          <w:tcPr>
            <w:tcW w:w="1191" w:type="dxa"/>
            <w:vMerge w:val="continue"/>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888" w:type="dxa"/>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预算数：</w:t>
            </w:r>
          </w:p>
        </w:tc>
        <w:tc>
          <w:tcPr>
            <w:tcW w:w="1129" w:type="dxa"/>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92000</w:t>
            </w:r>
          </w:p>
        </w:tc>
        <w:tc>
          <w:tcPr>
            <w:tcW w:w="1191" w:type="dxa"/>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到位数：</w:t>
            </w:r>
          </w:p>
        </w:tc>
        <w:tc>
          <w:tcPr>
            <w:tcW w:w="1246" w:type="dxa"/>
            <w:gridSpan w:val="2"/>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92000</w:t>
            </w:r>
          </w:p>
        </w:tc>
        <w:tc>
          <w:tcPr>
            <w:tcW w:w="1455" w:type="dxa"/>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执行数：</w:t>
            </w:r>
          </w:p>
        </w:tc>
        <w:tc>
          <w:tcPr>
            <w:tcW w:w="1234" w:type="dxa"/>
            <w:shd w:val="clear" w:color="auto" w:fill="auto"/>
            <w:tcMar>
              <w:top w:w="15" w:type="dxa"/>
              <w:left w:w="15" w:type="dxa"/>
              <w:right w:w="15" w:type="dxa"/>
            </w:tcMar>
            <w:vAlign w:val="center"/>
          </w:tcPr>
          <w:p>
            <w:pPr>
              <w:keepNext w:val="0"/>
              <w:keepLines w:val="0"/>
              <w:widowControl/>
              <w:suppressLineNumbers w:val="0"/>
              <w:jc w:val="right"/>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92000</w:t>
            </w:r>
          </w:p>
        </w:tc>
        <w:tc>
          <w:tcPr>
            <w:tcW w:w="1247" w:type="dxa"/>
            <w:vMerge w:val="restart"/>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670" w:hRule="atLeast"/>
        </w:trPr>
        <w:tc>
          <w:tcPr>
            <w:tcW w:w="1191" w:type="dxa"/>
            <w:vMerge w:val="continue"/>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888" w:type="dxa"/>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其中：                 财政资金</w:t>
            </w:r>
          </w:p>
        </w:tc>
        <w:tc>
          <w:tcPr>
            <w:tcW w:w="1129" w:type="dxa"/>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92000</w:t>
            </w:r>
          </w:p>
        </w:tc>
        <w:tc>
          <w:tcPr>
            <w:tcW w:w="1191" w:type="dxa"/>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其中：                      财政资金</w:t>
            </w:r>
          </w:p>
        </w:tc>
        <w:tc>
          <w:tcPr>
            <w:tcW w:w="1246" w:type="dxa"/>
            <w:gridSpan w:val="2"/>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92000</w:t>
            </w:r>
          </w:p>
        </w:tc>
        <w:tc>
          <w:tcPr>
            <w:tcW w:w="1455" w:type="dxa"/>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其中：                     财政资金</w:t>
            </w:r>
          </w:p>
        </w:tc>
        <w:tc>
          <w:tcPr>
            <w:tcW w:w="1234" w:type="dxa"/>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92000</w:t>
            </w:r>
          </w:p>
        </w:tc>
        <w:tc>
          <w:tcPr>
            <w:tcW w:w="1247" w:type="dxa"/>
            <w:vMerge w:val="continue"/>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422" w:hRule="atLeast"/>
        </w:trPr>
        <w:tc>
          <w:tcPr>
            <w:tcW w:w="1191" w:type="dxa"/>
            <w:vMerge w:val="continue"/>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888" w:type="dxa"/>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其他</w:t>
            </w:r>
          </w:p>
        </w:tc>
        <w:tc>
          <w:tcPr>
            <w:tcW w:w="1129" w:type="dxa"/>
            <w:shd w:val="clear" w:color="auto" w:fill="auto"/>
            <w:tcMar>
              <w:top w:w="15" w:type="dxa"/>
              <w:left w:w="15" w:type="dxa"/>
              <w:right w:w="15" w:type="dxa"/>
            </w:tcMar>
            <w:vAlign w:val="center"/>
          </w:tcPr>
          <w:p>
            <w:pPr>
              <w:jc w:val="left"/>
              <w:rPr>
                <w:rFonts w:hint="default" w:ascii="Calibri" w:hAnsi="Calibri" w:eastAsia="宋体" w:cs="Calibri"/>
                <w:i w:val="0"/>
                <w:color w:val="000000"/>
                <w:sz w:val="20"/>
                <w:szCs w:val="20"/>
                <w:u w:val="none"/>
              </w:rPr>
            </w:pPr>
          </w:p>
        </w:tc>
        <w:tc>
          <w:tcPr>
            <w:tcW w:w="1191" w:type="dxa"/>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其他</w:t>
            </w:r>
          </w:p>
        </w:tc>
        <w:tc>
          <w:tcPr>
            <w:tcW w:w="1246" w:type="dxa"/>
            <w:gridSpan w:val="2"/>
            <w:shd w:val="clear" w:color="auto" w:fill="auto"/>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c>
          <w:tcPr>
            <w:tcW w:w="1455" w:type="dxa"/>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其他</w:t>
            </w:r>
          </w:p>
        </w:tc>
        <w:tc>
          <w:tcPr>
            <w:tcW w:w="1234" w:type="dxa"/>
            <w:shd w:val="clear" w:color="auto" w:fill="auto"/>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c>
          <w:tcPr>
            <w:tcW w:w="1247" w:type="dxa"/>
            <w:vMerge w:val="continue"/>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481" w:hRule="atLeast"/>
        </w:trPr>
        <w:tc>
          <w:tcPr>
            <w:tcW w:w="1191" w:type="dxa"/>
            <w:vMerge w:val="restart"/>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三、目标完成情况</w:t>
            </w:r>
          </w:p>
        </w:tc>
        <w:tc>
          <w:tcPr>
            <w:tcW w:w="3208" w:type="dxa"/>
            <w:gridSpan w:val="3"/>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年度预期目标</w:t>
            </w:r>
          </w:p>
        </w:tc>
        <w:tc>
          <w:tcPr>
            <w:tcW w:w="3935" w:type="dxa"/>
            <w:gridSpan w:val="4"/>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具体完成情况</w:t>
            </w:r>
          </w:p>
        </w:tc>
        <w:tc>
          <w:tcPr>
            <w:tcW w:w="1247" w:type="dxa"/>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总体完成率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12" w:hRule="atLeast"/>
        </w:trPr>
        <w:tc>
          <w:tcPr>
            <w:tcW w:w="1191" w:type="dxa"/>
            <w:vMerge w:val="continue"/>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3208" w:type="dxa"/>
            <w:gridSpan w:val="3"/>
            <w:vMerge w:val="restart"/>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年运营线路条数达到235条，年载客里程完成年度计划里程的90%以上。</w:t>
            </w:r>
          </w:p>
        </w:tc>
        <w:tc>
          <w:tcPr>
            <w:tcW w:w="3935" w:type="dxa"/>
            <w:gridSpan w:val="4"/>
            <w:vMerge w:val="restart"/>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年运营线路条数达到254条，年载客里程完成年度计划里程的99%。</w:t>
            </w:r>
          </w:p>
        </w:tc>
        <w:tc>
          <w:tcPr>
            <w:tcW w:w="1247" w:type="dxa"/>
            <w:vMerge w:val="restart"/>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12" w:hRule="atLeast"/>
        </w:trPr>
        <w:tc>
          <w:tcPr>
            <w:tcW w:w="1191" w:type="dxa"/>
            <w:vMerge w:val="continue"/>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3208" w:type="dxa"/>
            <w:gridSpan w:val="3"/>
            <w:vMerge w:val="continue"/>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3935" w:type="dxa"/>
            <w:gridSpan w:val="4"/>
            <w:vMerge w:val="continue"/>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247" w:type="dxa"/>
            <w:vMerge w:val="continue"/>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12" w:hRule="atLeast"/>
        </w:trPr>
        <w:tc>
          <w:tcPr>
            <w:tcW w:w="1191" w:type="dxa"/>
            <w:vMerge w:val="continue"/>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3208" w:type="dxa"/>
            <w:gridSpan w:val="3"/>
            <w:vMerge w:val="continue"/>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3935" w:type="dxa"/>
            <w:gridSpan w:val="4"/>
            <w:vMerge w:val="continue"/>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247" w:type="dxa"/>
            <w:vMerge w:val="continue"/>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436" w:hRule="atLeast"/>
        </w:trPr>
        <w:tc>
          <w:tcPr>
            <w:tcW w:w="1191" w:type="dxa"/>
            <w:vMerge w:val="restart"/>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四、</w:t>
            </w:r>
            <w:r>
              <w:rPr>
                <w:rFonts w:ascii="Calibri" w:hAnsi="Calibri" w:eastAsia="宋体" w:cs="Calibri"/>
                <w:i w:val="0"/>
                <w:color w:val="000000"/>
                <w:kern w:val="0"/>
                <w:sz w:val="20"/>
                <w:szCs w:val="20"/>
                <w:u w:val="none"/>
                <w:lang w:val="en-US" w:eastAsia="zh-CN" w:bidi="ar"/>
              </w:rPr>
              <w:t xml:space="preserve"> </w:t>
            </w:r>
            <w:r>
              <w:rPr>
                <w:rFonts w:hint="eastAsia" w:ascii="宋体" w:hAnsi="宋体" w:eastAsia="宋体" w:cs="宋体"/>
                <w:i w:val="0"/>
                <w:color w:val="000000"/>
                <w:kern w:val="0"/>
                <w:sz w:val="20"/>
                <w:szCs w:val="20"/>
                <w:u w:val="none"/>
                <w:lang w:val="en-US" w:eastAsia="zh-CN" w:bidi="ar"/>
              </w:rPr>
              <w:t>年度绩效指标完成情况</w:t>
            </w:r>
          </w:p>
        </w:tc>
        <w:tc>
          <w:tcPr>
            <w:tcW w:w="888" w:type="dxa"/>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一级指标</w:t>
            </w:r>
          </w:p>
        </w:tc>
        <w:tc>
          <w:tcPr>
            <w:tcW w:w="1129" w:type="dxa"/>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二级指标</w:t>
            </w:r>
          </w:p>
        </w:tc>
        <w:tc>
          <w:tcPr>
            <w:tcW w:w="2436" w:type="dxa"/>
            <w:gridSpan w:val="2"/>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三级指标</w:t>
            </w:r>
          </w:p>
        </w:tc>
        <w:tc>
          <w:tcPr>
            <w:tcW w:w="1456" w:type="dxa"/>
            <w:gridSpan w:val="2"/>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预期指标值</w:t>
            </w:r>
          </w:p>
        </w:tc>
        <w:tc>
          <w:tcPr>
            <w:tcW w:w="1234" w:type="dxa"/>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实际完成值</w:t>
            </w:r>
          </w:p>
        </w:tc>
        <w:tc>
          <w:tcPr>
            <w:tcW w:w="1247" w:type="dxa"/>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自评得分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672" w:hRule="atLeast"/>
        </w:trPr>
        <w:tc>
          <w:tcPr>
            <w:tcW w:w="1191" w:type="dxa"/>
            <w:vMerge w:val="continue"/>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888" w:type="dxa"/>
            <w:vMerge w:val="restart"/>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产出指标（40）</w:t>
            </w:r>
          </w:p>
        </w:tc>
        <w:tc>
          <w:tcPr>
            <w:tcW w:w="1129" w:type="dxa"/>
            <w:vMerge w:val="restart"/>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数量指标</w:t>
            </w:r>
          </w:p>
        </w:tc>
        <w:tc>
          <w:tcPr>
            <w:tcW w:w="2436" w:type="dxa"/>
            <w:gridSpan w:val="2"/>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公交运营线路条数</w:t>
            </w:r>
          </w:p>
        </w:tc>
        <w:tc>
          <w:tcPr>
            <w:tcW w:w="1456" w:type="dxa"/>
            <w:gridSpan w:val="2"/>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 xml:space="preserve"> ≥ 235 条 </w:t>
            </w:r>
          </w:p>
        </w:tc>
        <w:tc>
          <w:tcPr>
            <w:tcW w:w="1234" w:type="dxa"/>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254条</w:t>
            </w:r>
          </w:p>
        </w:tc>
        <w:tc>
          <w:tcPr>
            <w:tcW w:w="1247" w:type="dxa"/>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47" w:hRule="atLeast"/>
        </w:trPr>
        <w:tc>
          <w:tcPr>
            <w:tcW w:w="1191" w:type="dxa"/>
            <w:vMerge w:val="continue"/>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888" w:type="dxa"/>
            <w:vMerge w:val="continue"/>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129" w:type="dxa"/>
            <w:vMerge w:val="continue"/>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2436" w:type="dxa"/>
            <w:gridSpan w:val="2"/>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年运客人次完成率</w:t>
            </w:r>
          </w:p>
        </w:tc>
        <w:tc>
          <w:tcPr>
            <w:tcW w:w="1456" w:type="dxa"/>
            <w:gridSpan w:val="2"/>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 xml:space="preserve"> ≥ 85 % </w:t>
            </w:r>
          </w:p>
        </w:tc>
        <w:tc>
          <w:tcPr>
            <w:tcW w:w="1234" w:type="dxa"/>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94%</w:t>
            </w:r>
          </w:p>
        </w:tc>
        <w:tc>
          <w:tcPr>
            <w:tcW w:w="1247" w:type="dxa"/>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47" w:hRule="atLeast"/>
        </w:trPr>
        <w:tc>
          <w:tcPr>
            <w:tcW w:w="1191" w:type="dxa"/>
            <w:vMerge w:val="continue"/>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888" w:type="dxa"/>
            <w:vMerge w:val="continue"/>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129" w:type="dxa"/>
            <w:vMerge w:val="restart"/>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质量指标</w:t>
            </w:r>
          </w:p>
        </w:tc>
        <w:tc>
          <w:tcPr>
            <w:tcW w:w="2436" w:type="dxa"/>
            <w:gridSpan w:val="2"/>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年运营里程完成率</w:t>
            </w:r>
          </w:p>
        </w:tc>
        <w:tc>
          <w:tcPr>
            <w:tcW w:w="1456" w:type="dxa"/>
            <w:gridSpan w:val="2"/>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 xml:space="preserve"> ≥ 85 % </w:t>
            </w:r>
          </w:p>
        </w:tc>
        <w:tc>
          <w:tcPr>
            <w:tcW w:w="1234" w:type="dxa"/>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99%</w:t>
            </w:r>
          </w:p>
        </w:tc>
        <w:tc>
          <w:tcPr>
            <w:tcW w:w="1247" w:type="dxa"/>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47" w:hRule="atLeast"/>
        </w:trPr>
        <w:tc>
          <w:tcPr>
            <w:tcW w:w="1191" w:type="dxa"/>
            <w:vMerge w:val="continue"/>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888" w:type="dxa"/>
            <w:vMerge w:val="continue"/>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129" w:type="dxa"/>
            <w:vMerge w:val="continue"/>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2436" w:type="dxa"/>
            <w:gridSpan w:val="2"/>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百万公里事故率</w:t>
            </w:r>
          </w:p>
        </w:tc>
        <w:tc>
          <w:tcPr>
            <w:tcW w:w="1456" w:type="dxa"/>
            <w:gridSpan w:val="2"/>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w:t>
            </w:r>
            <w:r>
              <w:rPr>
                <w:rFonts w:hint="default" w:ascii="Calibri" w:hAnsi="Calibri" w:eastAsia="宋体" w:cs="Calibri"/>
                <w:i w:val="0"/>
                <w:color w:val="000000"/>
                <w:kern w:val="0"/>
                <w:sz w:val="20"/>
                <w:szCs w:val="20"/>
                <w:u w:val="none"/>
                <w:lang w:val="en-US" w:eastAsia="zh-CN" w:bidi="ar"/>
              </w:rPr>
              <w:t>1</w:t>
            </w:r>
            <w:r>
              <w:rPr>
                <w:rStyle w:val="27"/>
                <w:lang w:val="en-US" w:eastAsia="zh-CN" w:bidi="ar"/>
              </w:rPr>
              <w:t>起</w:t>
            </w:r>
            <w:r>
              <w:rPr>
                <w:rFonts w:hint="default" w:ascii="Calibri" w:hAnsi="Calibri" w:eastAsia="宋体" w:cs="Calibri"/>
                <w:i w:val="0"/>
                <w:color w:val="000000"/>
                <w:kern w:val="0"/>
                <w:sz w:val="20"/>
                <w:szCs w:val="20"/>
                <w:u w:val="none"/>
                <w:lang w:val="en-US" w:eastAsia="zh-CN" w:bidi="ar"/>
              </w:rPr>
              <w:t>/</w:t>
            </w:r>
            <w:r>
              <w:rPr>
                <w:rStyle w:val="27"/>
                <w:lang w:val="en-US" w:eastAsia="zh-CN" w:bidi="ar"/>
              </w:rPr>
              <w:t>百万公里</w:t>
            </w:r>
          </w:p>
        </w:tc>
        <w:tc>
          <w:tcPr>
            <w:tcW w:w="1234" w:type="dxa"/>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0.33</w:t>
            </w:r>
            <w:r>
              <w:rPr>
                <w:rStyle w:val="27"/>
                <w:lang w:val="en-US" w:eastAsia="zh-CN" w:bidi="ar"/>
              </w:rPr>
              <w:t>起</w:t>
            </w:r>
            <w:r>
              <w:rPr>
                <w:rFonts w:hint="default" w:ascii="Calibri" w:hAnsi="Calibri" w:eastAsia="宋体" w:cs="Calibri"/>
                <w:i w:val="0"/>
                <w:color w:val="000000"/>
                <w:kern w:val="0"/>
                <w:sz w:val="20"/>
                <w:szCs w:val="20"/>
                <w:u w:val="none"/>
                <w:lang w:val="en-US" w:eastAsia="zh-CN" w:bidi="ar"/>
              </w:rPr>
              <w:t>/</w:t>
            </w:r>
            <w:r>
              <w:rPr>
                <w:rStyle w:val="27"/>
                <w:lang w:val="en-US" w:eastAsia="zh-CN" w:bidi="ar"/>
              </w:rPr>
              <w:t>百万公里</w:t>
            </w:r>
          </w:p>
        </w:tc>
        <w:tc>
          <w:tcPr>
            <w:tcW w:w="1247" w:type="dxa"/>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525" w:hRule="atLeast"/>
        </w:trPr>
        <w:tc>
          <w:tcPr>
            <w:tcW w:w="1191" w:type="dxa"/>
            <w:vMerge w:val="continue"/>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888" w:type="dxa"/>
            <w:vMerge w:val="continue"/>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129" w:type="dxa"/>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时效指标</w:t>
            </w:r>
          </w:p>
        </w:tc>
        <w:tc>
          <w:tcPr>
            <w:tcW w:w="2436" w:type="dxa"/>
            <w:gridSpan w:val="2"/>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工资发放及时率</w:t>
            </w:r>
          </w:p>
        </w:tc>
        <w:tc>
          <w:tcPr>
            <w:tcW w:w="1456" w:type="dxa"/>
            <w:gridSpan w:val="2"/>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eastAsia" w:ascii="宋体" w:hAnsi="宋体" w:eastAsia="宋体" w:cs="宋体"/>
                <w:i w:val="0"/>
                <w:color w:val="000000"/>
                <w:kern w:val="0"/>
                <w:sz w:val="20"/>
                <w:szCs w:val="20"/>
                <w:u w:val="none"/>
                <w:lang w:val="en-US" w:eastAsia="zh-CN" w:bidi="ar"/>
              </w:rPr>
              <w:t>≤</w:t>
            </w:r>
            <w:r>
              <w:rPr>
                <w:rFonts w:ascii="Calibri" w:hAnsi="Calibri" w:eastAsia="宋体" w:cs="Calibri"/>
                <w:i w:val="0"/>
                <w:color w:val="000000"/>
                <w:kern w:val="0"/>
                <w:sz w:val="20"/>
                <w:szCs w:val="20"/>
                <w:u w:val="none"/>
                <w:lang w:val="en-US" w:eastAsia="zh-CN" w:bidi="ar"/>
              </w:rPr>
              <w:t>25</w:t>
            </w:r>
            <w:r>
              <w:rPr>
                <w:rFonts w:hint="eastAsia" w:ascii="宋体" w:hAnsi="宋体" w:eastAsia="宋体" w:cs="宋体"/>
                <w:i w:val="0"/>
                <w:color w:val="000000"/>
                <w:kern w:val="0"/>
                <w:sz w:val="20"/>
                <w:szCs w:val="20"/>
                <w:u w:val="none"/>
                <w:lang w:val="en-US" w:eastAsia="zh-CN" w:bidi="ar"/>
              </w:rPr>
              <w:t>日</w:t>
            </w:r>
          </w:p>
        </w:tc>
        <w:tc>
          <w:tcPr>
            <w:tcW w:w="1234" w:type="dxa"/>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eastAsia" w:ascii="宋体" w:hAnsi="宋体" w:eastAsia="宋体" w:cs="宋体"/>
                <w:i w:val="0"/>
                <w:color w:val="000000"/>
                <w:kern w:val="0"/>
                <w:sz w:val="20"/>
                <w:szCs w:val="20"/>
                <w:u w:val="none"/>
                <w:lang w:val="en-US" w:eastAsia="zh-CN" w:bidi="ar"/>
              </w:rPr>
              <w:t>≤</w:t>
            </w:r>
            <w:r>
              <w:rPr>
                <w:rFonts w:ascii="Calibri" w:hAnsi="Calibri" w:eastAsia="宋体" w:cs="Calibri"/>
                <w:i w:val="0"/>
                <w:color w:val="000000"/>
                <w:kern w:val="0"/>
                <w:sz w:val="20"/>
                <w:szCs w:val="20"/>
                <w:u w:val="none"/>
                <w:lang w:val="en-US" w:eastAsia="zh-CN" w:bidi="ar"/>
              </w:rPr>
              <w:t>25</w:t>
            </w:r>
            <w:r>
              <w:rPr>
                <w:rFonts w:hint="eastAsia" w:ascii="宋体" w:hAnsi="宋体" w:eastAsia="宋体" w:cs="宋体"/>
                <w:i w:val="0"/>
                <w:color w:val="000000"/>
                <w:kern w:val="0"/>
                <w:sz w:val="20"/>
                <w:szCs w:val="20"/>
                <w:u w:val="none"/>
                <w:lang w:val="en-US" w:eastAsia="zh-CN" w:bidi="ar"/>
              </w:rPr>
              <w:t>日</w:t>
            </w:r>
          </w:p>
        </w:tc>
        <w:tc>
          <w:tcPr>
            <w:tcW w:w="1247" w:type="dxa"/>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47" w:hRule="atLeast"/>
        </w:trPr>
        <w:tc>
          <w:tcPr>
            <w:tcW w:w="1191" w:type="dxa"/>
            <w:vMerge w:val="continue"/>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888" w:type="dxa"/>
            <w:vMerge w:val="continue"/>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129" w:type="dxa"/>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成本指标</w:t>
            </w:r>
          </w:p>
        </w:tc>
        <w:tc>
          <w:tcPr>
            <w:tcW w:w="2436" w:type="dxa"/>
            <w:gridSpan w:val="2"/>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百公里燃料消耗</w:t>
            </w:r>
          </w:p>
        </w:tc>
        <w:tc>
          <w:tcPr>
            <w:tcW w:w="1456" w:type="dxa"/>
            <w:gridSpan w:val="2"/>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w:t>
            </w:r>
            <w:r>
              <w:rPr>
                <w:rFonts w:hint="default" w:ascii="Calibri" w:hAnsi="Calibri" w:eastAsia="宋体" w:cs="Calibri"/>
                <w:i w:val="0"/>
                <w:color w:val="000000"/>
                <w:kern w:val="0"/>
                <w:sz w:val="20"/>
                <w:szCs w:val="20"/>
                <w:u w:val="none"/>
                <w:lang w:val="en-US" w:eastAsia="zh-CN" w:bidi="ar"/>
              </w:rPr>
              <w:t>130</w:t>
            </w:r>
            <w:r>
              <w:rPr>
                <w:rStyle w:val="27"/>
                <w:lang w:val="en-US" w:eastAsia="zh-CN" w:bidi="ar"/>
              </w:rPr>
              <w:t>元</w:t>
            </w:r>
            <w:r>
              <w:rPr>
                <w:rFonts w:hint="default" w:ascii="Calibri" w:hAnsi="Calibri" w:eastAsia="宋体" w:cs="Calibri"/>
                <w:i w:val="0"/>
                <w:color w:val="000000"/>
                <w:kern w:val="0"/>
                <w:sz w:val="20"/>
                <w:szCs w:val="20"/>
                <w:u w:val="none"/>
                <w:lang w:val="en-US" w:eastAsia="zh-CN" w:bidi="ar"/>
              </w:rPr>
              <w:t>/</w:t>
            </w:r>
            <w:r>
              <w:rPr>
                <w:rStyle w:val="27"/>
                <w:lang w:val="en-US" w:eastAsia="zh-CN" w:bidi="ar"/>
              </w:rPr>
              <w:t>百公里</w:t>
            </w:r>
          </w:p>
        </w:tc>
        <w:tc>
          <w:tcPr>
            <w:tcW w:w="1234" w:type="dxa"/>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83.92</w:t>
            </w:r>
            <w:r>
              <w:rPr>
                <w:rStyle w:val="27"/>
                <w:lang w:val="en-US" w:eastAsia="zh-CN" w:bidi="ar"/>
              </w:rPr>
              <w:t>元</w:t>
            </w:r>
            <w:r>
              <w:rPr>
                <w:rFonts w:hint="default" w:ascii="Calibri" w:hAnsi="Calibri" w:eastAsia="宋体" w:cs="Calibri"/>
                <w:i w:val="0"/>
                <w:color w:val="000000"/>
                <w:kern w:val="0"/>
                <w:sz w:val="20"/>
                <w:szCs w:val="20"/>
                <w:u w:val="none"/>
                <w:lang w:val="en-US" w:eastAsia="zh-CN" w:bidi="ar"/>
              </w:rPr>
              <w:t>/</w:t>
            </w:r>
            <w:r>
              <w:rPr>
                <w:rStyle w:val="27"/>
                <w:lang w:val="en-US" w:eastAsia="zh-CN" w:bidi="ar"/>
              </w:rPr>
              <w:t>百公里</w:t>
            </w:r>
          </w:p>
        </w:tc>
        <w:tc>
          <w:tcPr>
            <w:tcW w:w="1247" w:type="dxa"/>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992" w:hRule="atLeast"/>
        </w:trPr>
        <w:tc>
          <w:tcPr>
            <w:tcW w:w="1191" w:type="dxa"/>
            <w:vMerge w:val="continue"/>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888" w:type="dxa"/>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预算执行率指标</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（10分）</w:t>
            </w:r>
          </w:p>
        </w:tc>
        <w:tc>
          <w:tcPr>
            <w:tcW w:w="1129" w:type="dxa"/>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预算执行率</w:t>
            </w:r>
          </w:p>
        </w:tc>
        <w:tc>
          <w:tcPr>
            <w:tcW w:w="2436" w:type="dxa"/>
            <w:gridSpan w:val="2"/>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预算资金的到位、执行情况</w:t>
            </w:r>
          </w:p>
        </w:tc>
        <w:tc>
          <w:tcPr>
            <w:tcW w:w="1456" w:type="dxa"/>
            <w:gridSpan w:val="2"/>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100%</w:t>
            </w:r>
          </w:p>
        </w:tc>
        <w:tc>
          <w:tcPr>
            <w:tcW w:w="1234" w:type="dxa"/>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100%</w:t>
            </w:r>
          </w:p>
        </w:tc>
        <w:tc>
          <w:tcPr>
            <w:tcW w:w="1247" w:type="dxa"/>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47" w:hRule="atLeast"/>
        </w:trPr>
        <w:tc>
          <w:tcPr>
            <w:tcW w:w="1191" w:type="dxa"/>
            <w:vMerge w:val="continue"/>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888" w:type="dxa"/>
            <w:vMerge w:val="restart"/>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效益指标（40分）</w:t>
            </w:r>
          </w:p>
        </w:tc>
        <w:tc>
          <w:tcPr>
            <w:tcW w:w="1129" w:type="dxa"/>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社会效益指标</w:t>
            </w:r>
          </w:p>
        </w:tc>
        <w:tc>
          <w:tcPr>
            <w:tcW w:w="2436" w:type="dxa"/>
            <w:gridSpan w:val="2"/>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保障城市公交正常运营</w:t>
            </w:r>
          </w:p>
        </w:tc>
        <w:tc>
          <w:tcPr>
            <w:tcW w:w="1456" w:type="dxa"/>
            <w:gridSpan w:val="2"/>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保障</w:t>
            </w:r>
          </w:p>
        </w:tc>
        <w:tc>
          <w:tcPr>
            <w:tcW w:w="1234" w:type="dxa"/>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保障正常运转</w:t>
            </w:r>
          </w:p>
        </w:tc>
        <w:tc>
          <w:tcPr>
            <w:tcW w:w="1247" w:type="dxa"/>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20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47" w:hRule="atLeast"/>
        </w:trPr>
        <w:tc>
          <w:tcPr>
            <w:tcW w:w="1191" w:type="dxa"/>
            <w:vMerge w:val="continue"/>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888" w:type="dxa"/>
            <w:vMerge w:val="continue"/>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129" w:type="dxa"/>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生态效益指标</w:t>
            </w:r>
          </w:p>
        </w:tc>
        <w:tc>
          <w:tcPr>
            <w:tcW w:w="2436" w:type="dxa"/>
            <w:gridSpan w:val="2"/>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新能源公交车占比</w:t>
            </w:r>
          </w:p>
        </w:tc>
        <w:tc>
          <w:tcPr>
            <w:tcW w:w="1456" w:type="dxa"/>
            <w:gridSpan w:val="2"/>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 xml:space="preserve"> ≥ </w:t>
            </w:r>
            <w:r>
              <w:rPr>
                <w:rStyle w:val="28"/>
                <w:lang w:val="en-US" w:eastAsia="zh-CN" w:bidi="ar"/>
              </w:rPr>
              <w:t xml:space="preserve">65 % </w:t>
            </w:r>
          </w:p>
        </w:tc>
        <w:tc>
          <w:tcPr>
            <w:tcW w:w="1234" w:type="dxa"/>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74.88%</w:t>
            </w:r>
          </w:p>
        </w:tc>
        <w:tc>
          <w:tcPr>
            <w:tcW w:w="1247" w:type="dxa"/>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20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670" w:hRule="atLeast"/>
        </w:trPr>
        <w:tc>
          <w:tcPr>
            <w:tcW w:w="1191" w:type="dxa"/>
            <w:vMerge w:val="continue"/>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888" w:type="dxa"/>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满意度指标</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（10分）</w:t>
            </w:r>
          </w:p>
        </w:tc>
        <w:tc>
          <w:tcPr>
            <w:tcW w:w="1129" w:type="dxa"/>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满意度指标</w:t>
            </w:r>
          </w:p>
        </w:tc>
        <w:tc>
          <w:tcPr>
            <w:tcW w:w="2436" w:type="dxa"/>
            <w:gridSpan w:val="2"/>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车厢服务合格率</w:t>
            </w:r>
          </w:p>
        </w:tc>
        <w:tc>
          <w:tcPr>
            <w:tcW w:w="1456" w:type="dxa"/>
            <w:gridSpan w:val="2"/>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 xml:space="preserve"> ≥ 85 % </w:t>
            </w:r>
          </w:p>
        </w:tc>
        <w:tc>
          <w:tcPr>
            <w:tcW w:w="1234" w:type="dxa"/>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99.83%</w:t>
            </w:r>
          </w:p>
        </w:tc>
        <w:tc>
          <w:tcPr>
            <w:tcW w:w="1247" w:type="dxa"/>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47" w:hRule="atLeast"/>
        </w:trPr>
        <w:tc>
          <w:tcPr>
            <w:tcW w:w="1191" w:type="dxa"/>
            <w:vMerge w:val="continue"/>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7143" w:type="dxa"/>
            <w:gridSpan w:val="7"/>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总分</w:t>
            </w:r>
          </w:p>
        </w:tc>
        <w:tc>
          <w:tcPr>
            <w:tcW w:w="1247" w:type="dxa"/>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100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1002" w:hRule="atLeast"/>
        </w:trPr>
        <w:tc>
          <w:tcPr>
            <w:tcW w:w="1191" w:type="dxa"/>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五、</w:t>
            </w:r>
            <w:r>
              <w:rPr>
                <w:rFonts w:ascii="Calibri" w:hAnsi="Calibri" w:eastAsia="宋体" w:cs="Calibri"/>
                <w:i w:val="0"/>
                <w:color w:val="000000"/>
                <w:kern w:val="0"/>
                <w:sz w:val="20"/>
                <w:szCs w:val="20"/>
                <w:u w:val="none"/>
                <w:lang w:val="en-US" w:eastAsia="zh-CN" w:bidi="ar"/>
              </w:rPr>
              <w:t xml:space="preserve"> </w:t>
            </w:r>
            <w:r>
              <w:rPr>
                <w:rFonts w:hint="eastAsia" w:ascii="宋体" w:hAnsi="宋体" w:eastAsia="宋体" w:cs="宋体"/>
                <w:i w:val="0"/>
                <w:color w:val="000000"/>
                <w:kern w:val="0"/>
                <w:sz w:val="20"/>
                <w:szCs w:val="20"/>
                <w:u w:val="none"/>
                <w:lang w:val="en-US" w:eastAsia="zh-CN" w:bidi="ar"/>
              </w:rPr>
              <w:t>存在问题、原因及下一步整改措施</w:t>
            </w:r>
          </w:p>
        </w:tc>
        <w:tc>
          <w:tcPr>
            <w:tcW w:w="8390" w:type="dxa"/>
            <w:gridSpan w:val="8"/>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无</w:t>
            </w:r>
          </w:p>
        </w:tc>
      </w:tr>
    </w:tbl>
    <w:p>
      <w:pPr>
        <w:rPr>
          <w:rFonts w:hint="eastAsia" w:ascii="仿宋" w:hAnsi="仿宋" w:eastAsia="仿宋"/>
          <w:color w:val="auto"/>
          <w:sz w:val="32"/>
          <w:szCs w:val="32"/>
          <w:lang w:val="en-US" w:eastAsia="zh-CN"/>
        </w:rPr>
      </w:pPr>
    </w:p>
    <w:p>
      <w:pPr>
        <w:rPr>
          <w:rFonts w:hint="eastAsia" w:ascii="仿宋" w:hAnsi="仿宋" w:eastAsia="仿宋"/>
          <w:color w:val="auto"/>
          <w:sz w:val="32"/>
          <w:szCs w:val="32"/>
          <w:lang w:val="en-US" w:eastAsia="zh-CN"/>
        </w:rPr>
      </w:pPr>
    </w:p>
    <w:p>
      <w:pPr>
        <w:rPr>
          <w:rFonts w:hint="eastAsia" w:ascii="仿宋" w:hAnsi="仿宋" w:eastAsia="仿宋"/>
          <w:color w:val="auto"/>
          <w:sz w:val="32"/>
          <w:szCs w:val="32"/>
          <w:lang w:val="en-US" w:eastAsia="zh-CN"/>
        </w:rPr>
      </w:pPr>
    </w:p>
    <w:p>
      <w:pPr>
        <w:rPr>
          <w:rFonts w:hint="eastAsia" w:ascii="仿宋" w:hAnsi="仿宋" w:eastAsia="仿宋"/>
          <w:color w:val="auto"/>
          <w:sz w:val="32"/>
          <w:szCs w:val="32"/>
          <w:lang w:val="en-US" w:eastAsia="zh-CN"/>
        </w:rPr>
      </w:pPr>
    </w:p>
    <w:p>
      <w:pPr>
        <w:rPr>
          <w:rFonts w:hint="eastAsia" w:ascii="仿宋" w:hAnsi="仿宋" w:eastAsia="仿宋"/>
          <w:color w:val="auto"/>
          <w:sz w:val="32"/>
          <w:szCs w:val="32"/>
          <w:lang w:val="en-US" w:eastAsia="zh-CN"/>
        </w:rPr>
      </w:pPr>
    </w:p>
    <w:p>
      <w:pPr>
        <w:rPr>
          <w:rFonts w:hint="eastAsia" w:ascii="仿宋" w:hAnsi="仿宋" w:eastAsia="仿宋"/>
          <w:color w:val="auto"/>
          <w:sz w:val="32"/>
          <w:szCs w:val="32"/>
          <w:lang w:val="en-US" w:eastAsia="zh-CN"/>
        </w:rPr>
      </w:pPr>
    </w:p>
    <w:p>
      <w:pPr>
        <w:rPr>
          <w:rFonts w:hint="eastAsia" w:ascii="仿宋" w:hAnsi="仿宋" w:eastAsia="仿宋"/>
          <w:color w:val="auto"/>
          <w:sz w:val="32"/>
          <w:szCs w:val="32"/>
          <w:lang w:val="en-US" w:eastAsia="zh-CN"/>
        </w:rPr>
      </w:pPr>
    </w:p>
    <w:p>
      <w:pPr>
        <w:rPr>
          <w:rFonts w:hint="eastAsia" w:ascii="仿宋" w:hAnsi="仿宋" w:eastAsia="仿宋"/>
          <w:color w:val="auto"/>
          <w:sz w:val="32"/>
          <w:szCs w:val="32"/>
          <w:lang w:val="en-US" w:eastAsia="zh-CN"/>
        </w:rPr>
      </w:pPr>
    </w:p>
    <w:p>
      <w:pPr>
        <w:rPr>
          <w:rFonts w:hint="eastAsia" w:ascii="仿宋" w:hAnsi="仿宋" w:eastAsia="仿宋"/>
          <w:color w:val="auto"/>
          <w:sz w:val="32"/>
          <w:szCs w:val="32"/>
          <w:lang w:val="en-US" w:eastAsia="zh-CN"/>
        </w:rPr>
      </w:pPr>
    </w:p>
    <w:p>
      <w:pPr>
        <w:rPr>
          <w:rFonts w:hint="eastAsia" w:ascii="仿宋" w:hAnsi="仿宋" w:eastAsia="仿宋"/>
          <w:color w:val="auto"/>
          <w:sz w:val="32"/>
          <w:szCs w:val="32"/>
          <w:lang w:val="en-US" w:eastAsia="zh-CN"/>
        </w:rPr>
      </w:pPr>
    </w:p>
    <w:p>
      <w:pPr>
        <w:rPr>
          <w:rFonts w:hint="eastAsia" w:ascii="仿宋" w:hAnsi="仿宋" w:eastAsia="仿宋"/>
          <w:color w:val="auto"/>
          <w:sz w:val="32"/>
          <w:szCs w:val="32"/>
          <w:lang w:val="en-US" w:eastAsia="zh-CN"/>
        </w:rPr>
      </w:pPr>
    </w:p>
    <w:p>
      <w:pPr>
        <w:rPr>
          <w:rFonts w:hint="eastAsia" w:ascii="仿宋" w:hAnsi="仿宋" w:eastAsia="仿宋"/>
          <w:color w:val="auto"/>
          <w:sz w:val="32"/>
          <w:szCs w:val="32"/>
          <w:lang w:val="en-US" w:eastAsia="zh-CN"/>
        </w:rPr>
      </w:pPr>
    </w:p>
    <w:p>
      <w:pPr>
        <w:rPr>
          <w:rFonts w:hint="eastAsia" w:ascii="仿宋" w:hAnsi="仿宋" w:eastAsia="仿宋"/>
          <w:color w:val="auto"/>
          <w:sz w:val="32"/>
          <w:szCs w:val="32"/>
          <w:lang w:val="en-US" w:eastAsia="zh-CN"/>
        </w:rPr>
      </w:pPr>
    </w:p>
    <w:p>
      <w:pPr>
        <w:rPr>
          <w:rFonts w:hint="eastAsia" w:ascii="仿宋" w:hAnsi="仿宋" w:eastAsia="仿宋"/>
          <w:color w:val="auto"/>
          <w:sz w:val="32"/>
          <w:szCs w:val="32"/>
          <w:lang w:val="en-US" w:eastAsia="zh-CN"/>
        </w:rPr>
      </w:pPr>
    </w:p>
    <w:tbl>
      <w:tblPr>
        <w:tblStyle w:val="11"/>
        <w:tblpPr w:leftFromText="180" w:rightFromText="180" w:vertAnchor="text" w:horzAnchor="page" w:tblpX="1174" w:tblpY="731"/>
        <w:tblOverlap w:val="never"/>
        <w:tblW w:w="9736"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Layout w:type="fixed"/>
        <w:tblCellMar>
          <w:top w:w="0" w:type="dxa"/>
          <w:left w:w="108" w:type="dxa"/>
          <w:bottom w:w="0" w:type="dxa"/>
          <w:right w:w="108" w:type="dxa"/>
        </w:tblCellMar>
      </w:tblPr>
      <w:tblGrid>
        <w:gridCol w:w="2492"/>
        <w:gridCol w:w="979"/>
        <w:gridCol w:w="797"/>
        <w:gridCol w:w="856"/>
        <w:gridCol w:w="867"/>
        <w:gridCol w:w="813"/>
        <w:gridCol w:w="1126"/>
        <w:gridCol w:w="180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Layout w:type="fixed"/>
          <w:tblCellMar>
            <w:top w:w="0" w:type="dxa"/>
            <w:left w:w="108" w:type="dxa"/>
            <w:bottom w:w="0" w:type="dxa"/>
            <w:right w:w="108" w:type="dxa"/>
          </w:tblCellMar>
        </w:tblPrEx>
        <w:trPr>
          <w:cantSplit/>
          <w:trHeight w:val="540" w:hRule="atLeast"/>
        </w:trPr>
        <w:tc>
          <w:tcPr>
            <w:tcW w:w="9736" w:type="dxa"/>
            <w:gridSpan w:val="8"/>
            <w:shd w:val="clear" w:color="auto" w:fill="auto"/>
            <w:noWrap/>
            <w:vAlign w:val="center"/>
          </w:tcPr>
          <w:p>
            <w:pPr>
              <w:keepNext w:val="0"/>
              <w:keepLines w:val="0"/>
              <w:widowControl/>
              <w:suppressLineNumbers w:val="0"/>
              <w:jc w:val="center"/>
              <w:textAlignment w:val="center"/>
              <w:rPr>
                <w:rFonts w:ascii="方正小标宋_GBK" w:hAnsi="方正小标宋_GBK" w:eastAsia="方正小标宋_GBK" w:cs="方正小标宋_GBK"/>
                <w:i w:val="0"/>
                <w:iCs w:val="0"/>
                <w:color w:val="000000"/>
                <w:sz w:val="44"/>
                <w:szCs w:val="44"/>
                <w:u w:val="none"/>
              </w:rPr>
            </w:pPr>
            <w:r>
              <w:rPr>
                <w:rFonts w:hint="eastAsia" w:ascii="方正小标宋简体" w:hAnsi="方正小标宋简体" w:eastAsia="方正小标宋简体" w:cs="方正小标宋简体"/>
                <w:i w:val="0"/>
                <w:iCs w:val="0"/>
                <w:color w:val="000000"/>
                <w:kern w:val="0"/>
                <w:sz w:val="44"/>
                <w:szCs w:val="44"/>
                <w:u w:val="none"/>
                <w:lang w:val="en-US" w:eastAsia="zh-CN" w:bidi="ar"/>
              </w:rPr>
              <w:t>市级部门预算项目绩效自评表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15" w:hRule="atLeast"/>
        </w:trPr>
        <w:tc>
          <w:tcPr>
            <w:tcW w:w="9736" w:type="dxa"/>
            <w:gridSpan w:val="8"/>
            <w:shd w:val="clear" w:color="auto" w:fill="auto"/>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2024年度）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260" w:hRule="atLeast"/>
        </w:trPr>
        <w:tc>
          <w:tcPr>
            <w:tcW w:w="2492" w:type="dxa"/>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填报单位：石家庄市交通运输局</w:t>
            </w:r>
          </w:p>
        </w:tc>
        <w:tc>
          <w:tcPr>
            <w:tcW w:w="979" w:type="dxa"/>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797" w:type="dxa"/>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856" w:type="dxa"/>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867" w:type="dxa"/>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813" w:type="dxa"/>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1126" w:type="dxa"/>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1806" w:type="dxa"/>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单位：万元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560" w:hRule="atLeast"/>
        </w:trPr>
        <w:tc>
          <w:tcPr>
            <w:tcW w:w="2492" w:type="dxa"/>
            <w:shd w:val="clear" w:color="auto" w:fill="auto"/>
            <w:vAlign w:val="center"/>
          </w:tcPr>
          <w:p>
            <w:pPr>
              <w:keepNext w:val="0"/>
              <w:keepLines w:val="0"/>
              <w:widowControl/>
              <w:suppressLineNumbers w:val="0"/>
              <w:ind w:firstLine="400" w:firstLineChars="20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一、</w:t>
            </w:r>
            <w:r>
              <w:rPr>
                <w:rStyle w:val="26"/>
                <w:rFonts w:eastAsia="宋体"/>
                <w:lang w:val="en-US" w:eastAsia="zh-CN" w:bidi="ar"/>
              </w:rPr>
              <w:t xml:space="preserve"> </w:t>
            </w:r>
            <w:r>
              <w:rPr>
                <w:rFonts w:hint="eastAsia" w:ascii="宋体" w:hAnsi="宋体" w:eastAsia="宋体" w:cs="宋体"/>
                <w:i w:val="0"/>
                <w:iCs w:val="0"/>
                <w:color w:val="000000"/>
                <w:kern w:val="0"/>
                <w:sz w:val="20"/>
                <w:szCs w:val="20"/>
                <w:u w:val="none"/>
                <w:lang w:val="en-US" w:eastAsia="zh-CN" w:bidi="ar"/>
              </w:rPr>
              <w:t>基本情况</w:t>
            </w:r>
          </w:p>
        </w:tc>
        <w:tc>
          <w:tcPr>
            <w:tcW w:w="979" w:type="dxa"/>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项目名称</w:t>
            </w:r>
          </w:p>
        </w:tc>
        <w:tc>
          <w:tcPr>
            <w:tcW w:w="1653" w:type="dxa"/>
            <w:gridSpan w:val="2"/>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12328交通服务监督电话经费（专项资金）</w:t>
            </w:r>
          </w:p>
        </w:tc>
        <w:tc>
          <w:tcPr>
            <w:tcW w:w="867" w:type="dxa"/>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实施(主管）单位</w:t>
            </w:r>
          </w:p>
        </w:tc>
        <w:tc>
          <w:tcPr>
            <w:tcW w:w="3745" w:type="dxa"/>
            <w:gridSpan w:val="3"/>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石家庄市交通运输服务中心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480" w:hRule="atLeast"/>
        </w:trPr>
        <w:tc>
          <w:tcPr>
            <w:tcW w:w="2492" w:type="dxa"/>
            <w:vMerge w:val="restart"/>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二、预算执行情况</w:t>
            </w:r>
          </w:p>
        </w:tc>
        <w:tc>
          <w:tcPr>
            <w:tcW w:w="1776" w:type="dxa"/>
            <w:gridSpan w:val="2"/>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预算安排情况（调整后）</w:t>
            </w:r>
          </w:p>
        </w:tc>
        <w:tc>
          <w:tcPr>
            <w:tcW w:w="1723" w:type="dxa"/>
            <w:gridSpan w:val="2"/>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资金到位情况</w:t>
            </w:r>
          </w:p>
        </w:tc>
        <w:tc>
          <w:tcPr>
            <w:tcW w:w="1939" w:type="dxa"/>
            <w:gridSpan w:val="2"/>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资金执行情况</w:t>
            </w:r>
          </w:p>
        </w:tc>
        <w:tc>
          <w:tcPr>
            <w:tcW w:w="1806" w:type="dxa"/>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预算执行进度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420" w:hRule="atLeast"/>
        </w:trPr>
        <w:tc>
          <w:tcPr>
            <w:tcW w:w="2492" w:type="dxa"/>
            <w:vMerge w:val="continue"/>
            <w:shd w:val="clear" w:color="auto" w:fill="auto"/>
            <w:vAlign w:val="center"/>
          </w:tcPr>
          <w:p>
            <w:pPr>
              <w:jc w:val="center"/>
              <w:rPr>
                <w:rFonts w:hint="eastAsia" w:ascii="宋体" w:hAnsi="宋体" w:eastAsia="宋体" w:cs="宋体"/>
                <w:i w:val="0"/>
                <w:iCs w:val="0"/>
                <w:color w:val="000000"/>
                <w:sz w:val="20"/>
                <w:szCs w:val="20"/>
                <w:u w:val="none"/>
              </w:rPr>
            </w:pPr>
          </w:p>
        </w:tc>
        <w:tc>
          <w:tcPr>
            <w:tcW w:w="979" w:type="dxa"/>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预算数：</w:t>
            </w:r>
          </w:p>
        </w:tc>
        <w:tc>
          <w:tcPr>
            <w:tcW w:w="797" w:type="dxa"/>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4.77</w:t>
            </w:r>
          </w:p>
        </w:tc>
        <w:tc>
          <w:tcPr>
            <w:tcW w:w="856" w:type="dxa"/>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到位数：</w:t>
            </w:r>
          </w:p>
        </w:tc>
        <w:tc>
          <w:tcPr>
            <w:tcW w:w="867" w:type="dxa"/>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4.77</w:t>
            </w:r>
          </w:p>
        </w:tc>
        <w:tc>
          <w:tcPr>
            <w:tcW w:w="813" w:type="dxa"/>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执行数：</w:t>
            </w:r>
          </w:p>
        </w:tc>
        <w:tc>
          <w:tcPr>
            <w:tcW w:w="1126" w:type="dxa"/>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4.77</w:t>
            </w:r>
          </w:p>
        </w:tc>
        <w:tc>
          <w:tcPr>
            <w:tcW w:w="1806" w:type="dxa"/>
            <w:vMerge w:val="restart"/>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540" w:hRule="atLeast"/>
        </w:trPr>
        <w:tc>
          <w:tcPr>
            <w:tcW w:w="2492" w:type="dxa"/>
            <w:vMerge w:val="continue"/>
            <w:shd w:val="clear" w:color="auto" w:fill="auto"/>
            <w:vAlign w:val="center"/>
          </w:tcPr>
          <w:p>
            <w:pPr>
              <w:jc w:val="center"/>
              <w:rPr>
                <w:rFonts w:hint="eastAsia" w:ascii="宋体" w:hAnsi="宋体" w:eastAsia="宋体" w:cs="宋体"/>
                <w:i w:val="0"/>
                <w:iCs w:val="0"/>
                <w:color w:val="000000"/>
                <w:sz w:val="20"/>
                <w:szCs w:val="20"/>
                <w:u w:val="none"/>
              </w:rPr>
            </w:pPr>
          </w:p>
        </w:tc>
        <w:tc>
          <w:tcPr>
            <w:tcW w:w="979" w:type="dxa"/>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797" w:type="dxa"/>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4.77</w:t>
            </w:r>
          </w:p>
        </w:tc>
        <w:tc>
          <w:tcPr>
            <w:tcW w:w="856" w:type="dxa"/>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867" w:type="dxa"/>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4.77</w:t>
            </w:r>
          </w:p>
        </w:tc>
        <w:tc>
          <w:tcPr>
            <w:tcW w:w="813" w:type="dxa"/>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1126" w:type="dxa"/>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4.77</w:t>
            </w:r>
          </w:p>
        </w:tc>
        <w:tc>
          <w:tcPr>
            <w:tcW w:w="1806" w:type="dxa"/>
            <w:vMerge w:val="continue"/>
            <w:shd w:val="clear" w:color="auto" w:fill="auto"/>
            <w:vAlign w:val="center"/>
          </w:tcPr>
          <w:p>
            <w:pPr>
              <w:jc w:val="center"/>
              <w:rPr>
                <w:rFonts w:hint="eastAsia" w:ascii="宋体" w:hAnsi="宋体" w:eastAsia="宋体" w:cs="宋体"/>
                <w:i w:val="0"/>
                <w:iCs w:val="0"/>
                <w:color w:val="000000"/>
                <w:sz w:val="20"/>
                <w:szCs w:val="20"/>
                <w:u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405" w:hRule="atLeast"/>
        </w:trPr>
        <w:tc>
          <w:tcPr>
            <w:tcW w:w="2492" w:type="dxa"/>
            <w:vMerge w:val="continue"/>
            <w:shd w:val="clear" w:color="auto" w:fill="auto"/>
            <w:vAlign w:val="center"/>
          </w:tcPr>
          <w:p>
            <w:pPr>
              <w:jc w:val="center"/>
              <w:rPr>
                <w:rFonts w:hint="eastAsia" w:ascii="宋体" w:hAnsi="宋体" w:eastAsia="宋体" w:cs="宋体"/>
                <w:i w:val="0"/>
                <w:iCs w:val="0"/>
                <w:color w:val="000000"/>
                <w:sz w:val="20"/>
                <w:szCs w:val="20"/>
                <w:u w:val="none"/>
              </w:rPr>
            </w:pPr>
          </w:p>
        </w:tc>
        <w:tc>
          <w:tcPr>
            <w:tcW w:w="979" w:type="dxa"/>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797" w:type="dxa"/>
            <w:shd w:val="clear" w:color="auto" w:fill="auto"/>
            <w:vAlign w:val="center"/>
          </w:tcPr>
          <w:p>
            <w:pPr>
              <w:jc w:val="left"/>
              <w:rPr>
                <w:rFonts w:hint="default" w:ascii="Calibri" w:hAnsi="Calibri" w:eastAsia="宋体" w:cs="Calibri"/>
                <w:i w:val="0"/>
                <w:iCs w:val="0"/>
                <w:color w:val="000000"/>
                <w:sz w:val="20"/>
                <w:szCs w:val="20"/>
                <w:u w:val="none"/>
              </w:rPr>
            </w:pPr>
          </w:p>
        </w:tc>
        <w:tc>
          <w:tcPr>
            <w:tcW w:w="856" w:type="dxa"/>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867" w:type="dxa"/>
            <w:shd w:val="clear" w:color="auto" w:fill="auto"/>
            <w:vAlign w:val="center"/>
          </w:tcPr>
          <w:p>
            <w:pPr>
              <w:jc w:val="left"/>
              <w:rPr>
                <w:rFonts w:hint="eastAsia" w:ascii="宋体" w:hAnsi="宋体" w:eastAsia="宋体" w:cs="宋体"/>
                <w:i w:val="0"/>
                <w:iCs w:val="0"/>
                <w:color w:val="000000"/>
                <w:sz w:val="20"/>
                <w:szCs w:val="20"/>
                <w:u w:val="none"/>
              </w:rPr>
            </w:pPr>
          </w:p>
        </w:tc>
        <w:tc>
          <w:tcPr>
            <w:tcW w:w="813" w:type="dxa"/>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1126" w:type="dxa"/>
            <w:shd w:val="clear" w:color="auto" w:fill="auto"/>
            <w:vAlign w:val="center"/>
          </w:tcPr>
          <w:p>
            <w:pPr>
              <w:jc w:val="left"/>
              <w:rPr>
                <w:rFonts w:hint="eastAsia" w:ascii="宋体" w:hAnsi="宋体" w:eastAsia="宋体" w:cs="宋体"/>
                <w:i w:val="0"/>
                <w:iCs w:val="0"/>
                <w:color w:val="000000"/>
                <w:sz w:val="20"/>
                <w:szCs w:val="20"/>
                <w:u w:val="none"/>
              </w:rPr>
            </w:pPr>
          </w:p>
        </w:tc>
        <w:tc>
          <w:tcPr>
            <w:tcW w:w="1806" w:type="dxa"/>
            <w:vMerge w:val="continue"/>
            <w:shd w:val="clear" w:color="auto" w:fill="auto"/>
            <w:vAlign w:val="center"/>
          </w:tcPr>
          <w:p>
            <w:pPr>
              <w:jc w:val="center"/>
              <w:rPr>
                <w:rFonts w:hint="eastAsia" w:ascii="宋体" w:hAnsi="宋体" w:eastAsia="宋体" w:cs="宋体"/>
                <w:i w:val="0"/>
                <w:iCs w:val="0"/>
                <w:color w:val="000000"/>
                <w:sz w:val="20"/>
                <w:szCs w:val="20"/>
                <w:u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640" w:hRule="atLeast"/>
        </w:trPr>
        <w:tc>
          <w:tcPr>
            <w:tcW w:w="2492" w:type="dxa"/>
            <w:vMerge w:val="restart"/>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三、目标完成情况</w:t>
            </w:r>
          </w:p>
        </w:tc>
        <w:tc>
          <w:tcPr>
            <w:tcW w:w="2632" w:type="dxa"/>
            <w:gridSpan w:val="3"/>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年度预期目标</w:t>
            </w:r>
          </w:p>
        </w:tc>
        <w:tc>
          <w:tcPr>
            <w:tcW w:w="2806" w:type="dxa"/>
            <w:gridSpan w:val="3"/>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具体完成情况</w:t>
            </w:r>
          </w:p>
        </w:tc>
        <w:tc>
          <w:tcPr>
            <w:tcW w:w="1806" w:type="dxa"/>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总体完成率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640" w:hRule="atLeast"/>
        </w:trPr>
        <w:tc>
          <w:tcPr>
            <w:tcW w:w="2492" w:type="dxa"/>
            <w:vMerge w:val="continue"/>
            <w:shd w:val="clear" w:color="auto" w:fill="auto"/>
            <w:vAlign w:val="center"/>
          </w:tcPr>
          <w:p>
            <w:pPr>
              <w:jc w:val="center"/>
              <w:rPr>
                <w:rFonts w:hint="eastAsia" w:ascii="宋体" w:hAnsi="宋体" w:eastAsia="宋体" w:cs="宋体"/>
                <w:i w:val="0"/>
                <w:iCs w:val="0"/>
                <w:color w:val="000000"/>
                <w:sz w:val="20"/>
                <w:szCs w:val="20"/>
                <w:u w:val="none"/>
              </w:rPr>
            </w:pPr>
          </w:p>
        </w:tc>
        <w:tc>
          <w:tcPr>
            <w:tcW w:w="2632" w:type="dxa"/>
            <w:gridSpan w:val="3"/>
            <w:vMerge w:val="restart"/>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建立服务规范和操作规程，加强对人员的培训与考核;提高人员业务素质，提供文明优质热线服务。</w:t>
            </w:r>
          </w:p>
        </w:tc>
        <w:tc>
          <w:tcPr>
            <w:tcW w:w="2806" w:type="dxa"/>
            <w:gridSpan w:val="3"/>
            <w:vMerge w:val="restart"/>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12328交通服务监督电话经费资金4.77万元已全部支付完成。</w:t>
            </w:r>
          </w:p>
        </w:tc>
        <w:tc>
          <w:tcPr>
            <w:tcW w:w="1806" w:type="dxa"/>
            <w:vMerge w:val="restart"/>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640" w:hRule="atLeast"/>
        </w:trPr>
        <w:tc>
          <w:tcPr>
            <w:tcW w:w="2492" w:type="dxa"/>
            <w:vMerge w:val="continue"/>
            <w:shd w:val="clear" w:color="auto" w:fill="auto"/>
            <w:vAlign w:val="center"/>
          </w:tcPr>
          <w:p>
            <w:pPr>
              <w:jc w:val="center"/>
              <w:rPr>
                <w:rFonts w:hint="eastAsia" w:ascii="宋体" w:hAnsi="宋体" w:eastAsia="宋体" w:cs="宋体"/>
                <w:i w:val="0"/>
                <w:iCs w:val="0"/>
                <w:color w:val="000000"/>
                <w:sz w:val="20"/>
                <w:szCs w:val="20"/>
                <w:u w:val="none"/>
              </w:rPr>
            </w:pPr>
          </w:p>
        </w:tc>
        <w:tc>
          <w:tcPr>
            <w:tcW w:w="2632" w:type="dxa"/>
            <w:gridSpan w:val="3"/>
            <w:vMerge w:val="continue"/>
            <w:shd w:val="clear" w:color="auto" w:fill="auto"/>
            <w:vAlign w:val="center"/>
          </w:tcPr>
          <w:p>
            <w:pPr>
              <w:jc w:val="center"/>
              <w:rPr>
                <w:rFonts w:hint="eastAsia" w:ascii="宋体" w:hAnsi="宋体" w:eastAsia="宋体" w:cs="宋体"/>
                <w:i w:val="0"/>
                <w:iCs w:val="0"/>
                <w:color w:val="000000"/>
                <w:sz w:val="20"/>
                <w:szCs w:val="20"/>
                <w:u w:val="none"/>
              </w:rPr>
            </w:pPr>
          </w:p>
        </w:tc>
        <w:tc>
          <w:tcPr>
            <w:tcW w:w="2806" w:type="dxa"/>
            <w:gridSpan w:val="3"/>
            <w:vMerge w:val="continue"/>
            <w:shd w:val="clear" w:color="auto" w:fill="auto"/>
            <w:vAlign w:val="center"/>
          </w:tcPr>
          <w:p>
            <w:pPr>
              <w:jc w:val="center"/>
              <w:rPr>
                <w:rFonts w:hint="eastAsia" w:ascii="宋体" w:hAnsi="宋体" w:eastAsia="宋体" w:cs="宋体"/>
                <w:i w:val="0"/>
                <w:iCs w:val="0"/>
                <w:color w:val="000000"/>
                <w:sz w:val="20"/>
                <w:szCs w:val="20"/>
                <w:u w:val="none"/>
              </w:rPr>
            </w:pPr>
          </w:p>
        </w:tc>
        <w:tc>
          <w:tcPr>
            <w:tcW w:w="1806" w:type="dxa"/>
            <w:vMerge w:val="continue"/>
            <w:shd w:val="clear" w:color="auto" w:fill="auto"/>
            <w:vAlign w:val="center"/>
          </w:tcPr>
          <w:p>
            <w:pPr>
              <w:jc w:val="center"/>
              <w:rPr>
                <w:rFonts w:hint="eastAsia" w:ascii="宋体" w:hAnsi="宋体" w:eastAsia="宋体" w:cs="宋体"/>
                <w:i w:val="0"/>
                <w:iCs w:val="0"/>
                <w:color w:val="000000"/>
                <w:sz w:val="20"/>
                <w:szCs w:val="20"/>
                <w:u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0" w:hRule="atLeast"/>
        </w:trPr>
        <w:tc>
          <w:tcPr>
            <w:tcW w:w="2492" w:type="dxa"/>
            <w:vMerge w:val="continue"/>
            <w:shd w:val="clear" w:color="auto" w:fill="auto"/>
            <w:vAlign w:val="center"/>
          </w:tcPr>
          <w:p>
            <w:pPr>
              <w:jc w:val="center"/>
              <w:rPr>
                <w:rFonts w:hint="eastAsia" w:ascii="宋体" w:hAnsi="宋体" w:eastAsia="宋体" w:cs="宋体"/>
                <w:i w:val="0"/>
                <w:iCs w:val="0"/>
                <w:color w:val="000000"/>
                <w:sz w:val="20"/>
                <w:szCs w:val="20"/>
                <w:u w:val="none"/>
              </w:rPr>
            </w:pPr>
          </w:p>
        </w:tc>
        <w:tc>
          <w:tcPr>
            <w:tcW w:w="2632" w:type="dxa"/>
            <w:gridSpan w:val="3"/>
            <w:vMerge w:val="continue"/>
            <w:shd w:val="clear" w:color="auto" w:fill="auto"/>
            <w:vAlign w:val="center"/>
          </w:tcPr>
          <w:p>
            <w:pPr>
              <w:jc w:val="center"/>
              <w:rPr>
                <w:rFonts w:hint="eastAsia" w:ascii="宋体" w:hAnsi="宋体" w:eastAsia="宋体" w:cs="宋体"/>
                <w:i w:val="0"/>
                <w:iCs w:val="0"/>
                <w:color w:val="000000"/>
                <w:sz w:val="20"/>
                <w:szCs w:val="20"/>
                <w:u w:val="none"/>
              </w:rPr>
            </w:pPr>
          </w:p>
        </w:tc>
        <w:tc>
          <w:tcPr>
            <w:tcW w:w="2806" w:type="dxa"/>
            <w:gridSpan w:val="3"/>
            <w:vMerge w:val="continue"/>
            <w:shd w:val="clear" w:color="auto" w:fill="auto"/>
            <w:vAlign w:val="center"/>
          </w:tcPr>
          <w:p>
            <w:pPr>
              <w:jc w:val="center"/>
              <w:rPr>
                <w:rFonts w:hint="eastAsia" w:ascii="宋体" w:hAnsi="宋体" w:eastAsia="宋体" w:cs="宋体"/>
                <w:i w:val="0"/>
                <w:iCs w:val="0"/>
                <w:color w:val="000000"/>
                <w:sz w:val="20"/>
                <w:szCs w:val="20"/>
                <w:u w:val="none"/>
              </w:rPr>
            </w:pPr>
          </w:p>
        </w:tc>
        <w:tc>
          <w:tcPr>
            <w:tcW w:w="1806" w:type="dxa"/>
            <w:vMerge w:val="continue"/>
            <w:shd w:val="clear" w:color="auto" w:fill="auto"/>
            <w:vAlign w:val="center"/>
          </w:tcPr>
          <w:p>
            <w:pPr>
              <w:jc w:val="center"/>
              <w:rPr>
                <w:rFonts w:hint="eastAsia" w:ascii="宋体" w:hAnsi="宋体" w:eastAsia="宋体" w:cs="宋体"/>
                <w:i w:val="0"/>
                <w:iCs w:val="0"/>
                <w:color w:val="000000"/>
                <w:sz w:val="20"/>
                <w:szCs w:val="20"/>
                <w:u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270" w:hRule="atLeast"/>
        </w:trPr>
        <w:tc>
          <w:tcPr>
            <w:tcW w:w="2492" w:type="dxa"/>
            <w:vMerge w:val="restart"/>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四、</w:t>
            </w:r>
            <w:r>
              <w:rPr>
                <w:rStyle w:val="26"/>
                <w:rFonts w:eastAsia="宋体"/>
                <w:lang w:val="en-US" w:eastAsia="zh-CN" w:bidi="ar"/>
              </w:rPr>
              <w:t xml:space="preserve"> </w:t>
            </w:r>
            <w:r>
              <w:rPr>
                <w:rFonts w:hint="eastAsia" w:ascii="宋体" w:hAnsi="宋体" w:eastAsia="宋体" w:cs="宋体"/>
                <w:i w:val="0"/>
                <w:iCs w:val="0"/>
                <w:color w:val="000000"/>
                <w:kern w:val="0"/>
                <w:sz w:val="20"/>
                <w:szCs w:val="20"/>
                <w:u w:val="none"/>
                <w:lang w:val="en-US" w:eastAsia="zh-CN" w:bidi="ar"/>
              </w:rPr>
              <w:t>年度绩效指标完成情况</w:t>
            </w:r>
          </w:p>
        </w:tc>
        <w:tc>
          <w:tcPr>
            <w:tcW w:w="979" w:type="dxa"/>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一级指标</w:t>
            </w:r>
          </w:p>
        </w:tc>
        <w:tc>
          <w:tcPr>
            <w:tcW w:w="797" w:type="dxa"/>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二级指标</w:t>
            </w:r>
          </w:p>
        </w:tc>
        <w:tc>
          <w:tcPr>
            <w:tcW w:w="1723" w:type="dxa"/>
            <w:gridSpan w:val="2"/>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三级指标</w:t>
            </w:r>
          </w:p>
        </w:tc>
        <w:tc>
          <w:tcPr>
            <w:tcW w:w="813" w:type="dxa"/>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预期指标值</w:t>
            </w:r>
          </w:p>
        </w:tc>
        <w:tc>
          <w:tcPr>
            <w:tcW w:w="1126" w:type="dxa"/>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实际完成值</w:t>
            </w:r>
          </w:p>
        </w:tc>
        <w:tc>
          <w:tcPr>
            <w:tcW w:w="1806" w:type="dxa"/>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自评得分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270" w:hRule="atLeast"/>
        </w:trPr>
        <w:tc>
          <w:tcPr>
            <w:tcW w:w="2492" w:type="dxa"/>
            <w:vMerge w:val="continue"/>
            <w:shd w:val="clear" w:color="auto" w:fill="auto"/>
            <w:vAlign w:val="center"/>
          </w:tcPr>
          <w:p>
            <w:pPr>
              <w:jc w:val="center"/>
              <w:rPr>
                <w:rFonts w:hint="eastAsia" w:ascii="宋体" w:hAnsi="宋体" w:eastAsia="宋体" w:cs="宋体"/>
                <w:i w:val="0"/>
                <w:iCs w:val="0"/>
                <w:color w:val="000000"/>
                <w:sz w:val="20"/>
                <w:szCs w:val="20"/>
                <w:u w:val="none"/>
              </w:rPr>
            </w:pPr>
          </w:p>
        </w:tc>
        <w:tc>
          <w:tcPr>
            <w:tcW w:w="979" w:type="dxa"/>
            <w:vMerge w:val="restart"/>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产出指标（40）</w:t>
            </w:r>
          </w:p>
        </w:tc>
        <w:tc>
          <w:tcPr>
            <w:tcW w:w="797" w:type="dxa"/>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数量指标</w:t>
            </w:r>
          </w:p>
        </w:tc>
        <w:tc>
          <w:tcPr>
            <w:tcW w:w="1723" w:type="dxa"/>
            <w:gridSpan w:val="2"/>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项目的数量</w:t>
            </w:r>
          </w:p>
        </w:tc>
        <w:tc>
          <w:tcPr>
            <w:tcW w:w="813" w:type="dxa"/>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2个</w:t>
            </w:r>
          </w:p>
        </w:tc>
        <w:tc>
          <w:tcPr>
            <w:tcW w:w="1126" w:type="dxa"/>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2个</w:t>
            </w:r>
          </w:p>
        </w:tc>
        <w:tc>
          <w:tcPr>
            <w:tcW w:w="1806" w:type="dxa"/>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270" w:hRule="atLeast"/>
        </w:trPr>
        <w:tc>
          <w:tcPr>
            <w:tcW w:w="2492" w:type="dxa"/>
            <w:vMerge w:val="continue"/>
            <w:shd w:val="clear" w:color="auto" w:fill="auto"/>
            <w:vAlign w:val="center"/>
          </w:tcPr>
          <w:p>
            <w:pPr>
              <w:jc w:val="center"/>
              <w:rPr>
                <w:rFonts w:hint="eastAsia" w:ascii="宋体" w:hAnsi="宋体" w:eastAsia="宋体" w:cs="宋体"/>
                <w:i w:val="0"/>
                <w:iCs w:val="0"/>
                <w:color w:val="000000"/>
                <w:sz w:val="20"/>
                <w:szCs w:val="20"/>
                <w:u w:val="none"/>
              </w:rPr>
            </w:pPr>
          </w:p>
        </w:tc>
        <w:tc>
          <w:tcPr>
            <w:tcW w:w="979" w:type="dxa"/>
            <w:vMerge w:val="continue"/>
            <w:shd w:val="clear" w:color="auto" w:fill="auto"/>
            <w:vAlign w:val="center"/>
          </w:tcPr>
          <w:p>
            <w:pPr>
              <w:jc w:val="center"/>
              <w:rPr>
                <w:rFonts w:hint="eastAsia" w:ascii="宋体" w:hAnsi="宋体" w:eastAsia="宋体" w:cs="宋体"/>
                <w:i w:val="0"/>
                <w:iCs w:val="0"/>
                <w:color w:val="000000"/>
                <w:sz w:val="20"/>
                <w:szCs w:val="20"/>
                <w:u w:val="none"/>
              </w:rPr>
            </w:pPr>
          </w:p>
        </w:tc>
        <w:tc>
          <w:tcPr>
            <w:tcW w:w="797" w:type="dxa"/>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质量指标</w:t>
            </w:r>
          </w:p>
        </w:tc>
        <w:tc>
          <w:tcPr>
            <w:tcW w:w="1723" w:type="dxa"/>
            <w:gridSpan w:val="2"/>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工作质量</w:t>
            </w:r>
          </w:p>
        </w:tc>
        <w:tc>
          <w:tcPr>
            <w:tcW w:w="813" w:type="dxa"/>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显著提高</w:t>
            </w:r>
          </w:p>
        </w:tc>
        <w:tc>
          <w:tcPr>
            <w:tcW w:w="1126" w:type="dxa"/>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显著提高</w:t>
            </w:r>
          </w:p>
        </w:tc>
        <w:tc>
          <w:tcPr>
            <w:tcW w:w="1806" w:type="dxa"/>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270" w:hRule="atLeast"/>
        </w:trPr>
        <w:tc>
          <w:tcPr>
            <w:tcW w:w="2492" w:type="dxa"/>
            <w:vMerge w:val="continue"/>
            <w:shd w:val="clear" w:color="auto" w:fill="auto"/>
            <w:vAlign w:val="center"/>
          </w:tcPr>
          <w:p>
            <w:pPr>
              <w:jc w:val="center"/>
              <w:rPr>
                <w:rFonts w:hint="eastAsia" w:ascii="宋体" w:hAnsi="宋体" w:eastAsia="宋体" w:cs="宋体"/>
                <w:i w:val="0"/>
                <w:iCs w:val="0"/>
                <w:color w:val="000000"/>
                <w:sz w:val="20"/>
                <w:szCs w:val="20"/>
                <w:u w:val="none"/>
              </w:rPr>
            </w:pPr>
          </w:p>
        </w:tc>
        <w:tc>
          <w:tcPr>
            <w:tcW w:w="979" w:type="dxa"/>
            <w:vMerge w:val="continue"/>
            <w:shd w:val="clear" w:color="auto" w:fill="auto"/>
            <w:vAlign w:val="center"/>
          </w:tcPr>
          <w:p>
            <w:pPr>
              <w:jc w:val="center"/>
              <w:rPr>
                <w:rFonts w:hint="eastAsia" w:ascii="宋体" w:hAnsi="宋体" w:eastAsia="宋体" w:cs="宋体"/>
                <w:i w:val="0"/>
                <w:iCs w:val="0"/>
                <w:color w:val="000000"/>
                <w:sz w:val="20"/>
                <w:szCs w:val="20"/>
                <w:u w:val="none"/>
              </w:rPr>
            </w:pPr>
          </w:p>
        </w:tc>
        <w:tc>
          <w:tcPr>
            <w:tcW w:w="797" w:type="dxa"/>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时效指标</w:t>
            </w:r>
          </w:p>
        </w:tc>
        <w:tc>
          <w:tcPr>
            <w:tcW w:w="1723" w:type="dxa"/>
            <w:gridSpan w:val="2"/>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项目资金的使用时间</w:t>
            </w:r>
          </w:p>
        </w:tc>
        <w:tc>
          <w:tcPr>
            <w:tcW w:w="813" w:type="dxa"/>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w:t>
            </w:r>
            <w:r>
              <w:rPr>
                <w:rFonts w:hint="eastAsia" w:ascii="宋体" w:hAnsi="宋体" w:eastAsia="宋体" w:cs="宋体"/>
                <w:i w:val="0"/>
                <w:iCs w:val="0"/>
                <w:color w:val="000000"/>
                <w:kern w:val="0"/>
                <w:sz w:val="20"/>
                <w:szCs w:val="20"/>
                <w:u w:val="none"/>
                <w:lang w:val="en-US" w:eastAsia="zh-CN" w:bidi="ar"/>
              </w:rPr>
              <w:t>年</w:t>
            </w:r>
          </w:p>
        </w:tc>
        <w:tc>
          <w:tcPr>
            <w:tcW w:w="1126" w:type="dxa"/>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w:t>
            </w:r>
            <w:r>
              <w:rPr>
                <w:rFonts w:hint="eastAsia" w:ascii="宋体" w:hAnsi="宋体" w:eastAsia="宋体" w:cs="宋体"/>
                <w:i w:val="0"/>
                <w:iCs w:val="0"/>
                <w:color w:val="000000"/>
                <w:kern w:val="0"/>
                <w:sz w:val="20"/>
                <w:szCs w:val="20"/>
                <w:u w:val="none"/>
                <w:lang w:val="en-US" w:eastAsia="zh-CN" w:bidi="ar"/>
              </w:rPr>
              <w:t>年</w:t>
            </w:r>
          </w:p>
        </w:tc>
        <w:tc>
          <w:tcPr>
            <w:tcW w:w="1806" w:type="dxa"/>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270" w:hRule="atLeast"/>
        </w:trPr>
        <w:tc>
          <w:tcPr>
            <w:tcW w:w="2492" w:type="dxa"/>
            <w:vMerge w:val="continue"/>
            <w:shd w:val="clear" w:color="auto" w:fill="auto"/>
            <w:vAlign w:val="center"/>
          </w:tcPr>
          <w:p>
            <w:pPr>
              <w:jc w:val="center"/>
              <w:rPr>
                <w:rFonts w:hint="eastAsia" w:ascii="宋体" w:hAnsi="宋体" w:eastAsia="宋体" w:cs="宋体"/>
                <w:i w:val="0"/>
                <w:iCs w:val="0"/>
                <w:color w:val="000000"/>
                <w:sz w:val="20"/>
                <w:szCs w:val="20"/>
                <w:u w:val="none"/>
              </w:rPr>
            </w:pPr>
          </w:p>
        </w:tc>
        <w:tc>
          <w:tcPr>
            <w:tcW w:w="979" w:type="dxa"/>
            <w:vMerge w:val="continue"/>
            <w:shd w:val="clear" w:color="auto" w:fill="auto"/>
            <w:vAlign w:val="center"/>
          </w:tcPr>
          <w:p>
            <w:pPr>
              <w:jc w:val="center"/>
              <w:rPr>
                <w:rFonts w:hint="eastAsia" w:ascii="宋体" w:hAnsi="宋体" w:eastAsia="宋体" w:cs="宋体"/>
                <w:i w:val="0"/>
                <w:iCs w:val="0"/>
                <w:color w:val="000000"/>
                <w:sz w:val="20"/>
                <w:szCs w:val="20"/>
                <w:u w:val="none"/>
              </w:rPr>
            </w:pPr>
          </w:p>
        </w:tc>
        <w:tc>
          <w:tcPr>
            <w:tcW w:w="797" w:type="dxa"/>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成本指标</w:t>
            </w:r>
          </w:p>
        </w:tc>
        <w:tc>
          <w:tcPr>
            <w:tcW w:w="1723" w:type="dxa"/>
            <w:gridSpan w:val="2"/>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项目实际支出金额</w:t>
            </w:r>
          </w:p>
        </w:tc>
        <w:tc>
          <w:tcPr>
            <w:tcW w:w="813" w:type="dxa"/>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4.77万元</w:t>
            </w:r>
          </w:p>
        </w:tc>
        <w:tc>
          <w:tcPr>
            <w:tcW w:w="1126" w:type="dxa"/>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4.77万元</w:t>
            </w:r>
          </w:p>
        </w:tc>
        <w:tc>
          <w:tcPr>
            <w:tcW w:w="1806" w:type="dxa"/>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720" w:hRule="atLeast"/>
        </w:trPr>
        <w:tc>
          <w:tcPr>
            <w:tcW w:w="2492" w:type="dxa"/>
            <w:vMerge w:val="continue"/>
            <w:shd w:val="clear" w:color="auto" w:fill="auto"/>
            <w:vAlign w:val="center"/>
          </w:tcPr>
          <w:p>
            <w:pPr>
              <w:jc w:val="center"/>
              <w:rPr>
                <w:rFonts w:hint="eastAsia" w:ascii="宋体" w:hAnsi="宋体" w:eastAsia="宋体" w:cs="宋体"/>
                <w:i w:val="0"/>
                <w:iCs w:val="0"/>
                <w:color w:val="000000"/>
                <w:sz w:val="20"/>
                <w:szCs w:val="20"/>
                <w:u w:val="none"/>
              </w:rPr>
            </w:pPr>
          </w:p>
        </w:tc>
        <w:tc>
          <w:tcPr>
            <w:tcW w:w="979" w:type="dxa"/>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预算执行率指标</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（10分）</w:t>
            </w:r>
          </w:p>
        </w:tc>
        <w:tc>
          <w:tcPr>
            <w:tcW w:w="797" w:type="dxa"/>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预算执行率</w:t>
            </w:r>
          </w:p>
        </w:tc>
        <w:tc>
          <w:tcPr>
            <w:tcW w:w="1723" w:type="dxa"/>
            <w:gridSpan w:val="2"/>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预算执行率</w:t>
            </w:r>
          </w:p>
        </w:tc>
        <w:tc>
          <w:tcPr>
            <w:tcW w:w="813" w:type="dxa"/>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c>
          <w:tcPr>
            <w:tcW w:w="1126" w:type="dxa"/>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c>
          <w:tcPr>
            <w:tcW w:w="1806" w:type="dxa"/>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480" w:hRule="atLeast"/>
        </w:trPr>
        <w:tc>
          <w:tcPr>
            <w:tcW w:w="2492" w:type="dxa"/>
            <w:vMerge w:val="continue"/>
            <w:shd w:val="clear" w:color="auto" w:fill="auto"/>
            <w:vAlign w:val="center"/>
          </w:tcPr>
          <w:p>
            <w:pPr>
              <w:jc w:val="center"/>
              <w:rPr>
                <w:rFonts w:hint="eastAsia" w:ascii="宋体" w:hAnsi="宋体" w:eastAsia="宋体" w:cs="宋体"/>
                <w:i w:val="0"/>
                <w:iCs w:val="0"/>
                <w:color w:val="000000"/>
                <w:sz w:val="20"/>
                <w:szCs w:val="20"/>
                <w:u w:val="none"/>
              </w:rPr>
            </w:pPr>
          </w:p>
        </w:tc>
        <w:tc>
          <w:tcPr>
            <w:tcW w:w="979" w:type="dxa"/>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效益指标（40）</w:t>
            </w:r>
          </w:p>
        </w:tc>
        <w:tc>
          <w:tcPr>
            <w:tcW w:w="797" w:type="dxa"/>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社会效益指标</w:t>
            </w:r>
          </w:p>
        </w:tc>
        <w:tc>
          <w:tcPr>
            <w:tcW w:w="1723" w:type="dxa"/>
            <w:gridSpan w:val="2"/>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服务的改善程度</w:t>
            </w:r>
          </w:p>
        </w:tc>
        <w:tc>
          <w:tcPr>
            <w:tcW w:w="813" w:type="dxa"/>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提高</w:t>
            </w:r>
          </w:p>
        </w:tc>
        <w:tc>
          <w:tcPr>
            <w:tcW w:w="1126" w:type="dxa"/>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提高</w:t>
            </w:r>
          </w:p>
        </w:tc>
        <w:tc>
          <w:tcPr>
            <w:tcW w:w="1806" w:type="dxa"/>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480" w:hRule="atLeast"/>
        </w:trPr>
        <w:tc>
          <w:tcPr>
            <w:tcW w:w="2492" w:type="dxa"/>
            <w:vMerge w:val="continue"/>
            <w:shd w:val="clear" w:color="auto" w:fill="auto"/>
            <w:vAlign w:val="center"/>
          </w:tcPr>
          <w:p>
            <w:pPr>
              <w:jc w:val="center"/>
              <w:rPr>
                <w:rFonts w:hint="eastAsia" w:ascii="宋体" w:hAnsi="宋体" w:eastAsia="宋体" w:cs="宋体"/>
                <w:i w:val="0"/>
                <w:iCs w:val="0"/>
                <w:color w:val="000000"/>
                <w:sz w:val="20"/>
                <w:szCs w:val="20"/>
                <w:u w:val="none"/>
              </w:rPr>
            </w:pPr>
          </w:p>
        </w:tc>
        <w:tc>
          <w:tcPr>
            <w:tcW w:w="979" w:type="dxa"/>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满意度指标</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（10分）</w:t>
            </w:r>
          </w:p>
        </w:tc>
        <w:tc>
          <w:tcPr>
            <w:tcW w:w="797" w:type="dxa"/>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满意度指标</w:t>
            </w:r>
          </w:p>
        </w:tc>
        <w:tc>
          <w:tcPr>
            <w:tcW w:w="1723" w:type="dxa"/>
            <w:gridSpan w:val="2"/>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热线用户对服务热线的满意度</w:t>
            </w:r>
          </w:p>
        </w:tc>
        <w:tc>
          <w:tcPr>
            <w:tcW w:w="813" w:type="dxa"/>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≥95%</w:t>
            </w:r>
          </w:p>
        </w:tc>
        <w:tc>
          <w:tcPr>
            <w:tcW w:w="1126" w:type="dxa"/>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96%</w:t>
            </w:r>
          </w:p>
        </w:tc>
        <w:tc>
          <w:tcPr>
            <w:tcW w:w="1806" w:type="dxa"/>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270" w:hRule="atLeast"/>
        </w:trPr>
        <w:tc>
          <w:tcPr>
            <w:tcW w:w="2492" w:type="dxa"/>
            <w:vMerge w:val="continue"/>
            <w:shd w:val="clear" w:color="auto" w:fill="auto"/>
            <w:vAlign w:val="center"/>
          </w:tcPr>
          <w:p>
            <w:pPr>
              <w:jc w:val="center"/>
              <w:rPr>
                <w:rFonts w:hint="eastAsia" w:ascii="宋体" w:hAnsi="宋体" w:eastAsia="宋体" w:cs="宋体"/>
                <w:i w:val="0"/>
                <w:iCs w:val="0"/>
                <w:color w:val="000000"/>
                <w:sz w:val="20"/>
                <w:szCs w:val="20"/>
                <w:u w:val="none"/>
              </w:rPr>
            </w:pPr>
          </w:p>
        </w:tc>
        <w:tc>
          <w:tcPr>
            <w:tcW w:w="5438" w:type="dxa"/>
            <w:gridSpan w:val="6"/>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总分</w:t>
            </w:r>
          </w:p>
        </w:tc>
        <w:tc>
          <w:tcPr>
            <w:tcW w:w="1806" w:type="dxa"/>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735" w:hRule="atLeast"/>
        </w:trPr>
        <w:tc>
          <w:tcPr>
            <w:tcW w:w="2492" w:type="dxa"/>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五、</w:t>
            </w:r>
            <w:r>
              <w:rPr>
                <w:rStyle w:val="26"/>
                <w:rFonts w:eastAsia="宋体"/>
                <w:lang w:val="en-US" w:eastAsia="zh-CN" w:bidi="ar"/>
              </w:rPr>
              <w:t xml:space="preserve"> </w:t>
            </w:r>
            <w:r>
              <w:rPr>
                <w:rFonts w:hint="eastAsia" w:ascii="宋体" w:hAnsi="宋体" w:eastAsia="宋体" w:cs="宋体"/>
                <w:i w:val="0"/>
                <w:iCs w:val="0"/>
                <w:color w:val="000000"/>
                <w:kern w:val="0"/>
                <w:sz w:val="20"/>
                <w:szCs w:val="20"/>
                <w:u w:val="none"/>
                <w:lang w:val="en-US" w:eastAsia="zh-CN" w:bidi="ar"/>
              </w:rPr>
              <w:t>存在问题、原因及下一步整改措施</w:t>
            </w:r>
          </w:p>
        </w:tc>
        <w:tc>
          <w:tcPr>
            <w:tcW w:w="7244" w:type="dxa"/>
            <w:gridSpan w:val="7"/>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无</w:t>
            </w:r>
          </w:p>
        </w:tc>
      </w:tr>
    </w:tbl>
    <w:p>
      <w:pPr>
        <w:rPr>
          <w:rFonts w:hint="eastAsia" w:ascii="方正小标宋简体" w:hAnsi="方正小标宋简体" w:eastAsia="方正小标宋简体" w:cs="方正小标宋简体"/>
          <w:i w:val="0"/>
          <w:iCs w:val="0"/>
          <w:color w:val="000000"/>
          <w:kern w:val="0"/>
          <w:sz w:val="44"/>
          <w:szCs w:val="44"/>
          <w:u w:val="none"/>
          <w:lang w:val="en-US" w:eastAsia="zh-CN" w:bidi="ar"/>
        </w:rPr>
      </w:pPr>
    </w:p>
    <w:p>
      <w:pPr>
        <w:rPr>
          <w:rFonts w:hint="eastAsia" w:ascii="方正小标宋简体" w:hAnsi="方正小标宋简体" w:eastAsia="方正小标宋简体" w:cs="方正小标宋简体"/>
          <w:i w:val="0"/>
          <w:iCs w:val="0"/>
          <w:color w:val="000000"/>
          <w:kern w:val="0"/>
          <w:sz w:val="44"/>
          <w:szCs w:val="44"/>
          <w:u w:val="none"/>
          <w:lang w:val="en-US" w:eastAsia="zh-CN" w:bidi="ar"/>
        </w:rPr>
      </w:pPr>
    </w:p>
    <w:p>
      <w:pPr>
        <w:widowControl/>
        <w:spacing w:before="0" w:beforeLines="0" w:beforeAutospacing="0" w:after="0" w:afterLines="0" w:afterAutospacing="0" w:line="360" w:lineRule="auto"/>
        <w:ind w:firstLine="480" w:firstLineChars="200"/>
        <w:jc w:val="left"/>
        <w:rPr>
          <w:rFonts w:ascii="Times New Roman" w:eastAsia="仿宋_GB2312"/>
          <w:b/>
          <w:color w:val="0000FF"/>
          <w:sz w:val="32"/>
          <w:szCs w:val="32"/>
        </w:rPr>
      </w:pPr>
      <w:r>
        <w:drawing>
          <wp:inline distT="0" distB="0" distL="114300" distR="114300">
            <wp:extent cx="5560060" cy="6764655"/>
            <wp:effectExtent l="0" t="0" r="2540" b="17145"/>
            <wp:docPr id="6"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图片 3"/>
                    <pic:cNvPicPr>
                      <a:picLocks noChangeAspect="1"/>
                    </pic:cNvPicPr>
                  </pic:nvPicPr>
                  <pic:blipFill>
                    <a:blip r:embed="rId16"/>
                    <a:stretch>
                      <a:fillRect/>
                    </a:stretch>
                  </pic:blipFill>
                  <pic:spPr>
                    <a:xfrm>
                      <a:off x="0" y="0"/>
                      <a:ext cx="5560060" cy="6764655"/>
                    </a:xfrm>
                    <a:prstGeom prst="rect">
                      <a:avLst/>
                    </a:prstGeom>
                    <a:noFill/>
                    <a:ln>
                      <a:noFill/>
                    </a:ln>
                  </pic:spPr>
                </pic:pic>
              </a:graphicData>
            </a:graphic>
          </wp:inline>
        </w:drawing>
      </w:r>
      <w:r>
        <w:drawing>
          <wp:inline distT="0" distB="0" distL="114300" distR="114300">
            <wp:extent cx="5815330" cy="6941185"/>
            <wp:effectExtent l="0" t="0" r="13970" b="12065"/>
            <wp:docPr id="16" name="图片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图片 6"/>
                    <pic:cNvPicPr>
                      <a:picLocks noChangeAspect="1"/>
                    </pic:cNvPicPr>
                  </pic:nvPicPr>
                  <pic:blipFill>
                    <a:blip r:embed="rId17"/>
                    <a:stretch>
                      <a:fillRect/>
                    </a:stretch>
                  </pic:blipFill>
                  <pic:spPr>
                    <a:xfrm>
                      <a:off x="0" y="0"/>
                      <a:ext cx="5815330" cy="6941185"/>
                    </a:xfrm>
                    <a:prstGeom prst="rect">
                      <a:avLst/>
                    </a:prstGeom>
                    <a:noFill/>
                    <a:ln>
                      <a:noFill/>
                    </a:ln>
                  </pic:spPr>
                </pic:pic>
              </a:graphicData>
            </a:graphic>
          </wp:inline>
        </w:drawing>
      </w:r>
      <w:r>
        <w:drawing>
          <wp:inline distT="0" distB="0" distL="114300" distR="114300">
            <wp:extent cx="5779135" cy="8093075"/>
            <wp:effectExtent l="0" t="0" r="12065" b="3175"/>
            <wp:docPr id="17" name="图片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图片 7"/>
                    <pic:cNvPicPr>
                      <a:picLocks noChangeAspect="1"/>
                    </pic:cNvPicPr>
                  </pic:nvPicPr>
                  <pic:blipFill>
                    <a:blip r:embed="rId18"/>
                    <a:stretch>
                      <a:fillRect/>
                    </a:stretch>
                  </pic:blipFill>
                  <pic:spPr>
                    <a:xfrm>
                      <a:off x="0" y="0"/>
                      <a:ext cx="5779135" cy="8093075"/>
                    </a:xfrm>
                    <a:prstGeom prst="rect">
                      <a:avLst/>
                    </a:prstGeom>
                    <a:noFill/>
                    <a:ln>
                      <a:noFill/>
                    </a:ln>
                  </pic:spPr>
                </pic:pic>
              </a:graphicData>
            </a:graphic>
          </wp:inline>
        </w:drawing>
      </w:r>
      <w:r>
        <w:rPr>
          <w:rFonts w:hint="eastAsia" w:ascii="Times New Roman" w:eastAsia="仿宋_GB2312"/>
          <w:sz w:val="32"/>
          <w:szCs w:val="32"/>
          <w:lang w:eastAsia="zh-CN"/>
        </w:rPr>
        <w:drawing>
          <wp:inline distT="0" distB="0" distL="114300" distR="114300">
            <wp:extent cx="5754370" cy="8025130"/>
            <wp:effectExtent l="0" t="0" r="17780" b="13970"/>
            <wp:docPr id="12" name="图片 12" descr="17575770299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图片 12" descr="1757577029957"/>
                    <pic:cNvPicPr>
                      <a:picLocks noChangeAspect="1"/>
                    </pic:cNvPicPr>
                  </pic:nvPicPr>
                  <pic:blipFill>
                    <a:blip r:embed="rId19"/>
                    <a:stretch>
                      <a:fillRect/>
                    </a:stretch>
                  </pic:blipFill>
                  <pic:spPr>
                    <a:xfrm>
                      <a:off x="0" y="0"/>
                      <a:ext cx="5754370" cy="8025130"/>
                    </a:xfrm>
                    <a:prstGeom prst="rect">
                      <a:avLst/>
                    </a:prstGeom>
                  </pic:spPr>
                </pic:pic>
              </a:graphicData>
            </a:graphic>
          </wp:inline>
        </w:drawing>
      </w:r>
      <w:r>
        <w:rPr>
          <w:rFonts w:hint="eastAsia" w:ascii="Times New Roman" w:eastAsia="仿宋_GB2312"/>
          <w:sz w:val="32"/>
          <w:szCs w:val="32"/>
          <w:lang w:eastAsia="zh-CN"/>
        </w:rPr>
        <w:drawing>
          <wp:inline distT="0" distB="0" distL="114300" distR="114300">
            <wp:extent cx="5758180" cy="7963535"/>
            <wp:effectExtent l="0" t="0" r="13970" b="18415"/>
            <wp:docPr id="14" name="图片 14" descr="17575771447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图片 14" descr="1757577144738"/>
                    <pic:cNvPicPr>
                      <a:picLocks noChangeAspect="1"/>
                    </pic:cNvPicPr>
                  </pic:nvPicPr>
                  <pic:blipFill>
                    <a:blip r:embed="rId20"/>
                    <a:stretch>
                      <a:fillRect/>
                    </a:stretch>
                  </pic:blipFill>
                  <pic:spPr>
                    <a:xfrm>
                      <a:off x="0" y="0"/>
                      <a:ext cx="5758180" cy="7963535"/>
                    </a:xfrm>
                    <a:prstGeom prst="rect">
                      <a:avLst/>
                    </a:prstGeom>
                  </pic:spPr>
                </pic:pic>
              </a:graphicData>
            </a:graphic>
          </wp:inline>
        </w:drawing>
      </w:r>
    </w:p>
    <w:tbl>
      <w:tblPr>
        <w:tblStyle w:val="11"/>
        <w:tblpPr w:leftFromText="180" w:rightFromText="180" w:vertAnchor="text" w:horzAnchor="page" w:tblpX="1637" w:tblpY="51"/>
        <w:tblOverlap w:val="never"/>
        <w:tblW w:w="9060" w:type="dxa"/>
        <w:tblInd w:w="0" w:type="dxa"/>
        <w:tblLayout w:type="fixed"/>
        <w:tblCellMar>
          <w:top w:w="0" w:type="dxa"/>
          <w:left w:w="108" w:type="dxa"/>
          <w:bottom w:w="0" w:type="dxa"/>
          <w:right w:w="108" w:type="dxa"/>
        </w:tblCellMar>
      </w:tblPr>
      <w:tblGrid>
        <w:gridCol w:w="1233"/>
        <w:gridCol w:w="1061"/>
        <w:gridCol w:w="889"/>
        <w:gridCol w:w="796"/>
        <w:gridCol w:w="1"/>
        <w:gridCol w:w="1867"/>
        <w:gridCol w:w="1"/>
        <w:gridCol w:w="775"/>
        <w:gridCol w:w="1"/>
        <w:gridCol w:w="1"/>
        <w:gridCol w:w="1036"/>
        <w:gridCol w:w="1399"/>
      </w:tblGrid>
      <w:tr>
        <w:tblPrEx>
          <w:tblLayout w:type="fixed"/>
          <w:tblCellMar>
            <w:top w:w="0" w:type="dxa"/>
            <w:left w:w="108" w:type="dxa"/>
            <w:bottom w:w="0" w:type="dxa"/>
            <w:right w:w="108" w:type="dxa"/>
          </w:tblCellMar>
        </w:tblPrEx>
        <w:trPr>
          <w:trHeight w:val="90" w:hRule="atLeast"/>
        </w:trPr>
        <w:tc>
          <w:tcPr>
            <w:tcW w:w="9060" w:type="dxa"/>
            <w:gridSpan w:val="12"/>
            <w:tcBorders>
              <w:top w:val="nil"/>
              <w:left w:val="nil"/>
              <w:bottom w:val="nil"/>
              <w:right w:val="nil"/>
            </w:tcBorders>
            <w:noWrap/>
            <w:vAlign w:val="center"/>
          </w:tcPr>
          <w:p>
            <w:pPr>
              <w:ind w:firstLine="2000" w:firstLineChars="500"/>
              <w:rPr>
                <w:rFonts w:ascii="方正小标宋_GBK" w:hAnsi="宋体" w:eastAsia="方正小标宋_GBK" w:cs="宋体"/>
                <w:color w:val="000000"/>
                <w:sz w:val="40"/>
                <w:szCs w:val="40"/>
              </w:rPr>
            </w:pPr>
            <w:r>
              <w:rPr>
                <w:rFonts w:hint="eastAsia" w:ascii="方正小标宋_GBK" w:hAnsi="宋体" w:eastAsia="方正小标宋_GBK" w:cs="宋体"/>
                <w:color w:val="000000"/>
                <w:sz w:val="40"/>
                <w:szCs w:val="40"/>
              </w:rPr>
              <w:t>市级单位预算项目绩效自评表</w:t>
            </w:r>
          </w:p>
        </w:tc>
      </w:tr>
      <w:tr>
        <w:tblPrEx>
          <w:tblLayout w:type="fixed"/>
          <w:tblCellMar>
            <w:top w:w="0" w:type="dxa"/>
            <w:left w:w="108" w:type="dxa"/>
            <w:bottom w:w="0" w:type="dxa"/>
            <w:right w:w="108" w:type="dxa"/>
          </w:tblCellMar>
        </w:tblPrEx>
        <w:trPr>
          <w:trHeight w:val="90" w:hRule="atLeast"/>
        </w:trPr>
        <w:tc>
          <w:tcPr>
            <w:tcW w:w="9060" w:type="dxa"/>
            <w:gridSpan w:val="12"/>
            <w:tcBorders>
              <w:top w:val="nil"/>
              <w:left w:val="nil"/>
              <w:bottom w:val="nil"/>
              <w:right w:val="nil"/>
            </w:tcBorders>
            <w:noWrap/>
            <w:vAlign w:val="bottom"/>
          </w:tcPr>
          <w:p>
            <w:pPr>
              <w:jc w:val="center"/>
              <w:rPr>
                <w:rFonts w:ascii="宋体" w:hAnsi="宋体" w:cs="宋体"/>
                <w:color w:val="000000"/>
                <w:sz w:val="20"/>
                <w:szCs w:val="20"/>
              </w:rPr>
            </w:pPr>
            <w:r>
              <w:rPr>
                <w:rFonts w:hint="eastAsia" w:ascii="宋体" w:hAnsi="宋体" w:cs="宋体"/>
                <w:color w:val="000000"/>
                <w:sz w:val="20"/>
                <w:szCs w:val="20"/>
              </w:rPr>
              <w:t>（202</w:t>
            </w:r>
            <w:r>
              <w:rPr>
                <w:rFonts w:hint="eastAsia" w:ascii="宋体" w:hAnsi="宋体" w:cs="宋体"/>
                <w:color w:val="000000"/>
                <w:sz w:val="20"/>
                <w:szCs w:val="20"/>
                <w:lang w:val="en-US" w:eastAsia="zh-CN"/>
              </w:rPr>
              <w:t>4</w:t>
            </w:r>
            <w:r>
              <w:rPr>
                <w:rFonts w:hint="eastAsia" w:ascii="宋体" w:hAnsi="宋体" w:cs="宋体"/>
                <w:color w:val="000000"/>
                <w:sz w:val="20"/>
                <w:szCs w:val="20"/>
              </w:rPr>
              <w:t>年度）</w:t>
            </w:r>
          </w:p>
        </w:tc>
      </w:tr>
      <w:tr>
        <w:tblPrEx>
          <w:tblLayout w:type="fixed"/>
          <w:tblCellMar>
            <w:top w:w="0" w:type="dxa"/>
            <w:left w:w="108" w:type="dxa"/>
            <w:bottom w:w="0" w:type="dxa"/>
            <w:right w:w="108" w:type="dxa"/>
          </w:tblCellMar>
        </w:tblPrEx>
        <w:trPr>
          <w:trHeight w:val="90" w:hRule="atLeast"/>
        </w:trPr>
        <w:tc>
          <w:tcPr>
            <w:tcW w:w="3979" w:type="dxa"/>
            <w:gridSpan w:val="4"/>
            <w:tcBorders>
              <w:top w:val="nil"/>
              <w:left w:val="nil"/>
              <w:bottom w:val="nil"/>
              <w:right w:val="nil"/>
            </w:tcBorders>
            <w:noWrap/>
            <w:vAlign w:val="center"/>
          </w:tcPr>
          <w:p>
            <w:pPr>
              <w:jc w:val="center"/>
              <w:rPr>
                <w:rFonts w:hint="eastAsia" w:ascii="宋体" w:hAnsi="宋体" w:cs="宋体"/>
                <w:color w:val="000000"/>
                <w:sz w:val="16"/>
                <w:szCs w:val="16"/>
              </w:rPr>
            </w:pPr>
            <w:r>
              <w:rPr>
                <w:rFonts w:hint="eastAsia" w:ascii="宋体" w:hAnsi="宋体" w:cs="宋体"/>
                <w:color w:val="000000"/>
                <w:sz w:val="16"/>
                <w:szCs w:val="16"/>
              </w:rPr>
              <w:t>填报单位：石家庄市公路工程质量安全站</w:t>
            </w:r>
          </w:p>
        </w:tc>
        <w:tc>
          <w:tcPr>
            <w:tcW w:w="1868" w:type="dxa"/>
            <w:gridSpan w:val="2"/>
            <w:tcBorders>
              <w:top w:val="nil"/>
              <w:left w:val="nil"/>
              <w:bottom w:val="nil"/>
              <w:right w:val="nil"/>
            </w:tcBorders>
            <w:noWrap/>
            <w:vAlign w:val="center"/>
          </w:tcPr>
          <w:p>
            <w:pPr>
              <w:jc w:val="center"/>
              <w:rPr>
                <w:rFonts w:hint="eastAsia" w:ascii="宋体" w:hAnsi="宋体" w:cs="宋体"/>
                <w:color w:val="000000"/>
                <w:sz w:val="16"/>
                <w:szCs w:val="16"/>
              </w:rPr>
            </w:pPr>
          </w:p>
        </w:tc>
        <w:tc>
          <w:tcPr>
            <w:tcW w:w="778" w:type="dxa"/>
            <w:gridSpan w:val="4"/>
            <w:tcBorders>
              <w:top w:val="nil"/>
              <w:left w:val="nil"/>
              <w:bottom w:val="nil"/>
              <w:right w:val="nil"/>
            </w:tcBorders>
            <w:noWrap/>
            <w:vAlign w:val="center"/>
          </w:tcPr>
          <w:p>
            <w:pPr>
              <w:jc w:val="center"/>
              <w:rPr>
                <w:rFonts w:hint="eastAsia" w:ascii="宋体" w:hAnsi="宋体" w:cs="宋体"/>
                <w:color w:val="000000"/>
                <w:sz w:val="16"/>
                <w:szCs w:val="16"/>
              </w:rPr>
            </w:pPr>
          </w:p>
        </w:tc>
        <w:tc>
          <w:tcPr>
            <w:tcW w:w="1036" w:type="dxa"/>
            <w:tcBorders>
              <w:top w:val="nil"/>
              <w:left w:val="nil"/>
              <w:bottom w:val="nil"/>
              <w:right w:val="nil"/>
            </w:tcBorders>
            <w:noWrap/>
            <w:vAlign w:val="center"/>
          </w:tcPr>
          <w:p>
            <w:pPr>
              <w:jc w:val="center"/>
              <w:rPr>
                <w:rFonts w:hint="eastAsia" w:ascii="宋体" w:hAnsi="宋体" w:cs="宋体"/>
                <w:color w:val="000000"/>
                <w:sz w:val="16"/>
                <w:szCs w:val="16"/>
              </w:rPr>
            </w:pPr>
          </w:p>
        </w:tc>
        <w:tc>
          <w:tcPr>
            <w:tcW w:w="1399" w:type="dxa"/>
            <w:tcBorders>
              <w:top w:val="nil"/>
              <w:left w:val="nil"/>
              <w:bottom w:val="nil"/>
              <w:right w:val="nil"/>
            </w:tcBorders>
            <w:noWrap/>
            <w:vAlign w:val="center"/>
          </w:tcPr>
          <w:p>
            <w:pPr>
              <w:jc w:val="center"/>
              <w:rPr>
                <w:rFonts w:hint="eastAsia" w:ascii="宋体" w:hAnsi="宋体" w:cs="宋体"/>
                <w:color w:val="000000"/>
                <w:sz w:val="16"/>
                <w:szCs w:val="16"/>
              </w:rPr>
            </w:pPr>
            <w:r>
              <w:rPr>
                <w:rFonts w:hint="eastAsia" w:ascii="宋体" w:hAnsi="宋体" w:cs="宋体"/>
                <w:color w:val="000000"/>
                <w:sz w:val="16"/>
                <w:szCs w:val="16"/>
              </w:rPr>
              <w:t>金额单位：万元</w:t>
            </w:r>
          </w:p>
        </w:tc>
      </w:tr>
      <w:tr>
        <w:tblPrEx>
          <w:tblLayout w:type="fixed"/>
          <w:tblCellMar>
            <w:top w:w="0" w:type="dxa"/>
            <w:left w:w="108" w:type="dxa"/>
            <w:bottom w:w="0" w:type="dxa"/>
            <w:right w:w="108" w:type="dxa"/>
          </w:tblCellMar>
        </w:tblPrEx>
        <w:trPr>
          <w:trHeight w:val="90" w:hRule="atLeast"/>
        </w:trPr>
        <w:tc>
          <w:tcPr>
            <w:tcW w:w="1233" w:type="dxa"/>
            <w:tcBorders>
              <w:top w:val="single" w:color="000000" w:sz="4" w:space="0"/>
              <w:left w:val="single" w:color="000000" w:sz="4" w:space="0"/>
              <w:bottom w:val="nil"/>
              <w:right w:val="single" w:color="000000" w:sz="4" w:space="0"/>
            </w:tcBorders>
            <w:noWrap/>
            <w:vAlign w:val="center"/>
          </w:tcPr>
          <w:p>
            <w:pPr>
              <w:jc w:val="center"/>
              <w:rPr>
                <w:rFonts w:hint="eastAsia" w:ascii="宋体" w:hAnsi="宋体" w:cs="宋体"/>
                <w:color w:val="000000"/>
                <w:sz w:val="16"/>
                <w:szCs w:val="16"/>
              </w:rPr>
            </w:pPr>
            <w:r>
              <w:rPr>
                <w:rFonts w:hint="eastAsia" w:ascii="宋体" w:hAnsi="宋体" w:cs="宋体"/>
                <w:color w:val="000000"/>
                <w:sz w:val="16"/>
                <w:szCs w:val="16"/>
              </w:rPr>
              <w:t>一、 基本情况</w:t>
            </w:r>
          </w:p>
        </w:tc>
        <w:tc>
          <w:tcPr>
            <w:tcW w:w="1061" w:type="dxa"/>
            <w:tcBorders>
              <w:top w:val="single" w:color="000000" w:sz="4" w:space="0"/>
              <w:left w:val="nil"/>
              <w:bottom w:val="single" w:color="000000" w:sz="4" w:space="0"/>
              <w:right w:val="single" w:color="000000" w:sz="4" w:space="0"/>
            </w:tcBorders>
            <w:noWrap/>
            <w:vAlign w:val="center"/>
          </w:tcPr>
          <w:p>
            <w:pPr>
              <w:jc w:val="center"/>
              <w:rPr>
                <w:rFonts w:hint="eastAsia" w:ascii="宋体" w:hAnsi="宋体" w:cs="宋体"/>
                <w:color w:val="000000"/>
                <w:sz w:val="16"/>
                <w:szCs w:val="16"/>
              </w:rPr>
            </w:pPr>
            <w:r>
              <w:rPr>
                <w:rFonts w:hint="eastAsia" w:ascii="宋体" w:hAnsi="宋体" w:cs="宋体"/>
                <w:color w:val="000000"/>
                <w:sz w:val="16"/>
                <w:szCs w:val="16"/>
              </w:rPr>
              <w:t>项目名称</w:t>
            </w:r>
          </w:p>
        </w:tc>
        <w:tc>
          <w:tcPr>
            <w:tcW w:w="1685" w:type="dxa"/>
            <w:gridSpan w:val="2"/>
            <w:tcBorders>
              <w:top w:val="single" w:color="000000" w:sz="4" w:space="0"/>
              <w:left w:val="nil"/>
              <w:bottom w:val="single" w:color="000000" w:sz="4" w:space="0"/>
              <w:right w:val="single" w:color="000000" w:sz="4" w:space="0"/>
            </w:tcBorders>
            <w:noWrap/>
            <w:vAlign w:val="center"/>
          </w:tcPr>
          <w:p>
            <w:pPr>
              <w:jc w:val="center"/>
              <w:rPr>
                <w:rFonts w:hint="eastAsia" w:ascii="宋体" w:hAnsi="宋体" w:cs="宋体"/>
                <w:color w:val="000000"/>
                <w:sz w:val="16"/>
                <w:szCs w:val="16"/>
              </w:rPr>
            </w:pPr>
            <w:r>
              <w:rPr>
                <w:rFonts w:hint="eastAsia" w:ascii="宋体" w:hAnsi="宋体" w:cs="宋体"/>
                <w:color w:val="000000"/>
                <w:sz w:val="16"/>
                <w:szCs w:val="16"/>
              </w:rPr>
              <w:t>质量监督管理工作中的检测经费</w:t>
            </w:r>
          </w:p>
        </w:tc>
        <w:tc>
          <w:tcPr>
            <w:tcW w:w="1868" w:type="dxa"/>
            <w:gridSpan w:val="2"/>
            <w:tcBorders>
              <w:top w:val="single" w:color="000000" w:sz="4" w:space="0"/>
              <w:left w:val="nil"/>
              <w:bottom w:val="single" w:color="000000" w:sz="4" w:space="0"/>
              <w:right w:val="single" w:color="000000" w:sz="4" w:space="0"/>
            </w:tcBorders>
            <w:noWrap/>
            <w:vAlign w:val="center"/>
          </w:tcPr>
          <w:p>
            <w:pPr>
              <w:jc w:val="center"/>
              <w:rPr>
                <w:rFonts w:hint="eastAsia" w:ascii="宋体" w:hAnsi="宋体" w:cs="宋体"/>
                <w:color w:val="000000"/>
                <w:sz w:val="16"/>
                <w:szCs w:val="16"/>
              </w:rPr>
            </w:pPr>
            <w:r>
              <w:rPr>
                <w:rFonts w:hint="eastAsia" w:ascii="宋体" w:hAnsi="宋体" w:cs="宋体"/>
                <w:color w:val="000000"/>
                <w:sz w:val="16"/>
                <w:szCs w:val="16"/>
              </w:rPr>
              <w:t>实施(主管）单位</w:t>
            </w:r>
          </w:p>
        </w:tc>
        <w:tc>
          <w:tcPr>
            <w:tcW w:w="3213" w:type="dxa"/>
            <w:gridSpan w:val="6"/>
            <w:tcBorders>
              <w:top w:val="single" w:color="000000" w:sz="4" w:space="0"/>
              <w:left w:val="nil"/>
              <w:bottom w:val="single" w:color="000000" w:sz="4" w:space="0"/>
              <w:right w:val="single" w:color="000000" w:sz="4" w:space="0"/>
            </w:tcBorders>
            <w:noWrap/>
            <w:vAlign w:val="center"/>
          </w:tcPr>
          <w:p>
            <w:pPr>
              <w:jc w:val="center"/>
              <w:rPr>
                <w:rFonts w:hint="eastAsia" w:ascii="宋体" w:hAnsi="宋体" w:cs="宋体"/>
                <w:color w:val="000000"/>
                <w:sz w:val="16"/>
                <w:szCs w:val="16"/>
              </w:rPr>
            </w:pPr>
            <w:r>
              <w:rPr>
                <w:rFonts w:hint="eastAsia" w:ascii="宋体" w:hAnsi="宋体" w:cs="宋体"/>
                <w:color w:val="000000"/>
                <w:sz w:val="16"/>
                <w:szCs w:val="16"/>
              </w:rPr>
              <w:t>石家庄市公路工程质量安全站</w:t>
            </w:r>
          </w:p>
        </w:tc>
      </w:tr>
      <w:tr>
        <w:tblPrEx>
          <w:tblLayout w:type="fixed"/>
          <w:tblCellMar>
            <w:top w:w="0" w:type="dxa"/>
            <w:left w:w="108" w:type="dxa"/>
            <w:bottom w:w="0" w:type="dxa"/>
            <w:right w:w="108" w:type="dxa"/>
          </w:tblCellMar>
        </w:tblPrEx>
        <w:trPr>
          <w:trHeight w:val="90" w:hRule="atLeast"/>
        </w:trPr>
        <w:tc>
          <w:tcPr>
            <w:tcW w:w="1233" w:type="dxa"/>
            <w:vMerge w:val="restart"/>
            <w:tcBorders>
              <w:top w:val="single" w:color="000000" w:sz="4" w:space="0"/>
              <w:left w:val="single" w:color="000000" w:sz="4" w:space="0"/>
              <w:bottom w:val="single" w:color="000000" w:sz="4" w:space="0"/>
              <w:right w:val="single" w:color="000000" w:sz="4" w:space="0"/>
            </w:tcBorders>
            <w:noWrap/>
            <w:vAlign w:val="center"/>
          </w:tcPr>
          <w:p>
            <w:pPr>
              <w:jc w:val="center"/>
              <w:rPr>
                <w:rFonts w:hint="eastAsia" w:ascii="宋体" w:hAnsi="宋体" w:cs="宋体"/>
                <w:color w:val="000000"/>
                <w:sz w:val="16"/>
                <w:szCs w:val="16"/>
              </w:rPr>
            </w:pPr>
            <w:r>
              <w:rPr>
                <w:rFonts w:hint="eastAsia" w:ascii="宋体" w:hAnsi="宋体" w:cs="宋体"/>
                <w:color w:val="000000"/>
                <w:sz w:val="16"/>
                <w:szCs w:val="16"/>
              </w:rPr>
              <w:t>二、预算执行情况</w:t>
            </w:r>
          </w:p>
        </w:tc>
        <w:tc>
          <w:tcPr>
            <w:tcW w:w="1950" w:type="dxa"/>
            <w:gridSpan w:val="2"/>
            <w:tcBorders>
              <w:top w:val="single" w:color="000000" w:sz="4" w:space="0"/>
              <w:left w:val="nil"/>
              <w:bottom w:val="single" w:color="000000" w:sz="4" w:space="0"/>
              <w:right w:val="single" w:color="000000" w:sz="4" w:space="0"/>
            </w:tcBorders>
            <w:noWrap/>
            <w:vAlign w:val="center"/>
          </w:tcPr>
          <w:p>
            <w:pPr>
              <w:jc w:val="center"/>
              <w:rPr>
                <w:rFonts w:hint="eastAsia" w:ascii="宋体" w:hAnsi="宋体" w:cs="宋体"/>
                <w:color w:val="000000"/>
                <w:sz w:val="16"/>
                <w:szCs w:val="16"/>
              </w:rPr>
            </w:pPr>
            <w:r>
              <w:rPr>
                <w:rFonts w:hint="eastAsia" w:ascii="宋体" w:hAnsi="宋体" w:cs="宋体"/>
                <w:color w:val="000000"/>
                <w:sz w:val="16"/>
                <w:szCs w:val="16"/>
              </w:rPr>
              <w:t>预算安排情况（调整后）</w:t>
            </w:r>
          </w:p>
        </w:tc>
        <w:tc>
          <w:tcPr>
            <w:tcW w:w="2664" w:type="dxa"/>
            <w:gridSpan w:val="3"/>
            <w:tcBorders>
              <w:top w:val="single" w:color="000000" w:sz="4" w:space="0"/>
              <w:left w:val="nil"/>
              <w:bottom w:val="single" w:color="000000" w:sz="4" w:space="0"/>
              <w:right w:val="single" w:color="000000" w:sz="4" w:space="0"/>
            </w:tcBorders>
            <w:noWrap/>
            <w:vAlign w:val="center"/>
          </w:tcPr>
          <w:p>
            <w:pPr>
              <w:jc w:val="center"/>
              <w:rPr>
                <w:rFonts w:hint="eastAsia" w:ascii="宋体" w:hAnsi="宋体" w:cs="宋体"/>
                <w:color w:val="000000"/>
                <w:sz w:val="16"/>
                <w:szCs w:val="16"/>
              </w:rPr>
            </w:pPr>
            <w:r>
              <w:rPr>
                <w:rFonts w:hint="eastAsia" w:ascii="宋体" w:hAnsi="宋体" w:cs="宋体"/>
                <w:color w:val="000000"/>
                <w:sz w:val="16"/>
                <w:szCs w:val="16"/>
              </w:rPr>
              <w:t>资金到位情况</w:t>
            </w:r>
          </w:p>
        </w:tc>
        <w:tc>
          <w:tcPr>
            <w:tcW w:w="1814" w:type="dxa"/>
            <w:gridSpan w:val="5"/>
            <w:tcBorders>
              <w:top w:val="single" w:color="000000" w:sz="4" w:space="0"/>
              <w:left w:val="nil"/>
              <w:bottom w:val="single" w:color="000000" w:sz="4" w:space="0"/>
              <w:right w:val="single" w:color="000000" w:sz="4" w:space="0"/>
            </w:tcBorders>
            <w:noWrap/>
            <w:vAlign w:val="center"/>
          </w:tcPr>
          <w:p>
            <w:pPr>
              <w:jc w:val="center"/>
              <w:rPr>
                <w:rFonts w:hint="eastAsia" w:ascii="宋体" w:hAnsi="宋体" w:cs="宋体"/>
                <w:color w:val="000000"/>
                <w:sz w:val="16"/>
                <w:szCs w:val="16"/>
              </w:rPr>
            </w:pPr>
            <w:r>
              <w:rPr>
                <w:rFonts w:hint="eastAsia" w:ascii="宋体" w:hAnsi="宋体" w:cs="宋体"/>
                <w:color w:val="000000"/>
                <w:sz w:val="16"/>
                <w:szCs w:val="16"/>
              </w:rPr>
              <w:t>资金执行情况</w:t>
            </w:r>
          </w:p>
        </w:tc>
        <w:tc>
          <w:tcPr>
            <w:tcW w:w="1399" w:type="dxa"/>
            <w:tcBorders>
              <w:top w:val="nil"/>
              <w:left w:val="nil"/>
              <w:bottom w:val="single" w:color="000000" w:sz="4" w:space="0"/>
              <w:right w:val="single" w:color="000000" w:sz="4" w:space="0"/>
            </w:tcBorders>
            <w:noWrap/>
            <w:vAlign w:val="center"/>
          </w:tcPr>
          <w:p>
            <w:pPr>
              <w:jc w:val="center"/>
              <w:rPr>
                <w:rFonts w:hint="eastAsia" w:ascii="宋体" w:hAnsi="宋体" w:cs="宋体"/>
                <w:color w:val="000000"/>
                <w:sz w:val="16"/>
                <w:szCs w:val="16"/>
              </w:rPr>
            </w:pPr>
            <w:r>
              <w:rPr>
                <w:rFonts w:hint="eastAsia" w:ascii="宋体" w:hAnsi="宋体" w:cs="宋体"/>
                <w:color w:val="000000"/>
                <w:sz w:val="16"/>
                <w:szCs w:val="16"/>
              </w:rPr>
              <w:t>预算执行进度</w:t>
            </w:r>
          </w:p>
        </w:tc>
      </w:tr>
      <w:tr>
        <w:tblPrEx>
          <w:tblLayout w:type="fixed"/>
          <w:tblCellMar>
            <w:top w:w="0" w:type="dxa"/>
            <w:left w:w="108" w:type="dxa"/>
            <w:bottom w:w="0" w:type="dxa"/>
            <w:right w:w="108" w:type="dxa"/>
          </w:tblCellMar>
        </w:tblPrEx>
        <w:trPr>
          <w:trHeight w:val="90" w:hRule="atLeast"/>
        </w:trPr>
        <w:tc>
          <w:tcPr>
            <w:tcW w:w="1233" w:type="dxa"/>
            <w:vMerge w:val="continue"/>
            <w:tcBorders>
              <w:top w:val="single" w:color="000000" w:sz="4" w:space="0"/>
              <w:left w:val="single" w:color="000000" w:sz="4" w:space="0"/>
              <w:bottom w:val="single" w:color="000000" w:sz="4" w:space="0"/>
              <w:right w:val="single" w:color="000000" w:sz="4" w:space="0"/>
            </w:tcBorders>
            <w:noWrap/>
            <w:vAlign w:val="center"/>
          </w:tcPr>
          <w:p>
            <w:pPr>
              <w:jc w:val="center"/>
              <w:rPr>
                <w:rFonts w:hint="eastAsia" w:ascii="宋体" w:hAnsi="宋体" w:cs="宋体"/>
                <w:color w:val="000000"/>
                <w:sz w:val="16"/>
                <w:szCs w:val="16"/>
              </w:rPr>
            </w:pPr>
          </w:p>
        </w:tc>
        <w:tc>
          <w:tcPr>
            <w:tcW w:w="1061" w:type="dxa"/>
            <w:tcBorders>
              <w:top w:val="nil"/>
              <w:left w:val="nil"/>
              <w:bottom w:val="single" w:color="000000" w:sz="4" w:space="0"/>
              <w:right w:val="single" w:color="000000" w:sz="4" w:space="0"/>
            </w:tcBorders>
            <w:noWrap/>
            <w:vAlign w:val="center"/>
          </w:tcPr>
          <w:p>
            <w:pPr>
              <w:jc w:val="center"/>
              <w:rPr>
                <w:rFonts w:hint="eastAsia" w:ascii="宋体" w:hAnsi="宋体" w:cs="宋体"/>
                <w:color w:val="000000"/>
                <w:sz w:val="16"/>
                <w:szCs w:val="16"/>
              </w:rPr>
            </w:pPr>
            <w:r>
              <w:rPr>
                <w:rFonts w:hint="eastAsia" w:ascii="宋体" w:hAnsi="宋体" w:cs="宋体"/>
                <w:color w:val="000000"/>
                <w:sz w:val="16"/>
                <w:szCs w:val="16"/>
              </w:rPr>
              <w:t>预算数：</w:t>
            </w:r>
          </w:p>
        </w:tc>
        <w:tc>
          <w:tcPr>
            <w:tcW w:w="889" w:type="dxa"/>
            <w:tcBorders>
              <w:top w:val="nil"/>
              <w:left w:val="nil"/>
              <w:bottom w:val="single" w:color="000000" w:sz="4" w:space="0"/>
              <w:right w:val="single" w:color="000000" w:sz="4" w:space="0"/>
            </w:tcBorders>
            <w:noWrap/>
            <w:vAlign w:val="center"/>
          </w:tcPr>
          <w:p>
            <w:pPr>
              <w:jc w:val="center"/>
              <w:rPr>
                <w:rFonts w:hint="default" w:ascii="宋体" w:hAnsi="宋体" w:cs="宋体"/>
                <w:color w:val="000000"/>
                <w:sz w:val="16"/>
                <w:szCs w:val="16"/>
                <w:lang w:val="en-US" w:eastAsia="zh-CN"/>
              </w:rPr>
            </w:pPr>
            <w:r>
              <w:rPr>
                <w:rFonts w:hint="eastAsia" w:ascii="宋体" w:hAnsi="宋体" w:cs="宋体"/>
                <w:color w:val="000000"/>
                <w:sz w:val="16"/>
                <w:szCs w:val="16"/>
                <w:lang w:val="en-US" w:eastAsia="zh-CN"/>
              </w:rPr>
              <w:t>6</w:t>
            </w:r>
            <w:r>
              <w:rPr>
                <w:rFonts w:hint="eastAsia" w:ascii="宋体" w:hAnsi="宋体" w:cs="宋体"/>
                <w:color w:val="000000"/>
                <w:sz w:val="16"/>
                <w:szCs w:val="16"/>
              </w:rPr>
              <w:t>0</w:t>
            </w:r>
            <w:r>
              <w:rPr>
                <w:rFonts w:hint="eastAsia" w:ascii="宋体" w:hAnsi="宋体" w:cs="宋体"/>
                <w:color w:val="000000"/>
                <w:sz w:val="16"/>
                <w:szCs w:val="16"/>
                <w:lang w:val="en-US" w:eastAsia="zh-CN"/>
              </w:rPr>
              <w:t>0.00</w:t>
            </w:r>
          </w:p>
        </w:tc>
        <w:tc>
          <w:tcPr>
            <w:tcW w:w="797" w:type="dxa"/>
            <w:gridSpan w:val="2"/>
            <w:tcBorders>
              <w:top w:val="nil"/>
              <w:left w:val="nil"/>
              <w:bottom w:val="single" w:color="000000" w:sz="4" w:space="0"/>
              <w:right w:val="single" w:color="000000" w:sz="4" w:space="0"/>
            </w:tcBorders>
            <w:noWrap/>
            <w:vAlign w:val="center"/>
          </w:tcPr>
          <w:p>
            <w:pPr>
              <w:jc w:val="center"/>
              <w:rPr>
                <w:rFonts w:hint="eastAsia" w:ascii="宋体" w:hAnsi="宋体" w:cs="宋体"/>
                <w:color w:val="000000"/>
                <w:sz w:val="16"/>
                <w:szCs w:val="16"/>
              </w:rPr>
            </w:pPr>
            <w:r>
              <w:rPr>
                <w:rFonts w:hint="eastAsia" w:ascii="宋体" w:hAnsi="宋体" w:cs="宋体"/>
                <w:color w:val="000000"/>
                <w:sz w:val="16"/>
                <w:szCs w:val="16"/>
              </w:rPr>
              <w:t>到位数：</w:t>
            </w:r>
          </w:p>
        </w:tc>
        <w:tc>
          <w:tcPr>
            <w:tcW w:w="1867" w:type="dxa"/>
            <w:tcBorders>
              <w:top w:val="nil"/>
              <w:left w:val="nil"/>
              <w:bottom w:val="single" w:color="000000" w:sz="4" w:space="0"/>
              <w:right w:val="single" w:color="000000" w:sz="4" w:space="0"/>
            </w:tcBorders>
            <w:noWrap/>
            <w:vAlign w:val="center"/>
          </w:tcPr>
          <w:p>
            <w:pPr>
              <w:jc w:val="center"/>
              <w:rPr>
                <w:rFonts w:hint="default" w:ascii="宋体" w:hAnsi="宋体" w:cs="宋体"/>
                <w:color w:val="000000"/>
                <w:sz w:val="16"/>
                <w:szCs w:val="16"/>
                <w:lang w:val="en-US" w:eastAsia="zh-CN"/>
              </w:rPr>
            </w:pPr>
            <w:r>
              <w:rPr>
                <w:rFonts w:hint="eastAsia" w:ascii="宋体" w:hAnsi="宋体" w:cs="宋体"/>
                <w:color w:val="000000"/>
                <w:sz w:val="16"/>
                <w:szCs w:val="16"/>
                <w:lang w:val="en-US" w:eastAsia="zh-CN"/>
              </w:rPr>
              <w:t>6</w:t>
            </w:r>
            <w:r>
              <w:rPr>
                <w:rFonts w:hint="eastAsia" w:ascii="宋体" w:hAnsi="宋体" w:cs="宋体"/>
                <w:color w:val="000000"/>
                <w:sz w:val="16"/>
                <w:szCs w:val="16"/>
              </w:rPr>
              <w:t>0</w:t>
            </w:r>
            <w:r>
              <w:rPr>
                <w:rFonts w:hint="eastAsia" w:ascii="宋体" w:hAnsi="宋体" w:cs="宋体"/>
                <w:color w:val="000000"/>
                <w:sz w:val="16"/>
                <w:szCs w:val="16"/>
                <w:lang w:val="en-US" w:eastAsia="zh-CN"/>
              </w:rPr>
              <w:t>0.00</w:t>
            </w:r>
          </w:p>
        </w:tc>
        <w:tc>
          <w:tcPr>
            <w:tcW w:w="776" w:type="dxa"/>
            <w:gridSpan w:val="2"/>
            <w:tcBorders>
              <w:top w:val="nil"/>
              <w:left w:val="nil"/>
              <w:bottom w:val="single" w:color="000000" w:sz="4" w:space="0"/>
              <w:right w:val="single" w:color="000000" w:sz="4" w:space="0"/>
            </w:tcBorders>
            <w:noWrap/>
            <w:vAlign w:val="center"/>
          </w:tcPr>
          <w:p>
            <w:pPr>
              <w:jc w:val="center"/>
              <w:rPr>
                <w:rFonts w:hint="eastAsia" w:ascii="宋体" w:hAnsi="宋体" w:cs="宋体"/>
                <w:color w:val="000000"/>
                <w:sz w:val="16"/>
                <w:szCs w:val="16"/>
              </w:rPr>
            </w:pPr>
            <w:r>
              <w:rPr>
                <w:rFonts w:hint="eastAsia" w:ascii="宋体" w:hAnsi="宋体" w:cs="宋体"/>
                <w:color w:val="000000"/>
                <w:sz w:val="16"/>
                <w:szCs w:val="16"/>
              </w:rPr>
              <w:t>执行数：</w:t>
            </w:r>
          </w:p>
        </w:tc>
        <w:tc>
          <w:tcPr>
            <w:tcW w:w="1038" w:type="dxa"/>
            <w:gridSpan w:val="3"/>
            <w:tcBorders>
              <w:top w:val="nil"/>
              <w:left w:val="nil"/>
              <w:bottom w:val="single" w:color="000000" w:sz="4" w:space="0"/>
              <w:right w:val="single" w:color="000000" w:sz="4" w:space="0"/>
            </w:tcBorders>
            <w:noWrap/>
            <w:vAlign w:val="center"/>
          </w:tcPr>
          <w:p>
            <w:pPr>
              <w:jc w:val="center"/>
              <w:rPr>
                <w:rFonts w:hint="default" w:ascii="宋体" w:hAnsi="宋体" w:cs="宋体"/>
                <w:color w:val="000000"/>
                <w:sz w:val="16"/>
                <w:szCs w:val="16"/>
                <w:lang w:val="en-US" w:eastAsia="zh-CN"/>
              </w:rPr>
            </w:pPr>
            <w:r>
              <w:rPr>
                <w:rFonts w:hint="eastAsia" w:ascii="宋体" w:hAnsi="宋体" w:cs="宋体"/>
                <w:color w:val="000000"/>
                <w:sz w:val="16"/>
                <w:szCs w:val="16"/>
                <w:lang w:val="en-US" w:eastAsia="zh-CN"/>
              </w:rPr>
              <w:t>600.00</w:t>
            </w:r>
          </w:p>
        </w:tc>
        <w:tc>
          <w:tcPr>
            <w:tcW w:w="1399" w:type="dxa"/>
            <w:vMerge w:val="restart"/>
            <w:tcBorders>
              <w:top w:val="nil"/>
              <w:left w:val="single" w:color="000000" w:sz="4" w:space="0"/>
              <w:bottom w:val="single" w:color="000000" w:sz="4" w:space="0"/>
              <w:right w:val="single" w:color="000000" w:sz="4" w:space="0"/>
            </w:tcBorders>
            <w:noWrap/>
            <w:vAlign w:val="center"/>
          </w:tcPr>
          <w:p>
            <w:pPr>
              <w:jc w:val="center"/>
              <w:rPr>
                <w:rFonts w:hint="eastAsia" w:ascii="宋体" w:hAnsi="宋体" w:cs="宋体"/>
                <w:color w:val="000000"/>
                <w:sz w:val="16"/>
                <w:szCs w:val="16"/>
              </w:rPr>
            </w:pPr>
            <w:r>
              <w:rPr>
                <w:rFonts w:hint="eastAsia" w:ascii="宋体" w:hAnsi="宋体" w:cs="宋体"/>
                <w:color w:val="000000"/>
                <w:sz w:val="16"/>
                <w:szCs w:val="16"/>
                <w:lang w:val="en-US" w:eastAsia="zh-CN"/>
              </w:rPr>
              <w:t>100.</w:t>
            </w:r>
            <w:r>
              <w:rPr>
                <w:rFonts w:hint="eastAsia" w:ascii="宋体" w:hAnsi="宋体" w:cs="宋体"/>
                <w:color w:val="000000"/>
                <w:sz w:val="16"/>
                <w:szCs w:val="16"/>
              </w:rPr>
              <w:t>0%</w:t>
            </w:r>
          </w:p>
        </w:tc>
      </w:tr>
      <w:tr>
        <w:tblPrEx>
          <w:tblLayout w:type="fixed"/>
          <w:tblCellMar>
            <w:top w:w="0" w:type="dxa"/>
            <w:left w:w="108" w:type="dxa"/>
            <w:bottom w:w="0" w:type="dxa"/>
            <w:right w:w="108" w:type="dxa"/>
          </w:tblCellMar>
        </w:tblPrEx>
        <w:trPr>
          <w:trHeight w:val="90" w:hRule="atLeast"/>
        </w:trPr>
        <w:tc>
          <w:tcPr>
            <w:tcW w:w="1233" w:type="dxa"/>
            <w:vMerge w:val="continue"/>
            <w:tcBorders>
              <w:top w:val="single" w:color="000000" w:sz="4" w:space="0"/>
              <w:left w:val="single" w:color="000000" w:sz="4" w:space="0"/>
              <w:bottom w:val="single" w:color="000000" w:sz="4" w:space="0"/>
              <w:right w:val="single" w:color="000000" w:sz="4" w:space="0"/>
            </w:tcBorders>
            <w:noWrap/>
            <w:vAlign w:val="center"/>
          </w:tcPr>
          <w:p>
            <w:pPr>
              <w:jc w:val="center"/>
              <w:rPr>
                <w:rFonts w:hint="eastAsia" w:ascii="宋体" w:hAnsi="宋体" w:cs="宋体"/>
                <w:color w:val="000000"/>
                <w:sz w:val="16"/>
                <w:szCs w:val="16"/>
              </w:rPr>
            </w:pPr>
          </w:p>
        </w:tc>
        <w:tc>
          <w:tcPr>
            <w:tcW w:w="1061" w:type="dxa"/>
            <w:tcBorders>
              <w:top w:val="nil"/>
              <w:left w:val="nil"/>
              <w:bottom w:val="single" w:color="000000" w:sz="4" w:space="0"/>
              <w:right w:val="single" w:color="000000" w:sz="4" w:space="0"/>
            </w:tcBorders>
            <w:noWrap/>
            <w:vAlign w:val="center"/>
          </w:tcPr>
          <w:p>
            <w:pPr>
              <w:jc w:val="center"/>
              <w:rPr>
                <w:rFonts w:hint="eastAsia" w:ascii="宋体" w:hAnsi="宋体" w:cs="宋体"/>
                <w:color w:val="000000"/>
                <w:sz w:val="16"/>
                <w:szCs w:val="16"/>
              </w:rPr>
            </w:pPr>
            <w:r>
              <w:rPr>
                <w:rFonts w:hint="eastAsia" w:ascii="宋体" w:hAnsi="宋体" w:cs="宋体"/>
                <w:color w:val="000000"/>
                <w:sz w:val="16"/>
                <w:szCs w:val="16"/>
              </w:rPr>
              <w:t>其中：财政资金</w:t>
            </w:r>
          </w:p>
        </w:tc>
        <w:tc>
          <w:tcPr>
            <w:tcW w:w="889" w:type="dxa"/>
            <w:tcBorders>
              <w:top w:val="nil"/>
              <w:left w:val="nil"/>
              <w:bottom w:val="single" w:color="000000" w:sz="4" w:space="0"/>
              <w:right w:val="single" w:color="000000" w:sz="4" w:space="0"/>
            </w:tcBorders>
            <w:noWrap/>
            <w:vAlign w:val="center"/>
          </w:tcPr>
          <w:p>
            <w:pPr>
              <w:jc w:val="center"/>
              <w:rPr>
                <w:rFonts w:hint="default" w:ascii="宋体" w:hAnsi="宋体" w:cs="宋体"/>
                <w:color w:val="000000"/>
                <w:sz w:val="16"/>
                <w:szCs w:val="16"/>
                <w:lang w:val="en-US" w:eastAsia="zh-CN"/>
              </w:rPr>
            </w:pPr>
            <w:r>
              <w:rPr>
                <w:rFonts w:hint="eastAsia" w:ascii="宋体" w:hAnsi="宋体" w:cs="宋体"/>
                <w:color w:val="000000"/>
                <w:sz w:val="16"/>
                <w:szCs w:val="16"/>
                <w:lang w:val="en-US" w:eastAsia="zh-CN"/>
              </w:rPr>
              <w:t>6</w:t>
            </w:r>
            <w:r>
              <w:rPr>
                <w:rFonts w:hint="eastAsia" w:ascii="宋体" w:hAnsi="宋体" w:cs="宋体"/>
                <w:color w:val="000000"/>
                <w:sz w:val="16"/>
                <w:szCs w:val="16"/>
              </w:rPr>
              <w:t>0</w:t>
            </w:r>
            <w:r>
              <w:rPr>
                <w:rFonts w:hint="eastAsia" w:ascii="宋体" w:hAnsi="宋体" w:cs="宋体"/>
                <w:color w:val="000000"/>
                <w:sz w:val="16"/>
                <w:szCs w:val="16"/>
                <w:lang w:val="en-US" w:eastAsia="zh-CN"/>
              </w:rPr>
              <w:t>0.00</w:t>
            </w:r>
          </w:p>
        </w:tc>
        <w:tc>
          <w:tcPr>
            <w:tcW w:w="797" w:type="dxa"/>
            <w:gridSpan w:val="2"/>
            <w:tcBorders>
              <w:top w:val="nil"/>
              <w:left w:val="nil"/>
              <w:bottom w:val="single" w:color="000000" w:sz="4" w:space="0"/>
              <w:right w:val="single" w:color="000000" w:sz="4" w:space="0"/>
            </w:tcBorders>
            <w:noWrap/>
            <w:vAlign w:val="center"/>
          </w:tcPr>
          <w:p>
            <w:pPr>
              <w:jc w:val="center"/>
              <w:rPr>
                <w:rFonts w:hint="eastAsia" w:ascii="宋体" w:hAnsi="宋体" w:cs="宋体"/>
                <w:color w:val="000000"/>
                <w:sz w:val="16"/>
                <w:szCs w:val="16"/>
              </w:rPr>
            </w:pPr>
            <w:r>
              <w:rPr>
                <w:rFonts w:hint="eastAsia" w:ascii="宋体" w:hAnsi="宋体" w:cs="宋体"/>
                <w:color w:val="000000"/>
                <w:sz w:val="16"/>
                <w:szCs w:val="16"/>
              </w:rPr>
              <w:t>其中：财政资金</w:t>
            </w:r>
          </w:p>
        </w:tc>
        <w:tc>
          <w:tcPr>
            <w:tcW w:w="1867" w:type="dxa"/>
            <w:tcBorders>
              <w:top w:val="nil"/>
              <w:left w:val="nil"/>
              <w:bottom w:val="single" w:color="000000" w:sz="4" w:space="0"/>
              <w:right w:val="single" w:color="000000" w:sz="4" w:space="0"/>
            </w:tcBorders>
            <w:noWrap/>
            <w:vAlign w:val="center"/>
          </w:tcPr>
          <w:p>
            <w:pPr>
              <w:jc w:val="center"/>
              <w:rPr>
                <w:rFonts w:hint="default" w:ascii="宋体" w:hAnsi="宋体" w:cs="宋体"/>
                <w:color w:val="000000"/>
                <w:sz w:val="16"/>
                <w:szCs w:val="16"/>
                <w:lang w:val="en-US" w:eastAsia="zh-CN"/>
              </w:rPr>
            </w:pPr>
            <w:r>
              <w:rPr>
                <w:rFonts w:hint="eastAsia" w:ascii="宋体" w:hAnsi="宋体" w:cs="宋体"/>
                <w:color w:val="000000"/>
                <w:sz w:val="16"/>
                <w:szCs w:val="16"/>
                <w:lang w:val="en-US" w:eastAsia="zh-CN"/>
              </w:rPr>
              <w:t>6</w:t>
            </w:r>
            <w:r>
              <w:rPr>
                <w:rFonts w:hint="eastAsia" w:ascii="宋体" w:hAnsi="宋体" w:cs="宋体"/>
                <w:color w:val="000000"/>
                <w:sz w:val="16"/>
                <w:szCs w:val="16"/>
              </w:rPr>
              <w:t>0</w:t>
            </w:r>
            <w:r>
              <w:rPr>
                <w:rFonts w:hint="eastAsia" w:ascii="宋体" w:hAnsi="宋体" w:cs="宋体"/>
                <w:color w:val="000000"/>
                <w:sz w:val="16"/>
                <w:szCs w:val="16"/>
                <w:lang w:val="en-US" w:eastAsia="zh-CN"/>
              </w:rPr>
              <w:t>0.00</w:t>
            </w:r>
          </w:p>
        </w:tc>
        <w:tc>
          <w:tcPr>
            <w:tcW w:w="776" w:type="dxa"/>
            <w:gridSpan w:val="2"/>
            <w:tcBorders>
              <w:top w:val="nil"/>
              <w:left w:val="nil"/>
              <w:bottom w:val="single" w:color="000000" w:sz="4" w:space="0"/>
              <w:right w:val="single" w:color="000000" w:sz="4" w:space="0"/>
            </w:tcBorders>
            <w:noWrap/>
            <w:vAlign w:val="center"/>
          </w:tcPr>
          <w:p>
            <w:pPr>
              <w:jc w:val="center"/>
              <w:rPr>
                <w:rFonts w:hint="eastAsia" w:ascii="宋体" w:hAnsi="宋体" w:cs="宋体"/>
                <w:color w:val="000000"/>
                <w:sz w:val="16"/>
                <w:szCs w:val="16"/>
              </w:rPr>
            </w:pPr>
            <w:r>
              <w:rPr>
                <w:rFonts w:hint="eastAsia" w:ascii="宋体" w:hAnsi="宋体" w:cs="宋体"/>
                <w:color w:val="000000"/>
                <w:sz w:val="16"/>
                <w:szCs w:val="16"/>
              </w:rPr>
              <w:t>其中：财政资金</w:t>
            </w:r>
          </w:p>
        </w:tc>
        <w:tc>
          <w:tcPr>
            <w:tcW w:w="1038" w:type="dxa"/>
            <w:gridSpan w:val="3"/>
            <w:tcBorders>
              <w:top w:val="nil"/>
              <w:left w:val="nil"/>
              <w:bottom w:val="single" w:color="000000" w:sz="4" w:space="0"/>
              <w:right w:val="single" w:color="000000" w:sz="4" w:space="0"/>
            </w:tcBorders>
            <w:noWrap/>
            <w:vAlign w:val="center"/>
          </w:tcPr>
          <w:p>
            <w:pPr>
              <w:jc w:val="center"/>
              <w:rPr>
                <w:rFonts w:hint="default" w:ascii="宋体" w:hAnsi="宋体" w:cs="宋体"/>
                <w:color w:val="000000"/>
                <w:sz w:val="16"/>
                <w:szCs w:val="16"/>
                <w:lang w:val="en-US" w:eastAsia="zh-CN"/>
              </w:rPr>
            </w:pPr>
            <w:r>
              <w:rPr>
                <w:rFonts w:hint="eastAsia" w:ascii="宋体" w:hAnsi="宋体" w:cs="宋体"/>
                <w:color w:val="000000"/>
                <w:sz w:val="16"/>
                <w:szCs w:val="16"/>
                <w:lang w:val="en-US" w:eastAsia="zh-CN"/>
              </w:rPr>
              <w:t>600.00</w:t>
            </w:r>
          </w:p>
        </w:tc>
        <w:tc>
          <w:tcPr>
            <w:tcW w:w="1399" w:type="dxa"/>
            <w:vMerge w:val="continue"/>
            <w:tcBorders>
              <w:top w:val="nil"/>
              <w:left w:val="single" w:color="000000" w:sz="4" w:space="0"/>
              <w:bottom w:val="single" w:color="000000" w:sz="4" w:space="0"/>
              <w:right w:val="single" w:color="000000" w:sz="4" w:space="0"/>
            </w:tcBorders>
            <w:noWrap/>
            <w:vAlign w:val="center"/>
          </w:tcPr>
          <w:p>
            <w:pPr>
              <w:jc w:val="center"/>
              <w:rPr>
                <w:rFonts w:hint="eastAsia" w:ascii="宋体" w:hAnsi="宋体" w:cs="宋体"/>
                <w:color w:val="000000"/>
                <w:sz w:val="16"/>
                <w:szCs w:val="16"/>
              </w:rPr>
            </w:pPr>
          </w:p>
        </w:tc>
      </w:tr>
      <w:tr>
        <w:tblPrEx>
          <w:tblLayout w:type="fixed"/>
          <w:tblCellMar>
            <w:top w:w="0" w:type="dxa"/>
            <w:left w:w="108" w:type="dxa"/>
            <w:bottom w:w="0" w:type="dxa"/>
            <w:right w:w="108" w:type="dxa"/>
          </w:tblCellMar>
        </w:tblPrEx>
        <w:trPr>
          <w:trHeight w:val="90" w:hRule="atLeast"/>
        </w:trPr>
        <w:tc>
          <w:tcPr>
            <w:tcW w:w="1233" w:type="dxa"/>
            <w:vMerge w:val="continue"/>
            <w:tcBorders>
              <w:top w:val="single" w:color="000000" w:sz="4" w:space="0"/>
              <w:left w:val="single" w:color="000000" w:sz="4" w:space="0"/>
              <w:bottom w:val="single" w:color="000000" w:sz="4" w:space="0"/>
              <w:right w:val="single" w:color="000000" w:sz="4" w:space="0"/>
            </w:tcBorders>
            <w:noWrap/>
            <w:vAlign w:val="center"/>
          </w:tcPr>
          <w:p>
            <w:pPr>
              <w:jc w:val="center"/>
              <w:rPr>
                <w:rFonts w:hint="eastAsia" w:ascii="宋体" w:hAnsi="宋体" w:cs="宋体"/>
                <w:color w:val="000000"/>
                <w:sz w:val="16"/>
                <w:szCs w:val="16"/>
              </w:rPr>
            </w:pPr>
          </w:p>
        </w:tc>
        <w:tc>
          <w:tcPr>
            <w:tcW w:w="1061" w:type="dxa"/>
            <w:tcBorders>
              <w:top w:val="nil"/>
              <w:left w:val="nil"/>
              <w:bottom w:val="single" w:color="000000" w:sz="4" w:space="0"/>
              <w:right w:val="single" w:color="000000" w:sz="4" w:space="0"/>
            </w:tcBorders>
            <w:noWrap/>
            <w:vAlign w:val="center"/>
          </w:tcPr>
          <w:p>
            <w:pPr>
              <w:jc w:val="center"/>
              <w:rPr>
                <w:rFonts w:hint="eastAsia" w:ascii="宋体" w:hAnsi="宋体" w:cs="宋体"/>
                <w:color w:val="000000"/>
                <w:sz w:val="16"/>
                <w:szCs w:val="16"/>
              </w:rPr>
            </w:pPr>
            <w:r>
              <w:rPr>
                <w:rFonts w:hint="eastAsia" w:ascii="宋体" w:hAnsi="宋体" w:cs="宋体"/>
                <w:color w:val="000000"/>
                <w:sz w:val="16"/>
                <w:szCs w:val="16"/>
              </w:rPr>
              <w:t>其他</w:t>
            </w:r>
          </w:p>
        </w:tc>
        <w:tc>
          <w:tcPr>
            <w:tcW w:w="889" w:type="dxa"/>
            <w:tcBorders>
              <w:top w:val="nil"/>
              <w:left w:val="nil"/>
              <w:bottom w:val="single" w:color="000000" w:sz="4" w:space="0"/>
              <w:right w:val="single" w:color="000000" w:sz="4" w:space="0"/>
            </w:tcBorders>
            <w:noWrap/>
            <w:vAlign w:val="center"/>
          </w:tcPr>
          <w:p>
            <w:pPr>
              <w:jc w:val="center"/>
              <w:rPr>
                <w:rFonts w:hint="eastAsia" w:ascii="宋体" w:hAnsi="宋体" w:cs="宋体"/>
                <w:color w:val="000000"/>
                <w:sz w:val="16"/>
                <w:szCs w:val="16"/>
              </w:rPr>
            </w:pPr>
            <w:r>
              <w:rPr>
                <w:rFonts w:hint="eastAsia" w:ascii="宋体" w:hAnsi="宋体" w:cs="宋体"/>
                <w:color w:val="000000"/>
                <w:sz w:val="16"/>
                <w:szCs w:val="16"/>
              </w:rPr>
              <w:t>0</w:t>
            </w:r>
          </w:p>
        </w:tc>
        <w:tc>
          <w:tcPr>
            <w:tcW w:w="797" w:type="dxa"/>
            <w:gridSpan w:val="2"/>
            <w:tcBorders>
              <w:top w:val="nil"/>
              <w:left w:val="nil"/>
              <w:bottom w:val="single" w:color="000000" w:sz="4" w:space="0"/>
              <w:right w:val="single" w:color="000000" w:sz="4" w:space="0"/>
            </w:tcBorders>
            <w:noWrap/>
            <w:vAlign w:val="center"/>
          </w:tcPr>
          <w:p>
            <w:pPr>
              <w:jc w:val="center"/>
              <w:rPr>
                <w:rFonts w:hint="eastAsia" w:ascii="宋体" w:hAnsi="宋体" w:cs="宋体"/>
                <w:color w:val="000000"/>
                <w:sz w:val="16"/>
                <w:szCs w:val="16"/>
              </w:rPr>
            </w:pPr>
            <w:r>
              <w:rPr>
                <w:rFonts w:hint="eastAsia" w:ascii="宋体" w:hAnsi="宋体" w:cs="宋体"/>
                <w:color w:val="000000"/>
                <w:sz w:val="16"/>
                <w:szCs w:val="16"/>
              </w:rPr>
              <w:t>其他</w:t>
            </w:r>
          </w:p>
        </w:tc>
        <w:tc>
          <w:tcPr>
            <w:tcW w:w="1867" w:type="dxa"/>
            <w:tcBorders>
              <w:top w:val="nil"/>
              <w:left w:val="nil"/>
              <w:bottom w:val="single" w:color="000000" w:sz="4" w:space="0"/>
              <w:right w:val="single" w:color="000000" w:sz="4" w:space="0"/>
            </w:tcBorders>
            <w:noWrap/>
            <w:vAlign w:val="center"/>
          </w:tcPr>
          <w:p>
            <w:pPr>
              <w:jc w:val="center"/>
              <w:rPr>
                <w:rFonts w:hint="eastAsia" w:ascii="宋体" w:hAnsi="宋体" w:cs="宋体"/>
                <w:color w:val="000000"/>
                <w:sz w:val="16"/>
                <w:szCs w:val="16"/>
              </w:rPr>
            </w:pPr>
            <w:r>
              <w:rPr>
                <w:rFonts w:hint="eastAsia" w:ascii="宋体" w:hAnsi="宋体" w:cs="宋体"/>
                <w:color w:val="000000"/>
                <w:sz w:val="16"/>
                <w:szCs w:val="16"/>
              </w:rPr>
              <w:t>0</w:t>
            </w:r>
          </w:p>
        </w:tc>
        <w:tc>
          <w:tcPr>
            <w:tcW w:w="776" w:type="dxa"/>
            <w:gridSpan w:val="2"/>
            <w:tcBorders>
              <w:top w:val="nil"/>
              <w:left w:val="nil"/>
              <w:bottom w:val="single" w:color="000000" w:sz="4" w:space="0"/>
              <w:right w:val="single" w:color="000000" w:sz="4" w:space="0"/>
            </w:tcBorders>
            <w:noWrap/>
            <w:vAlign w:val="center"/>
          </w:tcPr>
          <w:p>
            <w:pPr>
              <w:jc w:val="center"/>
              <w:rPr>
                <w:rFonts w:hint="eastAsia" w:ascii="宋体" w:hAnsi="宋体" w:cs="宋体"/>
                <w:color w:val="000000"/>
                <w:sz w:val="16"/>
                <w:szCs w:val="16"/>
              </w:rPr>
            </w:pPr>
            <w:r>
              <w:rPr>
                <w:rFonts w:hint="eastAsia" w:ascii="宋体" w:hAnsi="宋体" w:cs="宋体"/>
                <w:color w:val="000000"/>
                <w:sz w:val="16"/>
                <w:szCs w:val="16"/>
              </w:rPr>
              <w:t>其他</w:t>
            </w:r>
          </w:p>
        </w:tc>
        <w:tc>
          <w:tcPr>
            <w:tcW w:w="1038" w:type="dxa"/>
            <w:gridSpan w:val="3"/>
            <w:tcBorders>
              <w:top w:val="nil"/>
              <w:left w:val="nil"/>
              <w:bottom w:val="single" w:color="000000" w:sz="4" w:space="0"/>
              <w:right w:val="single" w:color="000000" w:sz="4" w:space="0"/>
            </w:tcBorders>
            <w:noWrap/>
            <w:vAlign w:val="center"/>
          </w:tcPr>
          <w:p>
            <w:pPr>
              <w:jc w:val="center"/>
              <w:rPr>
                <w:rFonts w:hint="eastAsia" w:ascii="宋体" w:hAnsi="宋体" w:cs="宋体"/>
                <w:color w:val="000000"/>
                <w:sz w:val="16"/>
                <w:szCs w:val="16"/>
              </w:rPr>
            </w:pPr>
            <w:r>
              <w:rPr>
                <w:rFonts w:hint="eastAsia" w:ascii="宋体" w:hAnsi="宋体" w:cs="宋体"/>
                <w:color w:val="000000"/>
                <w:sz w:val="16"/>
                <w:szCs w:val="16"/>
              </w:rPr>
              <w:t>0</w:t>
            </w:r>
          </w:p>
        </w:tc>
        <w:tc>
          <w:tcPr>
            <w:tcW w:w="1399" w:type="dxa"/>
            <w:vMerge w:val="continue"/>
            <w:tcBorders>
              <w:top w:val="nil"/>
              <w:left w:val="single" w:color="000000" w:sz="4" w:space="0"/>
              <w:bottom w:val="single" w:color="000000" w:sz="4" w:space="0"/>
              <w:right w:val="single" w:color="000000" w:sz="4" w:space="0"/>
            </w:tcBorders>
            <w:noWrap/>
            <w:vAlign w:val="center"/>
          </w:tcPr>
          <w:p>
            <w:pPr>
              <w:jc w:val="center"/>
              <w:rPr>
                <w:rFonts w:hint="eastAsia" w:ascii="宋体" w:hAnsi="宋体" w:cs="宋体"/>
                <w:color w:val="000000"/>
                <w:sz w:val="16"/>
                <w:szCs w:val="16"/>
              </w:rPr>
            </w:pPr>
          </w:p>
        </w:tc>
      </w:tr>
      <w:tr>
        <w:tblPrEx>
          <w:tblLayout w:type="fixed"/>
          <w:tblCellMar>
            <w:top w:w="0" w:type="dxa"/>
            <w:left w:w="108" w:type="dxa"/>
            <w:bottom w:w="0" w:type="dxa"/>
            <w:right w:w="108" w:type="dxa"/>
          </w:tblCellMar>
        </w:tblPrEx>
        <w:trPr>
          <w:trHeight w:val="90" w:hRule="atLeast"/>
        </w:trPr>
        <w:tc>
          <w:tcPr>
            <w:tcW w:w="1233" w:type="dxa"/>
            <w:vMerge w:val="restart"/>
            <w:tcBorders>
              <w:top w:val="nil"/>
              <w:left w:val="single" w:color="000000" w:sz="4" w:space="0"/>
              <w:bottom w:val="single" w:color="000000" w:sz="4" w:space="0"/>
              <w:right w:val="single" w:color="000000" w:sz="4" w:space="0"/>
            </w:tcBorders>
            <w:noWrap/>
            <w:vAlign w:val="center"/>
          </w:tcPr>
          <w:p>
            <w:pPr>
              <w:jc w:val="center"/>
              <w:rPr>
                <w:rFonts w:hint="eastAsia" w:ascii="宋体" w:hAnsi="宋体" w:cs="宋体"/>
                <w:color w:val="000000"/>
                <w:sz w:val="16"/>
                <w:szCs w:val="16"/>
              </w:rPr>
            </w:pPr>
            <w:r>
              <w:rPr>
                <w:rFonts w:hint="eastAsia" w:ascii="宋体" w:hAnsi="宋体" w:cs="宋体"/>
                <w:color w:val="000000"/>
                <w:sz w:val="16"/>
                <w:szCs w:val="16"/>
              </w:rPr>
              <w:t>三、目标完成情况</w:t>
            </w:r>
          </w:p>
        </w:tc>
        <w:tc>
          <w:tcPr>
            <w:tcW w:w="2747" w:type="dxa"/>
            <w:gridSpan w:val="4"/>
            <w:tcBorders>
              <w:top w:val="single" w:color="000000" w:sz="4" w:space="0"/>
              <w:left w:val="nil"/>
              <w:bottom w:val="single" w:color="000000" w:sz="4" w:space="0"/>
              <w:right w:val="single" w:color="000000" w:sz="4" w:space="0"/>
            </w:tcBorders>
            <w:noWrap/>
            <w:vAlign w:val="center"/>
          </w:tcPr>
          <w:p>
            <w:pPr>
              <w:jc w:val="center"/>
              <w:rPr>
                <w:rFonts w:hint="eastAsia" w:ascii="宋体" w:hAnsi="宋体" w:cs="宋体"/>
                <w:color w:val="000000"/>
                <w:sz w:val="16"/>
                <w:szCs w:val="16"/>
              </w:rPr>
            </w:pPr>
            <w:r>
              <w:rPr>
                <w:rFonts w:hint="eastAsia" w:ascii="宋体" w:hAnsi="宋体" w:cs="宋体"/>
                <w:color w:val="000000"/>
                <w:sz w:val="16"/>
                <w:szCs w:val="16"/>
              </w:rPr>
              <w:t>年度预期目标</w:t>
            </w:r>
          </w:p>
        </w:tc>
        <w:tc>
          <w:tcPr>
            <w:tcW w:w="3681" w:type="dxa"/>
            <w:gridSpan w:val="6"/>
            <w:tcBorders>
              <w:top w:val="single" w:color="000000" w:sz="4" w:space="0"/>
              <w:left w:val="nil"/>
              <w:bottom w:val="single" w:color="000000" w:sz="4" w:space="0"/>
              <w:right w:val="single" w:color="000000" w:sz="4" w:space="0"/>
            </w:tcBorders>
            <w:noWrap/>
            <w:vAlign w:val="center"/>
          </w:tcPr>
          <w:p>
            <w:pPr>
              <w:jc w:val="center"/>
              <w:rPr>
                <w:rFonts w:hint="eastAsia" w:ascii="宋体" w:hAnsi="宋体" w:cs="宋体"/>
                <w:color w:val="000000"/>
                <w:sz w:val="16"/>
                <w:szCs w:val="16"/>
              </w:rPr>
            </w:pPr>
            <w:r>
              <w:rPr>
                <w:rFonts w:hint="eastAsia" w:ascii="宋体" w:hAnsi="宋体" w:cs="宋体"/>
                <w:color w:val="000000"/>
                <w:sz w:val="16"/>
                <w:szCs w:val="16"/>
              </w:rPr>
              <w:t>具体完成情况</w:t>
            </w:r>
          </w:p>
        </w:tc>
        <w:tc>
          <w:tcPr>
            <w:tcW w:w="1399" w:type="dxa"/>
            <w:tcBorders>
              <w:top w:val="nil"/>
              <w:left w:val="nil"/>
              <w:bottom w:val="single" w:color="000000" w:sz="4" w:space="0"/>
              <w:right w:val="single" w:color="000000" w:sz="4" w:space="0"/>
            </w:tcBorders>
            <w:noWrap/>
            <w:vAlign w:val="center"/>
          </w:tcPr>
          <w:p>
            <w:pPr>
              <w:jc w:val="center"/>
              <w:rPr>
                <w:rFonts w:hint="eastAsia" w:ascii="宋体" w:hAnsi="宋体" w:cs="宋体"/>
                <w:color w:val="000000"/>
                <w:sz w:val="16"/>
                <w:szCs w:val="16"/>
              </w:rPr>
            </w:pPr>
            <w:r>
              <w:rPr>
                <w:rFonts w:hint="eastAsia" w:ascii="宋体" w:hAnsi="宋体" w:cs="宋体"/>
                <w:color w:val="000000"/>
                <w:sz w:val="16"/>
                <w:szCs w:val="16"/>
              </w:rPr>
              <w:t>总体完成率</w:t>
            </w:r>
          </w:p>
        </w:tc>
      </w:tr>
      <w:tr>
        <w:tblPrEx>
          <w:tblLayout w:type="fixed"/>
          <w:tblCellMar>
            <w:top w:w="0" w:type="dxa"/>
            <w:left w:w="108" w:type="dxa"/>
            <w:bottom w:w="0" w:type="dxa"/>
            <w:right w:w="108" w:type="dxa"/>
          </w:tblCellMar>
        </w:tblPrEx>
        <w:trPr>
          <w:trHeight w:val="312" w:hRule="atLeast"/>
        </w:trPr>
        <w:tc>
          <w:tcPr>
            <w:tcW w:w="1233" w:type="dxa"/>
            <w:vMerge w:val="continue"/>
            <w:tcBorders>
              <w:top w:val="nil"/>
              <w:left w:val="single" w:color="000000" w:sz="4" w:space="0"/>
              <w:bottom w:val="single" w:color="000000" w:sz="4" w:space="0"/>
              <w:right w:val="single" w:color="000000" w:sz="4" w:space="0"/>
            </w:tcBorders>
            <w:noWrap/>
            <w:vAlign w:val="center"/>
          </w:tcPr>
          <w:p>
            <w:pPr>
              <w:jc w:val="center"/>
              <w:rPr>
                <w:rFonts w:hint="eastAsia" w:ascii="宋体" w:hAnsi="宋体" w:cs="宋体"/>
                <w:color w:val="000000"/>
                <w:sz w:val="16"/>
                <w:szCs w:val="16"/>
              </w:rPr>
            </w:pPr>
          </w:p>
        </w:tc>
        <w:tc>
          <w:tcPr>
            <w:tcW w:w="2747" w:type="dxa"/>
            <w:gridSpan w:val="4"/>
            <w:vMerge w:val="restart"/>
            <w:tcBorders>
              <w:top w:val="single" w:color="000000" w:sz="4" w:space="0"/>
              <w:left w:val="single" w:color="000000" w:sz="4" w:space="0"/>
              <w:bottom w:val="single" w:color="000000" w:sz="4" w:space="0"/>
              <w:right w:val="single" w:color="000000" w:sz="4" w:space="0"/>
            </w:tcBorders>
            <w:noWrap/>
            <w:vAlign w:val="center"/>
          </w:tcPr>
          <w:p>
            <w:pPr>
              <w:jc w:val="center"/>
              <w:rPr>
                <w:rFonts w:hint="eastAsia" w:ascii="宋体" w:hAnsi="宋体" w:cs="宋体"/>
                <w:color w:val="000000"/>
                <w:sz w:val="16"/>
                <w:szCs w:val="16"/>
              </w:rPr>
            </w:pPr>
            <w:r>
              <w:rPr>
                <w:rFonts w:hint="eastAsia" w:ascii="宋体" w:hAnsi="宋体" w:cs="宋体"/>
                <w:color w:val="000000"/>
                <w:sz w:val="16"/>
                <w:szCs w:val="16"/>
              </w:rPr>
              <w:t>通过完成这项费用，能够保障单位对受理监督的公路建设项目正常开展交工核验检测工作；能够保障我单位有关业务科室完成年度农村公路质量监督检查等工作任务。</w:t>
            </w:r>
          </w:p>
        </w:tc>
        <w:tc>
          <w:tcPr>
            <w:tcW w:w="3681" w:type="dxa"/>
            <w:gridSpan w:val="6"/>
            <w:vMerge w:val="restart"/>
            <w:tcBorders>
              <w:top w:val="single" w:color="000000" w:sz="4" w:space="0"/>
              <w:left w:val="single" w:color="000000" w:sz="4" w:space="0"/>
              <w:bottom w:val="single" w:color="000000" w:sz="4" w:space="0"/>
              <w:right w:val="single" w:color="000000" w:sz="4" w:space="0"/>
            </w:tcBorders>
            <w:noWrap/>
            <w:vAlign w:val="center"/>
          </w:tcPr>
          <w:p>
            <w:pPr>
              <w:jc w:val="center"/>
              <w:rPr>
                <w:rFonts w:hint="eastAsia" w:ascii="宋体" w:hAnsi="宋体" w:cs="宋体"/>
                <w:color w:val="000000"/>
                <w:sz w:val="16"/>
                <w:szCs w:val="16"/>
              </w:rPr>
            </w:pPr>
            <w:r>
              <w:rPr>
                <w:rFonts w:hint="eastAsia" w:ascii="宋体" w:hAnsi="宋体" w:cs="宋体"/>
                <w:color w:val="000000"/>
                <w:sz w:val="16"/>
                <w:szCs w:val="16"/>
              </w:rPr>
              <w:t>已完成</w:t>
            </w:r>
            <w:r>
              <w:rPr>
                <w:rFonts w:hint="eastAsia" w:ascii="宋体" w:hAnsi="宋体" w:cs="宋体"/>
                <w:color w:val="000000"/>
                <w:sz w:val="16"/>
                <w:szCs w:val="16"/>
                <w:lang w:val="en-US" w:eastAsia="zh-CN"/>
              </w:rPr>
              <w:t>100</w:t>
            </w:r>
            <w:r>
              <w:rPr>
                <w:rFonts w:hint="eastAsia" w:ascii="宋体" w:hAnsi="宋体" w:cs="宋体"/>
                <w:color w:val="000000"/>
                <w:sz w:val="16"/>
                <w:szCs w:val="16"/>
              </w:rPr>
              <w:t>.0%</w:t>
            </w:r>
          </w:p>
        </w:tc>
        <w:tc>
          <w:tcPr>
            <w:tcW w:w="1399" w:type="dxa"/>
            <w:vMerge w:val="restart"/>
            <w:tcBorders>
              <w:top w:val="nil"/>
              <w:left w:val="single" w:color="000000" w:sz="4" w:space="0"/>
              <w:bottom w:val="single" w:color="000000" w:sz="4" w:space="0"/>
              <w:right w:val="single" w:color="000000" w:sz="4" w:space="0"/>
            </w:tcBorders>
            <w:noWrap/>
            <w:vAlign w:val="center"/>
          </w:tcPr>
          <w:p>
            <w:pPr>
              <w:jc w:val="center"/>
              <w:rPr>
                <w:rFonts w:hint="eastAsia" w:ascii="宋体" w:hAnsi="宋体" w:cs="宋体"/>
                <w:color w:val="000000"/>
                <w:sz w:val="16"/>
                <w:szCs w:val="16"/>
              </w:rPr>
            </w:pPr>
            <w:r>
              <w:rPr>
                <w:rFonts w:hint="eastAsia" w:ascii="宋体" w:hAnsi="宋体" w:cs="宋体"/>
                <w:color w:val="000000"/>
                <w:sz w:val="16"/>
                <w:szCs w:val="16"/>
                <w:lang w:val="en-US" w:eastAsia="zh-CN"/>
              </w:rPr>
              <w:t>100</w:t>
            </w:r>
            <w:r>
              <w:rPr>
                <w:rFonts w:hint="eastAsia" w:ascii="宋体" w:hAnsi="宋体" w:cs="宋体"/>
                <w:color w:val="000000"/>
                <w:sz w:val="16"/>
                <w:szCs w:val="16"/>
              </w:rPr>
              <w:t>.0%</w:t>
            </w:r>
          </w:p>
        </w:tc>
      </w:tr>
      <w:tr>
        <w:tblPrEx>
          <w:tblLayout w:type="fixed"/>
          <w:tblCellMar>
            <w:top w:w="0" w:type="dxa"/>
            <w:left w:w="108" w:type="dxa"/>
            <w:bottom w:w="0" w:type="dxa"/>
            <w:right w:w="108" w:type="dxa"/>
          </w:tblCellMar>
        </w:tblPrEx>
        <w:trPr>
          <w:trHeight w:val="312" w:hRule="atLeast"/>
        </w:trPr>
        <w:tc>
          <w:tcPr>
            <w:tcW w:w="1233" w:type="dxa"/>
            <w:vMerge w:val="continue"/>
            <w:tcBorders>
              <w:top w:val="nil"/>
              <w:left w:val="single" w:color="000000" w:sz="4" w:space="0"/>
              <w:bottom w:val="single" w:color="000000" w:sz="4" w:space="0"/>
              <w:right w:val="single" w:color="000000" w:sz="4" w:space="0"/>
            </w:tcBorders>
            <w:noWrap/>
            <w:vAlign w:val="center"/>
          </w:tcPr>
          <w:p>
            <w:pPr>
              <w:jc w:val="center"/>
              <w:rPr>
                <w:rFonts w:hint="eastAsia" w:ascii="宋体" w:hAnsi="宋体" w:cs="宋体"/>
                <w:color w:val="000000"/>
                <w:sz w:val="16"/>
                <w:szCs w:val="16"/>
              </w:rPr>
            </w:pPr>
          </w:p>
        </w:tc>
        <w:tc>
          <w:tcPr>
            <w:tcW w:w="2747" w:type="dxa"/>
            <w:gridSpan w:val="4"/>
            <w:vMerge w:val="continue"/>
            <w:tcBorders>
              <w:top w:val="single" w:color="000000" w:sz="4" w:space="0"/>
              <w:left w:val="single" w:color="000000" w:sz="4" w:space="0"/>
              <w:bottom w:val="single" w:color="000000" w:sz="4" w:space="0"/>
              <w:right w:val="single" w:color="000000" w:sz="4" w:space="0"/>
            </w:tcBorders>
            <w:noWrap/>
            <w:vAlign w:val="center"/>
          </w:tcPr>
          <w:p>
            <w:pPr>
              <w:jc w:val="center"/>
              <w:rPr>
                <w:rFonts w:hint="eastAsia" w:ascii="宋体" w:hAnsi="宋体" w:cs="宋体"/>
                <w:color w:val="000000"/>
                <w:sz w:val="16"/>
                <w:szCs w:val="16"/>
              </w:rPr>
            </w:pPr>
          </w:p>
        </w:tc>
        <w:tc>
          <w:tcPr>
            <w:tcW w:w="3681" w:type="dxa"/>
            <w:gridSpan w:val="6"/>
            <w:vMerge w:val="continue"/>
            <w:tcBorders>
              <w:top w:val="single" w:color="000000" w:sz="4" w:space="0"/>
              <w:left w:val="single" w:color="000000" w:sz="4" w:space="0"/>
              <w:bottom w:val="single" w:color="000000" w:sz="4" w:space="0"/>
              <w:right w:val="single" w:color="000000" w:sz="4" w:space="0"/>
            </w:tcBorders>
            <w:noWrap/>
            <w:vAlign w:val="center"/>
          </w:tcPr>
          <w:p>
            <w:pPr>
              <w:jc w:val="center"/>
              <w:rPr>
                <w:rFonts w:hint="eastAsia" w:ascii="宋体" w:hAnsi="宋体" w:cs="宋体"/>
                <w:color w:val="000000"/>
                <w:sz w:val="16"/>
                <w:szCs w:val="16"/>
              </w:rPr>
            </w:pPr>
          </w:p>
        </w:tc>
        <w:tc>
          <w:tcPr>
            <w:tcW w:w="1399" w:type="dxa"/>
            <w:vMerge w:val="continue"/>
            <w:tcBorders>
              <w:top w:val="nil"/>
              <w:left w:val="single" w:color="000000" w:sz="4" w:space="0"/>
              <w:bottom w:val="single" w:color="000000" w:sz="4" w:space="0"/>
              <w:right w:val="single" w:color="000000" w:sz="4" w:space="0"/>
            </w:tcBorders>
            <w:noWrap/>
            <w:vAlign w:val="center"/>
          </w:tcPr>
          <w:p>
            <w:pPr>
              <w:jc w:val="center"/>
              <w:rPr>
                <w:rFonts w:hint="eastAsia" w:ascii="宋体" w:hAnsi="宋体" w:cs="宋体"/>
                <w:color w:val="000000"/>
                <w:sz w:val="16"/>
                <w:szCs w:val="16"/>
              </w:rPr>
            </w:pPr>
          </w:p>
        </w:tc>
      </w:tr>
      <w:tr>
        <w:tblPrEx>
          <w:tblLayout w:type="fixed"/>
          <w:tblCellMar>
            <w:top w:w="0" w:type="dxa"/>
            <w:left w:w="108" w:type="dxa"/>
            <w:bottom w:w="0" w:type="dxa"/>
            <w:right w:w="108" w:type="dxa"/>
          </w:tblCellMar>
        </w:tblPrEx>
        <w:trPr>
          <w:trHeight w:val="312" w:hRule="atLeast"/>
        </w:trPr>
        <w:tc>
          <w:tcPr>
            <w:tcW w:w="1233" w:type="dxa"/>
            <w:vMerge w:val="continue"/>
            <w:tcBorders>
              <w:top w:val="nil"/>
              <w:left w:val="single" w:color="000000" w:sz="4" w:space="0"/>
              <w:bottom w:val="single" w:color="000000" w:sz="4" w:space="0"/>
              <w:right w:val="single" w:color="000000" w:sz="4" w:space="0"/>
            </w:tcBorders>
            <w:noWrap/>
            <w:vAlign w:val="center"/>
          </w:tcPr>
          <w:p>
            <w:pPr>
              <w:jc w:val="center"/>
              <w:rPr>
                <w:rFonts w:hint="eastAsia" w:ascii="宋体" w:hAnsi="宋体" w:cs="宋体"/>
                <w:color w:val="000000"/>
                <w:sz w:val="16"/>
                <w:szCs w:val="16"/>
              </w:rPr>
            </w:pPr>
          </w:p>
        </w:tc>
        <w:tc>
          <w:tcPr>
            <w:tcW w:w="2747" w:type="dxa"/>
            <w:gridSpan w:val="4"/>
            <w:vMerge w:val="continue"/>
            <w:tcBorders>
              <w:top w:val="single" w:color="000000" w:sz="4" w:space="0"/>
              <w:left w:val="single" w:color="000000" w:sz="4" w:space="0"/>
              <w:bottom w:val="single" w:color="000000" w:sz="4" w:space="0"/>
              <w:right w:val="single" w:color="000000" w:sz="4" w:space="0"/>
            </w:tcBorders>
            <w:noWrap/>
            <w:vAlign w:val="center"/>
          </w:tcPr>
          <w:p>
            <w:pPr>
              <w:jc w:val="center"/>
              <w:rPr>
                <w:rFonts w:hint="eastAsia" w:ascii="宋体" w:hAnsi="宋体" w:cs="宋体"/>
                <w:color w:val="000000"/>
                <w:sz w:val="16"/>
                <w:szCs w:val="16"/>
              </w:rPr>
            </w:pPr>
          </w:p>
        </w:tc>
        <w:tc>
          <w:tcPr>
            <w:tcW w:w="3681" w:type="dxa"/>
            <w:gridSpan w:val="6"/>
            <w:vMerge w:val="continue"/>
            <w:tcBorders>
              <w:top w:val="single" w:color="000000" w:sz="4" w:space="0"/>
              <w:left w:val="single" w:color="000000" w:sz="4" w:space="0"/>
              <w:bottom w:val="single" w:color="000000" w:sz="4" w:space="0"/>
              <w:right w:val="single" w:color="000000" w:sz="4" w:space="0"/>
            </w:tcBorders>
            <w:noWrap/>
            <w:vAlign w:val="center"/>
          </w:tcPr>
          <w:p>
            <w:pPr>
              <w:jc w:val="center"/>
              <w:rPr>
                <w:rFonts w:hint="eastAsia" w:ascii="宋体" w:hAnsi="宋体" w:cs="宋体"/>
                <w:color w:val="000000"/>
                <w:sz w:val="16"/>
                <w:szCs w:val="16"/>
              </w:rPr>
            </w:pPr>
          </w:p>
        </w:tc>
        <w:tc>
          <w:tcPr>
            <w:tcW w:w="1399" w:type="dxa"/>
            <w:vMerge w:val="continue"/>
            <w:tcBorders>
              <w:top w:val="nil"/>
              <w:left w:val="single" w:color="000000" w:sz="4" w:space="0"/>
              <w:bottom w:val="single" w:color="000000" w:sz="4" w:space="0"/>
              <w:right w:val="single" w:color="000000" w:sz="4" w:space="0"/>
            </w:tcBorders>
            <w:noWrap/>
            <w:vAlign w:val="center"/>
          </w:tcPr>
          <w:p>
            <w:pPr>
              <w:jc w:val="center"/>
              <w:rPr>
                <w:rFonts w:hint="eastAsia" w:ascii="宋体" w:hAnsi="宋体" w:cs="宋体"/>
                <w:color w:val="000000"/>
                <w:sz w:val="16"/>
                <w:szCs w:val="16"/>
              </w:rPr>
            </w:pPr>
          </w:p>
        </w:tc>
      </w:tr>
      <w:tr>
        <w:tblPrEx>
          <w:tblLayout w:type="fixed"/>
          <w:tblCellMar>
            <w:top w:w="0" w:type="dxa"/>
            <w:left w:w="108" w:type="dxa"/>
            <w:bottom w:w="0" w:type="dxa"/>
            <w:right w:w="108" w:type="dxa"/>
          </w:tblCellMar>
        </w:tblPrEx>
        <w:trPr>
          <w:trHeight w:val="90" w:hRule="atLeast"/>
        </w:trPr>
        <w:tc>
          <w:tcPr>
            <w:tcW w:w="1233" w:type="dxa"/>
            <w:vMerge w:val="restart"/>
            <w:tcBorders>
              <w:top w:val="nil"/>
              <w:left w:val="single" w:color="auto" w:sz="4" w:space="0"/>
              <w:bottom w:val="single" w:color="000000" w:sz="4" w:space="0"/>
              <w:right w:val="nil"/>
            </w:tcBorders>
            <w:noWrap/>
            <w:vAlign w:val="center"/>
          </w:tcPr>
          <w:p>
            <w:pPr>
              <w:jc w:val="center"/>
              <w:rPr>
                <w:rFonts w:hint="eastAsia" w:ascii="宋体" w:hAnsi="宋体" w:cs="宋体"/>
                <w:color w:val="000000"/>
                <w:sz w:val="16"/>
                <w:szCs w:val="16"/>
              </w:rPr>
            </w:pPr>
            <w:r>
              <w:rPr>
                <w:rFonts w:hint="eastAsia" w:ascii="宋体" w:hAnsi="宋体" w:cs="宋体"/>
                <w:color w:val="000000"/>
                <w:sz w:val="16"/>
                <w:szCs w:val="16"/>
              </w:rPr>
              <w:t>四、年度绩效指标完成情况</w:t>
            </w:r>
          </w:p>
        </w:tc>
        <w:tc>
          <w:tcPr>
            <w:tcW w:w="1061" w:type="dxa"/>
            <w:tcBorders>
              <w:top w:val="nil"/>
              <w:left w:val="single" w:color="000000" w:sz="4" w:space="0"/>
              <w:bottom w:val="single" w:color="000000" w:sz="4" w:space="0"/>
              <w:right w:val="single" w:color="000000" w:sz="4" w:space="0"/>
            </w:tcBorders>
            <w:noWrap/>
            <w:vAlign w:val="center"/>
          </w:tcPr>
          <w:p>
            <w:pPr>
              <w:jc w:val="center"/>
              <w:rPr>
                <w:rFonts w:hint="eastAsia" w:ascii="宋体" w:hAnsi="宋体" w:cs="宋体"/>
                <w:color w:val="000000"/>
                <w:sz w:val="16"/>
                <w:szCs w:val="16"/>
              </w:rPr>
            </w:pPr>
            <w:r>
              <w:rPr>
                <w:rFonts w:hint="eastAsia" w:ascii="宋体" w:hAnsi="宋体" w:cs="宋体"/>
                <w:color w:val="000000"/>
                <w:sz w:val="16"/>
                <w:szCs w:val="16"/>
              </w:rPr>
              <w:t>一级指标</w:t>
            </w:r>
          </w:p>
        </w:tc>
        <w:tc>
          <w:tcPr>
            <w:tcW w:w="889" w:type="dxa"/>
            <w:tcBorders>
              <w:top w:val="nil"/>
              <w:left w:val="nil"/>
              <w:bottom w:val="single" w:color="000000" w:sz="4" w:space="0"/>
              <w:right w:val="single" w:color="000000" w:sz="4" w:space="0"/>
            </w:tcBorders>
            <w:noWrap/>
            <w:vAlign w:val="center"/>
          </w:tcPr>
          <w:p>
            <w:pPr>
              <w:jc w:val="center"/>
              <w:rPr>
                <w:rFonts w:hint="eastAsia" w:ascii="宋体" w:hAnsi="宋体" w:cs="宋体"/>
                <w:color w:val="000000"/>
                <w:sz w:val="16"/>
                <w:szCs w:val="16"/>
              </w:rPr>
            </w:pPr>
            <w:r>
              <w:rPr>
                <w:rFonts w:hint="eastAsia" w:ascii="宋体" w:hAnsi="宋体" w:cs="宋体"/>
                <w:color w:val="000000"/>
                <w:sz w:val="16"/>
                <w:szCs w:val="16"/>
              </w:rPr>
              <w:t>二级指标</w:t>
            </w:r>
          </w:p>
        </w:tc>
        <w:tc>
          <w:tcPr>
            <w:tcW w:w="2665" w:type="dxa"/>
            <w:gridSpan w:val="4"/>
            <w:tcBorders>
              <w:top w:val="single" w:color="000000" w:sz="4" w:space="0"/>
              <w:left w:val="nil"/>
              <w:bottom w:val="single" w:color="000000" w:sz="4" w:space="0"/>
              <w:right w:val="single" w:color="000000" w:sz="4" w:space="0"/>
            </w:tcBorders>
            <w:noWrap/>
            <w:vAlign w:val="center"/>
          </w:tcPr>
          <w:p>
            <w:pPr>
              <w:jc w:val="center"/>
              <w:rPr>
                <w:rFonts w:hint="eastAsia" w:ascii="宋体" w:hAnsi="宋体" w:cs="宋体"/>
                <w:color w:val="000000"/>
                <w:sz w:val="16"/>
                <w:szCs w:val="16"/>
              </w:rPr>
            </w:pPr>
            <w:r>
              <w:rPr>
                <w:rFonts w:hint="eastAsia" w:ascii="宋体" w:hAnsi="宋体" w:cs="宋体"/>
                <w:color w:val="000000"/>
                <w:sz w:val="16"/>
                <w:szCs w:val="16"/>
              </w:rPr>
              <w:t>三级指标</w:t>
            </w:r>
          </w:p>
        </w:tc>
        <w:tc>
          <w:tcPr>
            <w:tcW w:w="776" w:type="dxa"/>
            <w:gridSpan w:val="2"/>
            <w:tcBorders>
              <w:top w:val="nil"/>
              <w:left w:val="nil"/>
              <w:bottom w:val="single" w:color="000000" w:sz="4" w:space="0"/>
              <w:right w:val="single" w:color="000000" w:sz="4" w:space="0"/>
            </w:tcBorders>
            <w:noWrap/>
            <w:vAlign w:val="center"/>
          </w:tcPr>
          <w:p>
            <w:pPr>
              <w:jc w:val="center"/>
              <w:rPr>
                <w:rFonts w:hint="eastAsia" w:ascii="宋体" w:hAnsi="宋体" w:cs="宋体"/>
                <w:color w:val="000000"/>
                <w:sz w:val="16"/>
                <w:szCs w:val="16"/>
              </w:rPr>
            </w:pPr>
            <w:r>
              <w:rPr>
                <w:rFonts w:hint="eastAsia" w:ascii="宋体" w:hAnsi="宋体" w:cs="宋体"/>
                <w:color w:val="000000"/>
                <w:sz w:val="16"/>
                <w:szCs w:val="16"/>
              </w:rPr>
              <w:t>预期指标值</w:t>
            </w:r>
          </w:p>
        </w:tc>
        <w:tc>
          <w:tcPr>
            <w:tcW w:w="1037" w:type="dxa"/>
            <w:gridSpan w:val="2"/>
            <w:tcBorders>
              <w:top w:val="nil"/>
              <w:left w:val="nil"/>
              <w:bottom w:val="single" w:color="000000" w:sz="4" w:space="0"/>
              <w:right w:val="single" w:color="000000" w:sz="4" w:space="0"/>
            </w:tcBorders>
            <w:noWrap/>
            <w:vAlign w:val="center"/>
          </w:tcPr>
          <w:p>
            <w:pPr>
              <w:jc w:val="center"/>
              <w:rPr>
                <w:rFonts w:hint="eastAsia" w:ascii="宋体" w:hAnsi="宋体" w:cs="宋体"/>
                <w:color w:val="000000"/>
                <w:sz w:val="16"/>
                <w:szCs w:val="16"/>
              </w:rPr>
            </w:pPr>
            <w:r>
              <w:rPr>
                <w:rFonts w:hint="eastAsia" w:ascii="宋体" w:hAnsi="宋体" w:cs="宋体"/>
                <w:color w:val="000000"/>
                <w:sz w:val="16"/>
                <w:szCs w:val="16"/>
              </w:rPr>
              <w:t>实际完成值</w:t>
            </w:r>
          </w:p>
        </w:tc>
        <w:tc>
          <w:tcPr>
            <w:tcW w:w="1399" w:type="dxa"/>
            <w:tcBorders>
              <w:top w:val="nil"/>
              <w:left w:val="nil"/>
              <w:bottom w:val="single" w:color="000000" w:sz="4" w:space="0"/>
              <w:right w:val="single" w:color="000000" w:sz="4" w:space="0"/>
            </w:tcBorders>
            <w:noWrap/>
            <w:vAlign w:val="center"/>
          </w:tcPr>
          <w:p>
            <w:pPr>
              <w:jc w:val="center"/>
              <w:rPr>
                <w:rFonts w:hint="eastAsia" w:ascii="宋体" w:hAnsi="宋体" w:cs="宋体"/>
                <w:color w:val="000000"/>
                <w:sz w:val="16"/>
                <w:szCs w:val="16"/>
              </w:rPr>
            </w:pPr>
            <w:r>
              <w:rPr>
                <w:rFonts w:hint="eastAsia" w:ascii="宋体" w:hAnsi="宋体" w:cs="宋体"/>
                <w:color w:val="000000"/>
                <w:sz w:val="16"/>
                <w:szCs w:val="16"/>
              </w:rPr>
              <w:t>自评得分</w:t>
            </w:r>
          </w:p>
        </w:tc>
      </w:tr>
      <w:tr>
        <w:tblPrEx>
          <w:tblLayout w:type="fixed"/>
          <w:tblCellMar>
            <w:top w:w="0" w:type="dxa"/>
            <w:left w:w="108" w:type="dxa"/>
            <w:bottom w:w="0" w:type="dxa"/>
            <w:right w:w="108" w:type="dxa"/>
          </w:tblCellMar>
        </w:tblPrEx>
        <w:trPr>
          <w:trHeight w:val="90" w:hRule="atLeast"/>
        </w:trPr>
        <w:tc>
          <w:tcPr>
            <w:tcW w:w="1233" w:type="dxa"/>
            <w:vMerge w:val="continue"/>
            <w:tcBorders>
              <w:top w:val="nil"/>
              <w:left w:val="single" w:color="auto" w:sz="4" w:space="0"/>
              <w:bottom w:val="single" w:color="000000" w:sz="4" w:space="0"/>
              <w:right w:val="nil"/>
            </w:tcBorders>
            <w:noWrap/>
            <w:vAlign w:val="center"/>
          </w:tcPr>
          <w:p>
            <w:pPr>
              <w:jc w:val="center"/>
              <w:rPr>
                <w:rFonts w:hint="eastAsia" w:ascii="宋体" w:hAnsi="宋体" w:cs="宋体"/>
                <w:color w:val="000000"/>
                <w:sz w:val="16"/>
                <w:szCs w:val="16"/>
              </w:rPr>
            </w:pPr>
          </w:p>
        </w:tc>
        <w:tc>
          <w:tcPr>
            <w:tcW w:w="1061" w:type="dxa"/>
            <w:vMerge w:val="restart"/>
            <w:tcBorders>
              <w:top w:val="nil"/>
              <w:left w:val="single" w:color="000000" w:sz="4" w:space="0"/>
              <w:bottom w:val="nil"/>
              <w:right w:val="single" w:color="000000" w:sz="4" w:space="0"/>
            </w:tcBorders>
            <w:noWrap/>
            <w:vAlign w:val="center"/>
          </w:tcPr>
          <w:p>
            <w:pPr>
              <w:jc w:val="center"/>
              <w:rPr>
                <w:rFonts w:hint="eastAsia" w:ascii="宋体" w:hAnsi="宋体" w:cs="宋体"/>
                <w:color w:val="000000"/>
                <w:sz w:val="16"/>
                <w:szCs w:val="16"/>
              </w:rPr>
            </w:pPr>
            <w:r>
              <w:rPr>
                <w:rFonts w:hint="eastAsia" w:ascii="宋体" w:hAnsi="宋体" w:cs="宋体"/>
                <w:color w:val="000000"/>
                <w:sz w:val="16"/>
                <w:szCs w:val="16"/>
              </w:rPr>
              <w:t>产出指标（40分）</w:t>
            </w:r>
          </w:p>
        </w:tc>
        <w:tc>
          <w:tcPr>
            <w:tcW w:w="889" w:type="dxa"/>
            <w:vMerge w:val="restart"/>
            <w:tcBorders>
              <w:top w:val="nil"/>
              <w:left w:val="single" w:color="000000" w:sz="4" w:space="0"/>
              <w:bottom w:val="single" w:color="000000" w:sz="4" w:space="0"/>
              <w:right w:val="single" w:color="000000" w:sz="4" w:space="0"/>
            </w:tcBorders>
            <w:noWrap/>
            <w:vAlign w:val="center"/>
          </w:tcPr>
          <w:p>
            <w:pPr>
              <w:jc w:val="center"/>
              <w:rPr>
                <w:rFonts w:hint="eastAsia" w:ascii="宋体" w:hAnsi="宋体" w:cs="宋体"/>
                <w:color w:val="000000"/>
                <w:sz w:val="16"/>
                <w:szCs w:val="16"/>
              </w:rPr>
            </w:pPr>
            <w:r>
              <w:rPr>
                <w:rFonts w:hint="eastAsia" w:ascii="宋体" w:hAnsi="宋体" w:cs="宋体"/>
                <w:color w:val="000000"/>
                <w:sz w:val="16"/>
                <w:szCs w:val="16"/>
              </w:rPr>
              <w:t>数量指标</w:t>
            </w:r>
          </w:p>
        </w:tc>
        <w:tc>
          <w:tcPr>
            <w:tcW w:w="2665" w:type="dxa"/>
            <w:gridSpan w:val="4"/>
            <w:tcBorders>
              <w:top w:val="single" w:color="000000" w:sz="4" w:space="0"/>
              <w:left w:val="single" w:color="000000" w:sz="4" w:space="0"/>
              <w:bottom w:val="single" w:color="000000" w:sz="4" w:space="0"/>
              <w:right w:val="single" w:color="000000" w:sz="4" w:space="0"/>
            </w:tcBorders>
            <w:noWrap/>
            <w:vAlign w:val="center"/>
          </w:tcPr>
          <w:p>
            <w:pPr>
              <w:jc w:val="center"/>
              <w:rPr>
                <w:rFonts w:hint="eastAsia" w:ascii="宋体" w:hAnsi="宋体" w:cs="宋体"/>
                <w:color w:val="000000"/>
                <w:sz w:val="16"/>
                <w:szCs w:val="16"/>
              </w:rPr>
            </w:pPr>
            <w:r>
              <w:rPr>
                <w:rFonts w:hint="eastAsia" w:ascii="宋体" w:hAnsi="宋体" w:cs="宋体"/>
                <w:color w:val="000000"/>
                <w:sz w:val="16"/>
                <w:szCs w:val="16"/>
              </w:rPr>
              <w:t>实际交竣工核验项目完成公里数量（5分）</w:t>
            </w:r>
          </w:p>
        </w:tc>
        <w:tc>
          <w:tcPr>
            <w:tcW w:w="776" w:type="dxa"/>
            <w:gridSpan w:val="2"/>
            <w:tcBorders>
              <w:top w:val="nil"/>
              <w:left w:val="nil"/>
              <w:bottom w:val="single" w:color="000000" w:sz="4" w:space="0"/>
              <w:right w:val="single" w:color="000000" w:sz="4" w:space="0"/>
            </w:tcBorders>
            <w:noWrap/>
            <w:vAlign w:val="center"/>
          </w:tcPr>
          <w:p>
            <w:pPr>
              <w:jc w:val="center"/>
              <w:rPr>
                <w:rFonts w:hint="default" w:ascii="宋体" w:hAnsi="宋体" w:cs="宋体" w:eastAsiaTheme="minorEastAsia"/>
                <w:color w:val="000000"/>
                <w:sz w:val="16"/>
                <w:szCs w:val="16"/>
                <w:lang w:val="en-US" w:eastAsia="zh-CN"/>
              </w:rPr>
            </w:pPr>
            <w:r>
              <w:rPr>
                <w:rFonts w:hint="eastAsia" w:ascii="宋体" w:hAnsi="宋体" w:cs="宋体"/>
                <w:color w:val="000000"/>
                <w:sz w:val="16"/>
                <w:szCs w:val="16"/>
              </w:rPr>
              <w:t>≧</w:t>
            </w:r>
            <w:r>
              <w:rPr>
                <w:rFonts w:hint="eastAsia" w:ascii="宋体" w:hAnsi="宋体" w:cs="宋体"/>
                <w:color w:val="000000"/>
                <w:sz w:val="16"/>
                <w:szCs w:val="16"/>
                <w:lang w:val="en-US" w:eastAsia="zh-CN"/>
              </w:rPr>
              <w:t>673.15公里</w:t>
            </w:r>
          </w:p>
        </w:tc>
        <w:tc>
          <w:tcPr>
            <w:tcW w:w="1037" w:type="dxa"/>
            <w:gridSpan w:val="2"/>
            <w:tcBorders>
              <w:top w:val="nil"/>
              <w:left w:val="nil"/>
              <w:bottom w:val="single" w:color="000000" w:sz="4" w:space="0"/>
              <w:right w:val="single" w:color="000000" w:sz="4" w:space="0"/>
            </w:tcBorders>
            <w:noWrap/>
            <w:vAlign w:val="center"/>
          </w:tcPr>
          <w:p>
            <w:pPr>
              <w:jc w:val="center"/>
              <w:rPr>
                <w:rFonts w:hint="eastAsia" w:ascii="宋体" w:hAnsi="宋体" w:cs="宋体"/>
                <w:color w:val="000000"/>
                <w:sz w:val="16"/>
                <w:szCs w:val="16"/>
              </w:rPr>
            </w:pPr>
            <w:r>
              <w:rPr>
                <w:rFonts w:hint="eastAsia" w:ascii="宋体" w:hAnsi="宋体" w:cs="宋体"/>
                <w:color w:val="000000"/>
                <w:sz w:val="16"/>
                <w:szCs w:val="16"/>
              </w:rPr>
              <w:t>100.0%</w:t>
            </w:r>
          </w:p>
        </w:tc>
        <w:tc>
          <w:tcPr>
            <w:tcW w:w="1399" w:type="dxa"/>
            <w:tcBorders>
              <w:top w:val="nil"/>
              <w:left w:val="nil"/>
              <w:bottom w:val="single" w:color="000000" w:sz="4" w:space="0"/>
              <w:right w:val="single" w:color="000000" w:sz="4" w:space="0"/>
            </w:tcBorders>
            <w:noWrap/>
            <w:vAlign w:val="center"/>
          </w:tcPr>
          <w:p>
            <w:pPr>
              <w:jc w:val="center"/>
              <w:rPr>
                <w:rFonts w:hint="eastAsia" w:ascii="宋体" w:hAnsi="宋体" w:cs="宋体"/>
                <w:color w:val="000000"/>
                <w:sz w:val="16"/>
                <w:szCs w:val="16"/>
              </w:rPr>
            </w:pPr>
            <w:r>
              <w:rPr>
                <w:rFonts w:hint="eastAsia" w:ascii="宋体" w:hAnsi="宋体" w:cs="宋体"/>
                <w:color w:val="000000"/>
                <w:sz w:val="16"/>
                <w:szCs w:val="16"/>
              </w:rPr>
              <w:t>5</w:t>
            </w:r>
          </w:p>
        </w:tc>
      </w:tr>
      <w:tr>
        <w:tblPrEx>
          <w:tblLayout w:type="fixed"/>
          <w:tblCellMar>
            <w:top w:w="0" w:type="dxa"/>
            <w:left w:w="108" w:type="dxa"/>
            <w:bottom w:w="0" w:type="dxa"/>
            <w:right w:w="108" w:type="dxa"/>
          </w:tblCellMar>
        </w:tblPrEx>
        <w:trPr>
          <w:trHeight w:val="90" w:hRule="atLeast"/>
        </w:trPr>
        <w:tc>
          <w:tcPr>
            <w:tcW w:w="1233" w:type="dxa"/>
            <w:vMerge w:val="continue"/>
            <w:tcBorders>
              <w:top w:val="nil"/>
              <w:left w:val="single" w:color="auto" w:sz="4" w:space="0"/>
              <w:bottom w:val="single" w:color="000000" w:sz="4" w:space="0"/>
              <w:right w:val="nil"/>
            </w:tcBorders>
            <w:noWrap/>
            <w:vAlign w:val="center"/>
          </w:tcPr>
          <w:p>
            <w:pPr>
              <w:jc w:val="center"/>
              <w:rPr>
                <w:rFonts w:hint="eastAsia" w:ascii="宋体" w:hAnsi="宋体" w:cs="宋体"/>
                <w:color w:val="000000"/>
                <w:sz w:val="16"/>
                <w:szCs w:val="16"/>
              </w:rPr>
            </w:pPr>
          </w:p>
        </w:tc>
        <w:tc>
          <w:tcPr>
            <w:tcW w:w="1061" w:type="dxa"/>
            <w:vMerge w:val="continue"/>
            <w:tcBorders>
              <w:top w:val="nil"/>
              <w:left w:val="single" w:color="000000" w:sz="4" w:space="0"/>
              <w:bottom w:val="nil"/>
              <w:right w:val="single" w:color="000000" w:sz="4" w:space="0"/>
            </w:tcBorders>
            <w:noWrap/>
            <w:vAlign w:val="center"/>
          </w:tcPr>
          <w:p>
            <w:pPr>
              <w:jc w:val="center"/>
              <w:rPr>
                <w:rFonts w:hint="eastAsia" w:ascii="宋体" w:hAnsi="宋体" w:cs="宋体"/>
                <w:color w:val="000000"/>
                <w:sz w:val="16"/>
                <w:szCs w:val="16"/>
              </w:rPr>
            </w:pPr>
          </w:p>
        </w:tc>
        <w:tc>
          <w:tcPr>
            <w:tcW w:w="889" w:type="dxa"/>
            <w:vMerge w:val="continue"/>
            <w:tcBorders>
              <w:top w:val="nil"/>
              <w:left w:val="single" w:color="000000" w:sz="4" w:space="0"/>
              <w:bottom w:val="single" w:color="000000" w:sz="4" w:space="0"/>
              <w:right w:val="single" w:color="000000" w:sz="4" w:space="0"/>
            </w:tcBorders>
            <w:noWrap/>
            <w:vAlign w:val="center"/>
          </w:tcPr>
          <w:p>
            <w:pPr>
              <w:jc w:val="center"/>
              <w:rPr>
                <w:rFonts w:hint="eastAsia" w:ascii="宋体" w:hAnsi="宋体" w:cs="宋体"/>
                <w:color w:val="000000"/>
                <w:sz w:val="16"/>
                <w:szCs w:val="16"/>
              </w:rPr>
            </w:pPr>
          </w:p>
        </w:tc>
        <w:tc>
          <w:tcPr>
            <w:tcW w:w="2665" w:type="dxa"/>
            <w:gridSpan w:val="4"/>
            <w:tcBorders>
              <w:top w:val="single" w:color="000000" w:sz="4" w:space="0"/>
              <w:left w:val="single" w:color="000000" w:sz="4" w:space="0"/>
              <w:bottom w:val="single" w:color="auto" w:sz="4" w:space="0"/>
              <w:right w:val="single" w:color="000000" w:sz="4" w:space="0"/>
            </w:tcBorders>
            <w:noWrap/>
            <w:vAlign w:val="center"/>
          </w:tcPr>
          <w:p>
            <w:pPr>
              <w:jc w:val="center"/>
              <w:rPr>
                <w:rFonts w:hint="eastAsia" w:ascii="宋体" w:hAnsi="宋体" w:cs="宋体"/>
                <w:color w:val="000000"/>
                <w:sz w:val="16"/>
                <w:szCs w:val="16"/>
              </w:rPr>
            </w:pPr>
            <w:r>
              <w:rPr>
                <w:rFonts w:hint="eastAsia" w:ascii="宋体" w:hAnsi="宋体" w:cs="宋体"/>
                <w:color w:val="000000"/>
                <w:sz w:val="16"/>
                <w:szCs w:val="16"/>
              </w:rPr>
              <w:t>农村公路监督检查公里数（5分）</w:t>
            </w:r>
          </w:p>
        </w:tc>
        <w:tc>
          <w:tcPr>
            <w:tcW w:w="776" w:type="dxa"/>
            <w:gridSpan w:val="2"/>
            <w:tcBorders>
              <w:top w:val="nil"/>
              <w:left w:val="nil"/>
              <w:bottom w:val="single" w:color="auto" w:sz="4" w:space="0"/>
              <w:right w:val="single" w:color="000000" w:sz="4" w:space="0"/>
            </w:tcBorders>
            <w:noWrap/>
            <w:vAlign w:val="center"/>
          </w:tcPr>
          <w:p>
            <w:pPr>
              <w:jc w:val="center"/>
              <w:rPr>
                <w:rFonts w:hint="default" w:ascii="宋体" w:hAnsi="宋体" w:cs="宋体" w:eastAsiaTheme="minorEastAsia"/>
                <w:color w:val="000000"/>
                <w:sz w:val="16"/>
                <w:szCs w:val="16"/>
                <w:lang w:val="en-US" w:eastAsia="zh-CN"/>
              </w:rPr>
            </w:pPr>
            <w:r>
              <w:rPr>
                <w:rFonts w:hint="eastAsia" w:ascii="宋体" w:hAnsi="宋体" w:cs="宋体"/>
                <w:color w:val="000000"/>
                <w:sz w:val="16"/>
                <w:szCs w:val="16"/>
                <w:lang w:val="en-US" w:eastAsia="zh-CN"/>
              </w:rPr>
              <w:t>=34公里</w:t>
            </w:r>
          </w:p>
        </w:tc>
        <w:tc>
          <w:tcPr>
            <w:tcW w:w="1037" w:type="dxa"/>
            <w:gridSpan w:val="2"/>
            <w:tcBorders>
              <w:top w:val="nil"/>
              <w:left w:val="nil"/>
              <w:bottom w:val="single" w:color="auto" w:sz="4" w:space="0"/>
              <w:right w:val="single" w:color="000000" w:sz="4" w:space="0"/>
            </w:tcBorders>
            <w:noWrap/>
            <w:vAlign w:val="center"/>
          </w:tcPr>
          <w:p>
            <w:pPr>
              <w:jc w:val="center"/>
              <w:rPr>
                <w:rFonts w:hint="eastAsia" w:ascii="宋体" w:hAnsi="宋体" w:cs="宋体"/>
                <w:color w:val="000000"/>
                <w:sz w:val="16"/>
                <w:szCs w:val="16"/>
              </w:rPr>
            </w:pPr>
            <w:r>
              <w:rPr>
                <w:rFonts w:hint="eastAsia" w:ascii="宋体" w:hAnsi="宋体" w:cs="宋体"/>
                <w:color w:val="000000"/>
                <w:sz w:val="16"/>
                <w:szCs w:val="16"/>
              </w:rPr>
              <w:t>100.0%</w:t>
            </w:r>
          </w:p>
        </w:tc>
        <w:tc>
          <w:tcPr>
            <w:tcW w:w="1399" w:type="dxa"/>
            <w:tcBorders>
              <w:top w:val="nil"/>
              <w:left w:val="nil"/>
              <w:bottom w:val="single" w:color="auto" w:sz="4" w:space="0"/>
              <w:right w:val="single" w:color="000000" w:sz="4" w:space="0"/>
            </w:tcBorders>
            <w:noWrap/>
            <w:vAlign w:val="center"/>
          </w:tcPr>
          <w:p>
            <w:pPr>
              <w:jc w:val="center"/>
              <w:rPr>
                <w:rFonts w:hint="eastAsia" w:ascii="宋体" w:hAnsi="宋体" w:cs="宋体"/>
                <w:color w:val="000000"/>
                <w:sz w:val="16"/>
                <w:szCs w:val="16"/>
              </w:rPr>
            </w:pPr>
            <w:r>
              <w:rPr>
                <w:rFonts w:hint="eastAsia" w:ascii="宋体" w:hAnsi="宋体" w:cs="宋体"/>
                <w:color w:val="000000"/>
                <w:sz w:val="16"/>
                <w:szCs w:val="16"/>
              </w:rPr>
              <w:t>5</w:t>
            </w:r>
          </w:p>
        </w:tc>
      </w:tr>
      <w:tr>
        <w:tblPrEx>
          <w:tblLayout w:type="fixed"/>
          <w:tblCellMar>
            <w:top w:w="0" w:type="dxa"/>
            <w:left w:w="108" w:type="dxa"/>
            <w:bottom w:w="0" w:type="dxa"/>
            <w:right w:w="108" w:type="dxa"/>
          </w:tblCellMar>
        </w:tblPrEx>
        <w:trPr>
          <w:trHeight w:val="90" w:hRule="atLeast"/>
        </w:trPr>
        <w:tc>
          <w:tcPr>
            <w:tcW w:w="1233" w:type="dxa"/>
            <w:vMerge w:val="continue"/>
            <w:tcBorders>
              <w:top w:val="nil"/>
              <w:left w:val="single" w:color="auto" w:sz="4" w:space="0"/>
              <w:bottom w:val="single" w:color="000000" w:sz="4" w:space="0"/>
              <w:right w:val="nil"/>
            </w:tcBorders>
            <w:noWrap/>
            <w:vAlign w:val="center"/>
          </w:tcPr>
          <w:p>
            <w:pPr>
              <w:jc w:val="center"/>
              <w:rPr>
                <w:rFonts w:hint="eastAsia" w:ascii="宋体" w:hAnsi="宋体" w:cs="宋体"/>
                <w:color w:val="000000"/>
                <w:sz w:val="16"/>
                <w:szCs w:val="16"/>
              </w:rPr>
            </w:pPr>
          </w:p>
        </w:tc>
        <w:tc>
          <w:tcPr>
            <w:tcW w:w="1061" w:type="dxa"/>
            <w:vMerge w:val="continue"/>
            <w:tcBorders>
              <w:top w:val="nil"/>
              <w:left w:val="single" w:color="000000" w:sz="4" w:space="0"/>
              <w:bottom w:val="nil"/>
              <w:right w:val="single" w:color="000000" w:sz="4" w:space="0"/>
            </w:tcBorders>
            <w:noWrap/>
            <w:vAlign w:val="center"/>
          </w:tcPr>
          <w:p>
            <w:pPr>
              <w:jc w:val="center"/>
              <w:rPr>
                <w:rFonts w:hint="eastAsia" w:ascii="宋体" w:hAnsi="宋体" w:cs="宋体"/>
                <w:color w:val="000000"/>
                <w:sz w:val="16"/>
                <w:szCs w:val="16"/>
              </w:rPr>
            </w:pPr>
          </w:p>
        </w:tc>
        <w:tc>
          <w:tcPr>
            <w:tcW w:w="889" w:type="dxa"/>
            <w:tcBorders>
              <w:top w:val="nil"/>
              <w:left w:val="single" w:color="000000" w:sz="4" w:space="0"/>
              <w:bottom w:val="single" w:color="000000" w:sz="4" w:space="0"/>
              <w:right w:val="single" w:color="000000" w:sz="4" w:space="0"/>
            </w:tcBorders>
            <w:noWrap/>
            <w:vAlign w:val="center"/>
          </w:tcPr>
          <w:p>
            <w:pPr>
              <w:jc w:val="center"/>
              <w:rPr>
                <w:rFonts w:hint="eastAsia" w:ascii="宋体" w:hAnsi="宋体" w:cs="宋体"/>
                <w:color w:val="000000"/>
                <w:sz w:val="16"/>
                <w:szCs w:val="16"/>
              </w:rPr>
            </w:pPr>
            <w:r>
              <w:rPr>
                <w:rFonts w:hint="eastAsia" w:ascii="宋体" w:hAnsi="宋体" w:cs="宋体"/>
                <w:color w:val="000000"/>
                <w:sz w:val="16"/>
                <w:szCs w:val="16"/>
              </w:rPr>
              <w:t>质量指标</w:t>
            </w:r>
          </w:p>
        </w:tc>
        <w:tc>
          <w:tcPr>
            <w:tcW w:w="2665" w:type="dxa"/>
            <w:gridSpan w:val="4"/>
            <w:tcBorders>
              <w:top w:val="single" w:color="auto" w:sz="4" w:space="0"/>
              <w:left w:val="nil"/>
              <w:bottom w:val="single" w:color="000000" w:sz="4" w:space="0"/>
              <w:right w:val="single" w:color="000000" w:sz="4" w:space="0"/>
            </w:tcBorders>
            <w:noWrap/>
            <w:vAlign w:val="center"/>
          </w:tcPr>
          <w:p>
            <w:pPr>
              <w:jc w:val="center"/>
              <w:rPr>
                <w:rFonts w:hint="eastAsia" w:ascii="宋体" w:hAnsi="宋体" w:cs="宋体"/>
                <w:color w:val="000000"/>
                <w:sz w:val="16"/>
                <w:szCs w:val="16"/>
              </w:rPr>
            </w:pPr>
            <w:r>
              <w:rPr>
                <w:rFonts w:hint="eastAsia" w:ascii="宋体" w:hAnsi="宋体" w:cs="宋体"/>
                <w:color w:val="000000"/>
                <w:sz w:val="16"/>
                <w:szCs w:val="16"/>
              </w:rPr>
              <w:t>质量监督检查工作完成率（10分）</w:t>
            </w:r>
          </w:p>
        </w:tc>
        <w:tc>
          <w:tcPr>
            <w:tcW w:w="776" w:type="dxa"/>
            <w:gridSpan w:val="2"/>
            <w:tcBorders>
              <w:top w:val="single" w:color="auto" w:sz="4" w:space="0"/>
              <w:left w:val="nil"/>
              <w:bottom w:val="single" w:color="000000" w:sz="4" w:space="0"/>
              <w:right w:val="single" w:color="000000" w:sz="4" w:space="0"/>
            </w:tcBorders>
            <w:noWrap/>
            <w:vAlign w:val="center"/>
          </w:tcPr>
          <w:p>
            <w:pPr>
              <w:jc w:val="center"/>
              <w:rPr>
                <w:rFonts w:hint="eastAsia" w:ascii="宋体" w:hAnsi="宋体" w:cs="宋体"/>
                <w:color w:val="000000"/>
                <w:sz w:val="16"/>
                <w:szCs w:val="16"/>
              </w:rPr>
            </w:pPr>
            <w:r>
              <w:rPr>
                <w:rFonts w:hint="eastAsia" w:ascii="宋体" w:hAnsi="宋体" w:cs="宋体"/>
                <w:color w:val="000000"/>
                <w:sz w:val="16"/>
                <w:szCs w:val="16"/>
              </w:rPr>
              <w:t>≧</w:t>
            </w:r>
            <w:r>
              <w:rPr>
                <w:rFonts w:hint="eastAsia" w:ascii="宋体" w:hAnsi="宋体" w:cs="宋体"/>
                <w:color w:val="000000"/>
                <w:sz w:val="16"/>
                <w:szCs w:val="16"/>
                <w:lang w:val="en-US" w:eastAsia="zh-CN"/>
              </w:rPr>
              <w:t>90</w:t>
            </w:r>
            <w:r>
              <w:rPr>
                <w:rFonts w:hint="eastAsia" w:ascii="宋体" w:hAnsi="宋体" w:cs="宋体"/>
                <w:color w:val="000000"/>
                <w:sz w:val="16"/>
                <w:szCs w:val="16"/>
              </w:rPr>
              <w:t>.0%</w:t>
            </w:r>
          </w:p>
        </w:tc>
        <w:tc>
          <w:tcPr>
            <w:tcW w:w="1037" w:type="dxa"/>
            <w:gridSpan w:val="2"/>
            <w:tcBorders>
              <w:top w:val="single" w:color="auto" w:sz="4" w:space="0"/>
              <w:left w:val="nil"/>
              <w:bottom w:val="single" w:color="auto" w:sz="4" w:space="0"/>
              <w:right w:val="single" w:color="000000" w:sz="4" w:space="0"/>
            </w:tcBorders>
            <w:noWrap/>
            <w:vAlign w:val="center"/>
          </w:tcPr>
          <w:p>
            <w:pPr>
              <w:jc w:val="center"/>
              <w:rPr>
                <w:rFonts w:hint="eastAsia" w:ascii="宋体" w:hAnsi="宋体" w:cs="宋体"/>
                <w:color w:val="000000"/>
                <w:sz w:val="16"/>
                <w:szCs w:val="16"/>
              </w:rPr>
            </w:pPr>
            <w:r>
              <w:rPr>
                <w:rFonts w:hint="eastAsia" w:ascii="宋体" w:hAnsi="宋体" w:cs="宋体"/>
                <w:color w:val="000000"/>
                <w:sz w:val="16"/>
                <w:szCs w:val="16"/>
              </w:rPr>
              <w:t>100.0%</w:t>
            </w:r>
          </w:p>
        </w:tc>
        <w:tc>
          <w:tcPr>
            <w:tcW w:w="1399" w:type="dxa"/>
            <w:tcBorders>
              <w:top w:val="single" w:color="auto" w:sz="4" w:space="0"/>
              <w:left w:val="nil"/>
              <w:bottom w:val="single" w:color="auto" w:sz="4" w:space="0"/>
              <w:right w:val="single" w:color="000000" w:sz="4" w:space="0"/>
            </w:tcBorders>
            <w:noWrap/>
            <w:vAlign w:val="center"/>
          </w:tcPr>
          <w:p>
            <w:pPr>
              <w:jc w:val="center"/>
              <w:rPr>
                <w:rFonts w:hint="eastAsia" w:ascii="宋体" w:hAnsi="宋体" w:cs="宋体"/>
                <w:color w:val="000000"/>
                <w:sz w:val="16"/>
                <w:szCs w:val="16"/>
              </w:rPr>
            </w:pPr>
            <w:r>
              <w:rPr>
                <w:rFonts w:hint="eastAsia" w:ascii="宋体" w:hAnsi="宋体" w:cs="宋体"/>
                <w:color w:val="000000"/>
                <w:sz w:val="16"/>
                <w:szCs w:val="16"/>
              </w:rPr>
              <w:t>10</w:t>
            </w:r>
          </w:p>
        </w:tc>
      </w:tr>
      <w:tr>
        <w:tblPrEx>
          <w:tblLayout w:type="fixed"/>
          <w:tblCellMar>
            <w:top w:w="0" w:type="dxa"/>
            <w:left w:w="108" w:type="dxa"/>
            <w:bottom w:w="0" w:type="dxa"/>
            <w:right w:w="108" w:type="dxa"/>
          </w:tblCellMar>
        </w:tblPrEx>
        <w:trPr>
          <w:trHeight w:val="90" w:hRule="atLeast"/>
        </w:trPr>
        <w:tc>
          <w:tcPr>
            <w:tcW w:w="1233" w:type="dxa"/>
            <w:vMerge w:val="continue"/>
            <w:tcBorders>
              <w:top w:val="nil"/>
              <w:left w:val="single" w:color="auto" w:sz="4" w:space="0"/>
              <w:bottom w:val="single" w:color="000000" w:sz="4" w:space="0"/>
              <w:right w:val="nil"/>
            </w:tcBorders>
            <w:noWrap/>
            <w:vAlign w:val="center"/>
          </w:tcPr>
          <w:p>
            <w:pPr>
              <w:jc w:val="center"/>
              <w:rPr>
                <w:rFonts w:hint="eastAsia" w:ascii="宋体" w:hAnsi="宋体" w:cs="宋体"/>
                <w:color w:val="000000"/>
                <w:sz w:val="16"/>
                <w:szCs w:val="16"/>
              </w:rPr>
            </w:pPr>
          </w:p>
        </w:tc>
        <w:tc>
          <w:tcPr>
            <w:tcW w:w="1061" w:type="dxa"/>
            <w:vMerge w:val="continue"/>
            <w:tcBorders>
              <w:top w:val="nil"/>
              <w:left w:val="single" w:color="000000" w:sz="4" w:space="0"/>
              <w:bottom w:val="nil"/>
              <w:right w:val="single" w:color="000000" w:sz="4" w:space="0"/>
            </w:tcBorders>
            <w:noWrap/>
            <w:vAlign w:val="center"/>
          </w:tcPr>
          <w:p>
            <w:pPr>
              <w:jc w:val="center"/>
              <w:rPr>
                <w:rFonts w:hint="eastAsia" w:ascii="宋体" w:hAnsi="宋体" w:cs="宋体"/>
                <w:color w:val="000000"/>
                <w:sz w:val="16"/>
                <w:szCs w:val="16"/>
              </w:rPr>
            </w:pPr>
          </w:p>
        </w:tc>
        <w:tc>
          <w:tcPr>
            <w:tcW w:w="889" w:type="dxa"/>
            <w:tcBorders>
              <w:top w:val="nil"/>
              <w:left w:val="single" w:color="000000" w:sz="4" w:space="0"/>
              <w:bottom w:val="single" w:color="000000" w:sz="4" w:space="0"/>
              <w:right w:val="single" w:color="000000" w:sz="4" w:space="0"/>
            </w:tcBorders>
            <w:noWrap/>
            <w:vAlign w:val="center"/>
          </w:tcPr>
          <w:p>
            <w:pPr>
              <w:jc w:val="center"/>
              <w:rPr>
                <w:rFonts w:hint="eastAsia" w:ascii="宋体" w:hAnsi="宋体" w:cs="宋体"/>
                <w:color w:val="000000"/>
                <w:sz w:val="16"/>
                <w:szCs w:val="16"/>
              </w:rPr>
            </w:pPr>
            <w:r>
              <w:rPr>
                <w:rFonts w:hint="eastAsia" w:ascii="宋体" w:hAnsi="宋体" w:cs="宋体"/>
                <w:color w:val="000000"/>
                <w:sz w:val="16"/>
                <w:szCs w:val="16"/>
              </w:rPr>
              <w:t>时效指标</w:t>
            </w:r>
          </w:p>
        </w:tc>
        <w:tc>
          <w:tcPr>
            <w:tcW w:w="2665" w:type="dxa"/>
            <w:gridSpan w:val="4"/>
            <w:tcBorders>
              <w:top w:val="single" w:color="000000" w:sz="4" w:space="0"/>
              <w:left w:val="nil"/>
              <w:bottom w:val="single" w:color="000000" w:sz="4" w:space="0"/>
              <w:right w:val="nil"/>
            </w:tcBorders>
            <w:noWrap/>
            <w:vAlign w:val="center"/>
          </w:tcPr>
          <w:p>
            <w:pPr>
              <w:jc w:val="center"/>
              <w:rPr>
                <w:rFonts w:hint="eastAsia" w:ascii="宋体" w:hAnsi="宋体" w:cs="宋体"/>
                <w:color w:val="000000"/>
                <w:sz w:val="16"/>
                <w:szCs w:val="16"/>
              </w:rPr>
            </w:pPr>
            <w:r>
              <w:rPr>
                <w:rFonts w:hint="eastAsia" w:ascii="宋体" w:hAnsi="宋体" w:cs="宋体"/>
                <w:color w:val="000000"/>
                <w:sz w:val="16"/>
                <w:szCs w:val="16"/>
              </w:rPr>
              <w:t>检测报告提交及时率（10分）</w:t>
            </w:r>
          </w:p>
        </w:tc>
        <w:tc>
          <w:tcPr>
            <w:tcW w:w="776" w:type="dxa"/>
            <w:gridSpan w:val="2"/>
            <w:tcBorders>
              <w:top w:val="nil"/>
              <w:left w:val="single" w:color="auto" w:sz="4" w:space="0"/>
              <w:bottom w:val="single" w:color="auto" w:sz="4" w:space="0"/>
              <w:right w:val="single" w:color="auto" w:sz="4" w:space="0"/>
            </w:tcBorders>
            <w:noWrap/>
            <w:vAlign w:val="center"/>
          </w:tcPr>
          <w:p>
            <w:pPr>
              <w:jc w:val="center"/>
              <w:rPr>
                <w:rFonts w:hint="eastAsia" w:ascii="宋体" w:hAnsi="宋体" w:cs="宋体"/>
                <w:color w:val="000000"/>
                <w:sz w:val="16"/>
                <w:szCs w:val="16"/>
              </w:rPr>
            </w:pPr>
            <w:r>
              <w:rPr>
                <w:rFonts w:hint="eastAsia" w:ascii="宋体" w:hAnsi="宋体" w:cs="宋体"/>
                <w:color w:val="000000"/>
                <w:sz w:val="16"/>
                <w:szCs w:val="16"/>
              </w:rPr>
              <w:t>≧</w:t>
            </w:r>
            <w:r>
              <w:rPr>
                <w:rFonts w:hint="eastAsia" w:ascii="宋体" w:hAnsi="宋体" w:cs="宋体"/>
                <w:color w:val="000000"/>
                <w:sz w:val="16"/>
                <w:szCs w:val="16"/>
                <w:lang w:val="en-US" w:eastAsia="zh-CN"/>
              </w:rPr>
              <w:t>9</w:t>
            </w:r>
            <w:r>
              <w:rPr>
                <w:rFonts w:hint="eastAsia" w:ascii="宋体" w:hAnsi="宋体" w:cs="宋体"/>
                <w:color w:val="000000"/>
                <w:sz w:val="16"/>
                <w:szCs w:val="16"/>
              </w:rPr>
              <w:t>5.0%</w:t>
            </w:r>
          </w:p>
        </w:tc>
        <w:tc>
          <w:tcPr>
            <w:tcW w:w="1037" w:type="dxa"/>
            <w:gridSpan w:val="2"/>
            <w:tcBorders>
              <w:top w:val="single" w:color="auto" w:sz="4" w:space="0"/>
              <w:left w:val="nil"/>
              <w:bottom w:val="single" w:color="auto" w:sz="4" w:space="0"/>
              <w:right w:val="single" w:color="auto" w:sz="4" w:space="0"/>
            </w:tcBorders>
            <w:noWrap/>
            <w:vAlign w:val="center"/>
          </w:tcPr>
          <w:p>
            <w:pPr>
              <w:jc w:val="center"/>
              <w:rPr>
                <w:rFonts w:hint="eastAsia" w:ascii="宋体" w:hAnsi="宋体" w:cs="宋体"/>
                <w:color w:val="000000"/>
                <w:sz w:val="16"/>
                <w:szCs w:val="16"/>
              </w:rPr>
            </w:pPr>
            <w:r>
              <w:rPr>
                <w:rFonts w:hint="eastAsia" w:ascii="宋体" w:hAnsi="宋体" w:cs="宋体"/>
                <w:color w:val="000000"/>
                <w:sz w:val="16"/>
                <w:szCs w:val="16"/>
              </w:rPr>
              <w:t>100.0%</w:t>
            </w:r>
          </w:p>
        </w:tc>
        <w:tc>
          <w:tcPr>
            <w:tcW w:w="1399" w:type="dxa"/>
            <w:tcBorders>
              <w:top w:val="single" w:color="auto" w:sz="4" w:space="0"/>
              <w:left w:val="nil"/>
              <w:bottom w:val="single" w:color="auto" w:sz="4" w:space="0"/>
              <w:right w:val="single" w:color="auto" w:sz="4" w:space="0"/>
            </w:tcBorders>
            <w:noWrap/>
            <w:vAlign w:val="center"/>
          </w:tcPr>
          <w:p>
            <w:pPr>
              <w:jc w:val="center"/>
              <w:rPr>
                <w:rFonts w:hint="eastAsia" w:ascii="宋体" w:hAnsi="宋体" w:cs="宋体"/>
                <w:color w:val="000000"/>
                <w:sz w:val="16"/>
                <w:szCs w:val="16"/>
              </w:rPr>
            </w:pPr>
            <w:r>
              <w:rPr>
                <w:rFonts w:hint="eastAsia" w:ascii="宋体" w:hAnsi="宋体" w:cs="宋体"/>
                <w:color w:val="000000"/>
                <w:sz w:val="16"/>
                <w:szCs w:val="16"/>
              </w:rPr>
              <w:t>10</w:t>
            </w:r>
          </w:p>
        </w:tc>
      </w:tr>
      <w:tr>
        <w:tblPrEx>
          <w:tblLayout w:type="fixed"/>
          <w:tblCellMar>
            <w:top w:w="0" w:type="dxa"/>
            <w:left w:w="108" w:type="dxa"/>
            <w:bottom w:w="0" w:type="dxa"/>
            <w:right w:w="108" w:type="dxa"/>
          </w:tblCellMar>
        </w:tblPrEx>
        <w:trPr>
          <w:trHeight w:val="90" w:hRule="atLeast"/>
        </w:trPr>
        <w:tc>
          <w:tcPr>
            <w:tcW w:w="1233" w:type="dxa"/>
            <w:vMerge w:val="continue"/>
            <w:tcBorders>
              <w:top w:val="nil"/>
              <w:left w:val="single" w:color="auto" w:sz="4" w:space="0"/>
              <w:bottom w:val="single" w:color="000000" w:sz="4" w:space="0"/>
              <w:right w:val="nil"/>
            </w:tcBorders>
            <w:noWrap/>
            <w:vAlign w:val="center"/>
          </w:tcPr>
          <w:p>
            <w:pPr>
              <w:jc w:val="center"/>
              <w:rPr>
                <w:rFonts w:hint="eastAsia" w:ascii="宋体" w:hAnsi="宋体" w:cs="宋体"/>
                <w:color w:val="000000"/>
                <w:sz w:val="16"/>
                <w:szCs w:val="16"/>
              </w:rPr>
            </w:pPr>
          </w:p>
        </w:tc>
        <w:tc>
          <w:tcPr>
            <w:tcW w:w="1061" w:type="dxa"/>
            <w:vMerge w:val="continue"/>
            <w:tcBorders>
              <w:top w:val="nil"/>
              <w:left w:val="single" w:color="000000" w:sz="4" w:space="0"/>
              <w:bottom w:val="nil"/>
              <w:right w:val="single" w:color="000000" w:sz="4" w:space="0"/>
            </w:tcBorders>
            <w:noWrap/>
            <w:vAlign w:val="center"/>
          </w:tcPr>
          <w:p>
            <w:pPr>
              <w:jc w:val="center"/>
              <w:rPr>
                <w:rFonts w:hint="eastAsia" w:ascii="宋体" w:hAnsi="宋体" w:cs="宋体"/>
                <w:color w:val="000000"/>
                <w:sz w:val="16"/>
                <w:szCs w:val="16"/>
              </w:rPr>
            </w:pPr>
          </w:p>
        </w:tc>
        <w:tc>
          <w:tcPr>
            <w:tcW w:w="889" w:type="dxa"/>
            <w:tcBorders>
              <w:top w:val="nil"/>
              <w:left w:val="single" w:color="000000" w:sz="4" w:space="0"/>
              <w:bottom w:val="single" w:color="000000" w:sz="4" w:space="0"/>
              <w:right w:val="single" w:color="000000" w:sz="4" w:space="0"/>
            </w:tcBorders>
            <w:noWrap/>
            <w:vAlign w:val="center"/>
          </w:tcPr>
          <w:p>
            <w:pPr>
              <w:jc w:val="center"/>
              <w:rPr>
                <w:rFonts w:hint="eastAsia" w:ascii="宋体" w:hAnsi="宋体" w:cs="宋体"/>
                <w:color w:val="000000"/>
                <w:sz w:val="16"/>
                <w:szCs w:val="16"/>
              </w:rPr>
            </w:pPr>
            <w:r>
              <w:rPr>
                <w:rFonts w:hint="eastAsia" w:ascii="宋体" w:hAnsi="宋体" w:cs="宋体"/>
                <w:color w:val="000000"/>
                <w:sz w:val="16"/>
                <w:szCs w:val="16"/>
              </w:rPr>
              <w:t>成本指标</w:t>
            </w:r>
          </w:p>
        </w:tc>
        <w:tc>
          <w:tcPr>
            <w:tcW w:w="2665" w:type="dxa"/>
            <w:gridSpan w:val="4"/>
            <w:tcBorders>
              <w:top w:val="single" w:color="000000" w:sz="4" w:space="0"/>
              <w:left w:val="nil"/>
              <w:bottom w:val="single" w:color="000000" w:sz="4" w:space="0"/>
              <w:right w:val="nil"/>
            </w:tcBorders>
            <w:noWrap/>
            <w:vAlign w:val="center"/>
          </w:tcPr>
          <w:p>
            <w:pPr>
              <w:jc w:val="center"/>
              <w:rPr>
                <w:rFonts w:hint="eastAsia" w:ascii="宋体" w:hAnsi="宋体" w:cs="宋体"/>
                <w:color w:val="000000"/>
                <w:sz w:val="16"/>
                <w:szCs w:val="16"/>
              </w:rPr>
            </w:pPr>
            <w:r>
              <w:rPr>
                <w:rFonts w:hint="eastAsia" w:ascii="宋体" w:hAnsi="宋体" w:cs="宋体"/>
                <w:color w:val="000000"/>
                <w:sz w:val="16"/>
                <w:szCs w:val="16"/>
              </w:rPr>
              <w:t>项目控制</w:t>
            </w:r>
            <w:r>
              <w:rPr>
                <w:rFonts w:hint="eastAsia" w:ascii="宋体" w:hAnsi="宋体" w:cs="宋体"/>
                <w:color w:val="000000"/>
                <w:sz w:val="16"/>
                <w:szCs w:val="16"/>
                <w:lang w:val="en-US" w:eastAsia="zh-CN"/>
              </w:rPr>
              <w:t>总成本</w:t>
            </w:r>
            <w:r>
              <w:rPr>
                <w:rFonts w:hint="eastAsia" w:ascii="宋体" w:hAnsi="宋体" w:cs="宋体"/>
                <w:color w:val="000000"/>
                <w:sz w:val="16"/>
                <w:szCs w:val="16"/>
              </w:rPr>
              <w:t>（10分）</w:t>
            </w:r>
          </w:p>
        </w:tc>
        <w:tc>
          <w:tcPr>
            <w:tcW w:w="776" w:type="dxa"/>
            <w:gridSpan w:val="2"/>
            <w:tcBorders>
              <w:top w:val="nil"/>
              <w:left w:val="single" w:color="auto" w:sz="4" w:space="0"/>
              <w:bottom w:val="single" w:color="auto" w:sz="4" w:space="0"/>
              <w:right w:val="single" w:color="auto" w:sz="4" w:space="0"/>
            </w:tcBorders>
            <w:noWrap/>
            <w:vAlign w:val="center"/>
          </w:tcPr>
          <w:p>
            <w:pPr>
              <w:jc w:val="center"/>
              <w:rPr>
                <w:rFonts w:hint="eastAsia" w:ascii="宋体" w:hAnsi="宋体" w:cs="宋体"/>
                <w:color w:val="000000"/>
                <w:sz w:val="16"/>
                <w:szCs w:val="16"/>
              </w:rPr>
            </w:pPr>
            <w:r>
              <w:rPr>
                <w:rFonts w:hint="eastAsia" w:ascii="宋体" w:hAnsi="宋体" w:cs="宋体"/>
                <w:color w:val="000000"/>
                <w:sz w:val="16"/>
                <w:szCs w:val="16"/>
              </w:rPr>
              <w:t>≤</w:t>
            </w:r>
            <w:r>
              <w:rPr>
                <w:rFonts w:hint="eastAsia" w:ascii="宋体" w:hAnsi="宋体" w:cs="宋体"/>
                <w:color w:val="000000"/>
                <w:sz w:val="16"/>
                <w:szCs w:val="16"/>
                <w:lang w:val="en-US" w:eastAsia="zh-CN"/>
              </w:rPr>
              <w:t>6</w:t>
            </w:r>
            <w:r>
              <w:rPr>
                <w:rFonts w:hint="eastAsia" w:ascii="宋体" w:hAnsi="宋体" w:cs="宋体"/>
                <w:color w:val="000000"/>
                <w:sz w:val="16"/>
                <w:szCs w:val="16"/>
              </w:rPr>
              <w:t>0</w:t>
            </w:r>
            <w:r>
              <w:rPr>
                <w:rFonts w:hint="eastAsia" w:ascii="宋体" w:hAnsi="宋体" w:cs="宋体"/>
                <w:color w:val="000000"/>
                <w:sz w:val="16"/>
                <w:szCs w:val="16"/>
                <w:lang w:val="en-US" w:eastAsia="zh-CN"/>
              </w:rPr>
              <w:t>0</w:t>
            </w:r>
            <w:r>
              <w:rPr>
                <w:rFonts w:hint="eastAsia" w:ascii="宋体" w:hAnsi="宋体" w:cs="宋体"/>
                <w:color w:val="000000"/>
                <w:sz w:val="16"/>
                <w:szCs w:val="16"/>
              </w:rPr>
              <w:t>万元</w:t>
            </w:r>
          </w:p>
        </w:tc>
        <w:tc>
          <w:tcPr>
            <w:tcW w:w="1037" w:type="dxa"/>
            <w:gridSpan w:val="2"/>
            <w:tcBorders>
              <w:top w:val="nil"/>
              <w:left w:val="nil"/>
              <w:bottom w:val="single" w:color="auto" w:sz="4" w:space="0"/>
              <w:right w:val="single" w:color="auto" w:sz="4" w:space="0"/>
            </w:tcBorders>
            <w:noWrap/>
            <w:vAlign w:val="center"/>
          </w:tcPr>
          <w:p>
            <w:pPr>
              <w:jc w:val="center"/>
              <w:rPr>
                <w:rFonts w:hint="eastAsia" w:ascii="宋体" w:hAnsi="宋体" w:cs="宋体"/>
                <w:color w:val="000000"/>
                <w:sz w:val="16"/>
                <w:szCs w:val="16"/>
              </w:rPr>
            </w:pPr>
            <w:r>
              <w:rPr>
                <w:rFonts w:hint="eastAsia" w:ascii="宋体" w:hAnsi="宋体" w:cs="宋体"/>
                <w:color w:val="000000"/>
                <w:sz w:val="16"/>
                <w:szCs w:val="16"/>
              </w:rPr>
              <w:t>100.0%</w:t>
            </w:r>
          </w:p>
        </w:tc>
        <w:tc>
          <w:tcPr>
            <w:tcW w:w="1399" w:type="dxa"/>
            <w:tcBorders>
              <w:top w:val="nil"/>
              <w:left w:val="nil"/>
              <w:bottom w:val="single" w:color="auto" w:sz="4" w:space="0"/>
              <w:right w:val="single" w:color="auto" w:sz="4" w:space="0"/>
            </w:tcBorders>
            <w:noWrap/>
            <w:vAlign w:val="center"/>
          </w:tcPr>
          <w:p>
            <w:pPr>
              <w:jc w:val="center"/>
              <w:rPr>
                <w:rFonts w:hint="eastAsia" w:ascii="宋体" w:hAnsi="宋体" w:cs="宋体"/>
                <w:color w:val="000000"/>
                <w:sz w:val="16"/>
                <w:szCs w:val="16"/>
              </w:rPr>
            </w:pPr>
            <w:r>
              <w:rPr>
                <w:rFonts w:hint="eastAsia" w:ascii="宋体" w:hAnsi="宋体" w:cs="宋体"/>
                <w:color w:val="000000"/>
                <w:sz w:val="16"/>
                <w:szCs w:val="16"/>
              </w:rPr>
              <w:t>10</w:t>
            </w:r>
          </w:p>
        </w:tc>
      </w:tr>
      <w:tr>
        <w:tblPrEx>
          <w:tblLayout w:type="fixed"/>
          <w:tblCellMar>
            <w:top w:w="0" w:type="dxa"/>
            <w:left w:w="108" w:type="dxa"/>
            <w:bottom w:w="0" w:type="dxa"/>
            <w:right w:w="108" w:type="dxa"/>
          </w:tblCellMar>
        </w:tblPrEx>
        <w:trPr>
          <w:trHeight w:val="90" w:hRule="atLeast"/>
        </w:trPr>
        <w:tc>
          <w:tcPr>
            <w:tcW w:w="1233" w:type="dxa"/>
            <w:vMerge w:val="continue"/>
            <w:tcBorders>
              <w:top w:val="nil"/>
              <w:left w:val="single" w:color="auto" w:sz="4" w:space="0"/>
              <w:bottom w:val="single" w:color="000000" w:sz="4" w:space="0"/>
              <w:right w:val="nil"/>
            </w:tcBorders>
            <w:noWrap/>
            <w:vAlign w:val="center"/>
          </w:tcPr>
          <w:p>
            <w:pPr>
              <w:jc w:val="center"/>
              <w:rPr>
                <w:rFonts w:hint="eastAsia" w:ascii="宋体" w:hAnsi="宋体" w:cs="宋体"/>
                <w:color w:val="000000"/>
                <w:sz w:val="16"/>
                <w:szCs w:val="16"/>
              </w:rPr>
            </w:pPr>
          </w:p>
        </w:tc>
        <w:tc>
          <w:tcPr>
            <w:tcW w:w="1061" w:type="dxa"/>
            <w:tcBorders>
              <w:top w:val="single" w:color="auto" w:sz="4" w:space="0"/>
              <w:left w:val="single" w:color="auto" w:sz="4" w:space="0"/>
              <w:bottom w:val="single" w:color="auto" w:sz="4" w:space="0"/>
              <w:right w:val="single" w:color="auto" w:sz="4" w:space="0"/>
            </w:tcBorders>
            <w:noWrap/>
            <w:vAlign w:val="center"/>
          </w:tcPr>
          <w:p>
            <w:pPr>
              <w:jc w:val="center"/>
              <w:rPr>
                <w:rFonts w:hint="eastAsia" w:ascii="宋体" w:hAnsi="宋体" w:cs="宋体"/>
                <w:color w:val="000000"/>
                <w:sz w:val="16"/>
                <w:szCs w:val="16"/>
              </w:rPr>
            </w:pPr>
            <w:r>
              <w:rPr>
                <w:rFonts w:hint="eastAsia" w:ascii="宋体" w:hAnsi="宋体" w:cs="宋体"/>
                <w:color w:val="000000"/>
                <w:sz w:val="16"/>
                <w:szCs w:val="16"/>
              </w:rPr>
              <w:t>预算执行率指标（10分）</w:t>
            </w:r>
          </w:p>
        </w:tc>
        <w:tc>
          <w:tcPr>
            <w:tcW w:w="889" w:type="dxa"/>
            <w:tcBorders>
              <w:top w:val="nil"/>
              <w:left w:val="nil"/>
              <w:bottom w:val="single" w:color="000000" w:sz="4" w:space="0"/>
              <w:right w:val="single" w:color="000000" w:sz="4" w:space="0"/>
            </w:tcBorders>
            <w:noWrap/>
            <w:vAlign w:val="center"/>
          </w:tcPr>
          <w:p>
            <w:pPr>
              <w:jc w:val="center"/>
              <w:rPr>
                <w:rFonts w:hint="eastAsia" w:ascii="宋体" w:hAnsi="宋体" w:cs="宋体"/>
                <w:color w:val="000000"/>
                <w:sz w:val="16"/>
                <w:szCs w:val="16"/>
              </w:rPr>
            </w:pPr>
            <w:r>
              <w:rPr>
                <w:rFonts w:hint="eastAsia" w:ascii="宋体" w:hAnsi="宋体" w:cs="宋体"/>
                <w:color w:val="000000"/>
                <w:sz w:val="16"/>
                <w:szCs w:val="16"/>
              </w:rPr>
              <w:t>预算执行率</w:t>
            </w:r>
          </w:p>
        </w:tc>
        <w:tc>
          <w:tcPr>
            <w:tcW w:w="2665" w:type="dxa"/>
            <w:gridSpan w:val="4"/>
            <w:tcBorders>
              <w:top w:val="single" w:color="000000" w:sz="4" w:space="0"/>
              <w:left w:val="nil"/>
              <w:bottom w:val="single" w:color="000000" w:sz="4" w:space="0"/>
              <w:right w:val="nil"/>
            </w:tcBorders>
            <w:noWrap/>
            <w:vAlign w:val="center"/>
          </w:tcPr>
          <w:p>
            <w:pPr>
              <w:jc w:val="center"/>
              <w:rPr>
                <w:rFonts w:hint="eastAsia" w:ascii="宋体" w:hAnsi="宋体" w:cs="宋体"/>
                <w:color w:val="000000"/>
                <w:sz w:val="16"/>
                <w:szCs w:val="16"/>
              </w:rPr>
            </w:pPr>
            <w:r>
              <w:rPr>
                <w:rFonts w:hint="eastAsia" w:ascii="宋体" w:hAnsi="宋体" w:cs="宋体"/>
                <w:color w:val="000000"/>
                <w:sz w:val="16"/>
                <w:szCs w:val="16"/>
              </w:rPr>
              <w:t>预算支出进度符合性（10分）</w:t>
            </w:r>
          </w:p>
        </w:tc>
        <w:tc>
          <w:tcPr>
            <w:tcW w:w="776" w:type="dxa"/>
            <w:gridSpan w:val="2"/>
            <w:tcBorders>
              <w:top w:val="nil"/>
              <w:left w:val="single" w:color="auto" w:sz="4" w:space="0"/>
              <w:bottom w:val="single" w:color="auto" w:sz="4" w:space="0"/>
              <w:right w:val="single" w:color="auto" w:sz="4" w:space="0"/>
            </w:tcBorders>
            <w:noWrap/>
            <w:vAlign w:val="center"/>
          </w:tcPr>
          <w:p>
            <w:pPr>
              <w:jc w:val="center"/>
              <w:rPr>
                <w:rFonts w:hint="eastAsia" w:ascii="宋体" w:hAnsi="宋体" w:cs="宋体"/>
                <w:color w:val="000000"/>
                <w:sz w:val="16"/>
                <w:szCs w:val="16"/>
              </w:rPr>
            </w:pPr>
            <w:r>
              <w:rPr>
                <w:rFonts w:hint="eastAsia" w:ascii="宋体" w:hAnsi="宋体" w:cs="宋体"/>
                <w:color w:val="000000"/>
                <w:sz w:val="16"/>
                <w:szCs w:val="16"/>
              </w:rPr>
              <w:t>100.0%</w:t>
            </w:r>
          </w:p>
        </w:tc>
        <w:tc>
          <w:tcPr>
            <w:tcW w:w="1037" w:type="dxa"/>
            <w:gridSpan w:val="2"/>
            <w:tcBorders>
              <w:top w:val="nil"/>
              <w:left w:val="nil"/>
              <w:bottom w:val="single" w:color="auto" w:sz="4" w:space="0"/>
              <w:right w:val="single" w:color="auto" w:sz="4" w:space="0"/>
            </w:tcBorders>
            <w:noWrap/>
            <w:vAlign w:val="center"/>
          </w:tcPr>
          <w:p>
            <w:pPr>
              <w:jc w:val="center"/>
              <w:rPr>
                <w:rFonts w:hint="eastAsia" w:ascii="宋体" w:hAnsi="宋体" w:cs="宋体"/>
                <w:color w:val="000000"/>
                <w:sz w:val="16"/>
                <w:szCs w:val="16"/>
              </w:rPr>
            </w:pPr>
            <w:r>
              <w:rPr>
                <w:rFonts w:hint="eastAsia" w:ascii="宋体" w:hAnsi="宋体" w:cs="宋体"/>
                <w:color w:val="000000"/>
                <w:sz w:val="16"/>
                <w:szCs w:val="16"/>
                <w:lang w:val="en-US" w:eastAsia="zh-CN"/>
              </w:rPr>
              <w:t>100</w:t>
            </w:r>
            <w:r>
              <w:rPr>
                <w:rFonts w:hint="eastAsia" w:ascii="宋体" w:hAnsi="宋体" w:cs="宋体"/>
                <w:color w:val="000000"/>
                <w:sz w:val="16"/>
                <w:szCs w:val="16"/>
              </w:rPr>
              <w:t>.0%</w:t>
            </w:r>
          </w:p>
        </w:tc>
        <w:tc>
          <w:tcPr>
            <w:tcW w:w="1399" w:type="dxa"/>
            <w:tcBorders>
              <w:top w:val="nil"/>
              <w:left w:val="nil"/>
              <w:bottom w:val="single" w:color="auto" w:sz="4" w:space="0"/>
              <w:right w:val="single" w:color="auto" w:sz="4" w:space="0"/>
            </w:tcBorders>
            <w:noWrap/>
            <w:vAlign w:val="center"/>
          </w:tcPr>
          <w:p>
            <w:pPr>
              <w:jc w:val="center"/>
              <w:rPr>
                <w:rFonts w:hint="default" w:ascii="宋体" w:hAnsi="宋体" w:cs="宋体"/>
                <w:color w:val="000000"/>
                <w:sz w:val="16"/>
                <w:szCs w:val="16"/>
                <w:lang w:val="en-US" w:eastAsia="zh-CN"/>
              </w:rPr>
            </w:pPr>
            <w:r>
              <w:rPr>
                <w:rFonts w:hint="eastAsia" w:ascii="宋体" w:hAnsi="宋体" w:cs="宋体"/>
                <w:color w:val="000000"/>
                <w:sz w:val="16"/>
                <w:szCs w:val="16"/>
                <w:lang w:val="en-US" w:eastAsia="zh-CN"/>
              </w:rPr>
              <w:t>10</w:t>
            </w:r>
          </w:p>
        </w:tc>
      </w:tr>
      <w:tr>
        <w:tblPrEx>
          <w:tblLayout w:type="fixed"/>
          <w:tblCellMar>
            <w:top w:w="0" w:type="dxa"/>
            <w:left w:w="108" w:type="dxa"/>
            <w:bottom w:w="0" w:type="dxa"/>
            <w:right w:w="108" w:type="dxa"/>
          </w:tblCellMar>
        </w:tblPrEx>
        <w:trPr>
          <w:trHeight w:val="90" w:hRule="atLeast"/>
        </w:trPr>
        <w:tc>
          <w:tcPr>
            <w:tcW w:w="1233" w:type="dxa"/>
            <w:vMerge w:val="continue"/>
            <w:tcBorders>
              <w:top w:val="nil"/>
              <w:left w:val="single" w:color="auto" w:sz="4" w:space="0"/>
              <w:bottom w:val="single" w:color="000000" w:sz="4" w:space="0"/>
              <w:right w:val="nil"/>
            </w:tcBorders>
            <w:noWrap/>
            <w:vAlign w:val="center"/>
          </w:tcPr>
          <w:p>
            <w:pPr>
              <w:jc w:val="center"/>
              <w:rPr>
                <w:rFonts w:hint="eastAsia" w:ascii="宋体" w:hAnsi="宋体" w:cs="宋体"/>
                <w:color w:val="000000"/>
                <w:sz w:val="16"/>
                <w:szCs w:val="16"/>
              </w:rPr>
            </w:pPr>
          </w:p>
        </w:tc>
        <w:tc>
          <w:tcPr>
            <w:tcW w:w="1061" w:type="dxa"/>
            <w:tcBorders>
              <w:top w:val="nil"/>
              <w:left w:val="single" w:color="000000" w:sz="4" w:space="0"/>
              <w:bottom w:val="nil"/>
              <w:right w:val="single" w:color="000000" w:sz="4" w:space="0"/>
            </w:tcBorders>
            <w:noWrap/>
            <w:vAlign w:val="center"/>
          </w:tcPr>
          <w:p>
            <w:pPr>
              <w:jc w:val="center"/>
              <w:rPr>
                <w:rFonts w:hint="eastAsia" w:ascii="宋体" w:hAnsi="宋体" w:cs="宋体"/>
                <w:color w:val="000000"/>
                <w:sz w:val="16"/>
                <w:szCs w:val="16"/>
              </w:rPr>
            </w:pPr>
            <w:r>
              <w:rPr>
                <w:rFonts w:hint="eastAsia" w:ascii="宋体" w:hAnsi="宋体" w:cs="宋体"/>
                <w:color w:val="000000"/>
                <w:sz w:val="16"/>
                <w:szCs w:val="16"/>
              </w:rPr>
              <w:t>效益指标（40分）</w:t>
            </w:r>
          </w:p>
        </w:tc>
        <w:tc>
          <w:tcPr>
            <w:tcW w:w="889" w:type="dxa"/>
            <w:tcBorders>
              <w:top w:val="nil"/>
              <w:left w:val="nil"/>
              <w:bottom w:val="single" w:color="000000" w:sz="4" w:space="0"/>
              <w:right w:val="single" w:color="000000" w:sz="4" w:space="0"/>
            </w:tcBorders>
            <w:noWrap/>
            <w:vAlign w:val="center"/>
          </w:tcPr>
          <w:p>
            <w:pPr>
              <w:jc w:val="center"/>
              <w:rPr>
                <w:rFonts w:hint="eastAsia" w:ascii="宋体" w:hAnsi="宋体" w:cs="宋体"/>
                <w:color w:val="000000"/>
                <w:sz w:val="16"/>
                <w:szCs w:val="16"/>
              </w:rPr>
            </w:pPr>
            <w:r>
              <w:rPr>
                <w:rFonts w:hint="eastAsia" w:ascii="宋体" w:hAnsi="宋体" w:cs="宋体"/>
                <w:color w:val="000000"/>
                <w:sz w:val="16"/>
                <w:szCs w:val="16"/>
              </w:rPr>
              <w:t>社会效益指标</w:t>
            </w:r>
          </w:p>
        </w:tc>
        <w:tc>
          <w:tcPr>
            <w:tcW w:w="2665" w:type="dxa"/>
            <w:gridSpan w:val="4"/>
            <w:tcBorders>
              <w:top w:val="single" w:color="000000" w:sz="4" w:space="0"/>
              <w:left w:val="nil"/>
              <w:bottom w:val="single" w:color="000000" w:sz="4" w:space="0"/>
              <w:right w:val="single" w:color="000000" w:sz="4" w:space="0"/>
            </w:tcBorders>
            <w:noWrap/>
            <w:vAlign w:val="center"/>
          </w:tcPr>
          <w:p>
            <w:pPr>
              <w:jc w:val="center"/>
              <w:rPr>
                <w:rFonts w:hint="eastAsia" w:ascii="宋体" w:hAnsi="宋体" w:cs="宋体"/>
                <w:color w:val="000000"/>
                <w:sz w:val="16"/>
                <w:szCs w:val="16"/>
              </w:rPr>
            </w:pPr>
            <w:r>
              <w:rPr>
                <w:rFonts w:hint="eastAsia" w:ascii="宋体" w:hAnsi="宋体" w:cs="宋体"/>
                <w:color w:val="000000"/>
                <w:sz w:val="16"/>
                <w:szCs w:val="16"/>
              </w:rPr>
              <w:t>公路工程质量提升</w:t>
            </w:r>
            <w:r>
              <w:rPr>
                <w:rFonts w:hint="eastAsia" w:ascii="宋体" w:hAnsi="宋体" w:cs="宋体"/>
                <w:color w:val="000000"/>
                <w:sz w:val="16"/>
                <w:szCs w:val="16"/>
                <w:lang w:val="en-US" w:eastAsia="zh-CN"/>
              </w:rPr>
              <w:t>度</w:t>
            </w:r>
            <w:r>
              <w:rPr>
                <w:rFonts w:hint="eastAsia" w:ascii="宋体" w:hAnsi="宋体" w:cs="宋体"/>
                <w:color w:val="000000"/>
                <w:sz w:val="16"/>
                <w:szCs w:val="16"/>
              </w:rPr>
              <w:t>（40分）</w:t>
            </w:r>
          </w:p>
        </w:tc>
        <w:tc>
          <w:tcPr>
            <w:tcW w:w="776" w:type="dxa"/>
            <w:gridSpan w:val="2"/>
            <w:tcBorders>
              <w:top w:val="nil"/>
              <w:left w:val="nil"/>
              <w:bottom w:val="single" w:color="000000" w:sz="4" w:space="0"/>
              <w:right w:val="single" w:color="000000" w:sz="4" w:space="0"/>
            </w:tcBorders>
            <w:noWrap/>
            <w:vAlign w:val="center"/>
          </w:tcPr>
          <w:p>
            <w:pPr>
              <w:jc w:val="center"/>
              <w:rPr>
                <w:rFonts w:hint="default" w:ascii="宋体" w:hAnsi="宋体" w:cs="宋体" w:eastAsiaTheme="minorEastAsia"/>
                <w:color w:val="000000"/>
                <w:sz w:val="16"/>
                <w:szCs w:val="16"/>
                <w:lang w:val="en-US" w:eastAsia="zh-CN"/>
              </w:rPr>
            </w:pPr>
            <w:r>
              <w:rPr>
                <w:rFonts w:hint="eastAsia" w:ascii="宋体" w:hAnsi="宋体" w:cs="宋体"/>
                <w:color w:val="000000"/>
                <w:sz w:val="16"/>
                <w:szCs w:val="16"/>
                <w:lang w:val="en-US" w:eastAsia="zh-CN"/>
              </w:rPr>
              <w:t>100%</w:t>
            </w:r>
          </w:p>
        </w:tc>
        <w:tc>
          <w:tcPr>
            <w:tcW w:w="1037" w:type="dxa"/>
            <w:gridSpan w:val="2"/>
            <w:tcBorders>
              <w:top w:val="nil"/>
              <w:left w:val="nil"/>
              <w:bottom w:val="single" w:color="000000" w:sz="4" w:space="0"/>
              <w:right w:val="single" w:color="000000" w:sz="4" w:space="0"/>
            </w:tcBorders>
            <w:noWrap/>
            <w:vAlign w:val="center"/>
          </w:tcPr>
          <w:p>
            <w:pPr>
              <w:jc w:val="center"/>
              <w:rPr>
                <w:rFonts w:hint="eastAsia" w:ascii="宋体" w:hAnsi="宋体" w:cs="宋体" w:eastAsiaTheme="minorEastAsia"/>
                <w:color w:val="000000"/>
                <w:sz w:val="16"/>
                <w:szCs w:val="16"/>
                <w:lang w:val="en-US" w:eastAsia="zh-CN"/>
              </w:rPr>
            </w:pPr>
            <w:r>
              <w:rPr>
                <w:rFonts w:hint="eastAsia" w:ascii="宋体" w:hAnsi="宋体" w:cs="宋体"/>
                <w:color w:val="000000"/>
                <w:sz w:val="16"/>
                <w:szCs w:val="16"/>
              </w:rPr>
              <w:t>100</w:t>
            </w:r>
            <w:r>
              <w:rPr>
                <w:rFonts w:hint="eastAsia" w:ascii="宋体" w:hAnsi="宋体" w:cs="宋体"/>
                <w:color w:val="000000"/>
                <w:sz w:val="16"/>
                <w:szCs w:val="16"/>
                <w:lang w:val="en-US" w:eastAsia="zh-CN"/>
              </w:rPr>
              <w:t>%</w:t>
            </w:r>
          </w:p>
        </w:tc>
        <w:tc>
          <w:tcPr>
            <w:tcW w:w="1399" w:type="dxa"/>
            <w:tcBorders>
              <w:top w:val="nil"/>
              <w:left w:val="nil"/>
              <w:bottom w:val="single" w:color="000000" w:sz="4" w:space="0"/>
              <w:right w:val="single" w:color="000000" w:sz="4" w:space="0"/>
            </w:tcBorders>
            <w:noWrap/>
            <w:vAlign w:val="center"/>
          </w:tcPr>
          <w:p>
            <w:pPr>
              <w:jc w:val="center"/>
              <w:rPr>
                <w:rFonts w:hint="eastAsia" w:ascii="宋体" w:hAnsi="宋体" w:cs="宋体"/>
                <w:color w:val="000000"/>
                <w:sz w:val="16"/>
                <w:szCs w:val="16"/>
              </w:rPr>
            </w:pPr>
            <w:r>
              <w:rPr>
                <w:rFonts w:hint="eastAsia" w:ascii="宋体" w:hAnsi="宋体" w:cs="宋体"/>
                <w:color w:val="000000"/>
                <w:sz w:val="16"/>
                <w:szCs w:val="16"/>
              </w:rPr>
              <w:t>40</w:t>
            </w:r>
          </w:p>
        </w:tc>
      </w:tr>
      <w:tr>
        <w:tblPrEx>
          <w:tblLayout w:type="fixed"/>
          <w:tblCellMar>
            <w:top w:w="0" w:type="dxa"/>
            <w:left w:w="108" w:type="dxa"/>
            <w:bottom w:w="0" w:type="dxa"/>
            <w:right w:w="108" w:type="dxa"/>
          </w:tblCellMar>
        </w:tblPrEx>
        <w:trPr>
          <w:trHeight w:val="90" w:hRule="atLeast"/>
        </w:trPr>
        <w:tc>
          <w:tcPr>
            <w:tcW w:w="1233" w:type="dxa"/>
            <w:vMerge w:val="continue"/>
            <w:tcBorders>
              <w:top w:val="nil"/>
              <w:left w:val="single" w:color="auto" w:sz="4" w:space="0"/>
              <w:bottom w:val="single" w:color="000000" w:sz="4" w:space="0"/>
              <w:right w:val="nil"/>
            </w:tcBorders>
            <w:noWrap/>
            <w:vAlign w:val="center"/>
          </w:tcPr>
          <w:p>
            <w:pPr>
              <w:jc w:val="center"/>
              <w:rPr>
                <w:rFonts w:hint="eastAsia" w:ascii="宋体" w:hAnsi="宋体" w:cs="宋体"/>
                <w:color w:val="000000"/>
                <w:sz w:val="16"/>
                <w:szCs w:val="16"/>
              </w:rPr>
            </w:pPr>
          </w:p>
        </w:tc>
        <w:tc>
          <w:tcPr>
            <w:tcW w:w="1061" w:type="dxa"/>
            <w:tcBorders>
              <w:top w:val="single" w:color="auto" w:sz="4" w:space="0"/>
              <w:left w:val="single" w:color="auto" w:sz="4" w:space="0"/>
              <w:bottom w:val="single" w:color="auto" w:sz="4" w:space="0"/>
              <w:right w:val="single" w:color="auto" w:sz="4" w:space="0"/>
            </w:tcBorders>
            <w:noWrap/>
            <w:vAlign w:val="center"/>
          </w:tcPr>
          <w:p>
            <w:pPr>
              <w:jc w:val="center"/>
              <w:rPr>
                <w:rFonts w:hint="eastAsia" w:ascii="宋体" w:hAnsi="宋体" w:cs="宋体"/>
                <w:color w:val="000000"/>
                <w:sz w:val="16"/>
                <w:szCs w:val="16"/>
              </w:rPr>
            </w:pPr>
            <w:r>
              <w:rPr>
                <w:rFonts w:hint="eastAsia" w:ascii="宋体" w:hAnsi="宋体" w:cs="宋体"/>
                <w:color w:val="000000"/>
                <w:sz w:val="16"/>
                <w:szCs w:val="16"/>
              </w:rPr>
              <w:t>满意度指标</w:t>
            </w:r>
          </w:p>
          <w:p>
            <w:pPr>
              <w:jc w:val="center"/>
              <w:rPr>
                <w:rFonts w:hint="eastAsia" w:ascii="宋体" w:hAnsi="宋体" w:cs="宋体"/>
                <w:color w:val="000000"/>
                <w:sz w:val="16"/>
                <w:szCs w:val="16"/>
              </w:rPr>
            </w:pPr>
            <w:r>
              <w:rPr>
                <w:rFonts w:hint="eastAsia" w:ascii="宋体" w:hAnsi="宋体" w:cs="宋体"/>
                <w:color w:val="000000"/>
                <w:sz w:val="16"/>
                <w:szCs w:val="16"/>
              </w:rPr>
              <w:t>（10分）</w:t>
            </w:r>
          </w:p>
        </w:tc>
        <w:tc>
          <w:tcPr>
            <w:tcW w:w="889" w:type="dxa"/>
            <w:tcBorders>
              <w:top w:val="nil"/>
              <w:left w:val="nil"/>
              <w:bottom w:val="single" w:color="000000" w:sz="4" w:space="0"/>
              <w:right w:val="single" w:color="000000" w:sz="4" w:space="0"/>
            </w:tcBorders>
            <w:noWrap/>
            <w:vAlign w:val="center"/>
          </w:tcPr>
          <w:p>
            <w:pPr>
              <w:jc w:val="center"/>
              <w:rPr>
                <w:rFonts w:hint="eastAsia" w:ascii="宋体" w:hAnsi="宋体" w:cs="宋体"/>
                <w:color w:val="000000"/>
                <w:sz w:val="16"/>
                <w:szCs w:val="16"/>
              </w:rPr>
            </w:pPr>
            <w:r>
              <w:rPr>
                <w:rFonts w:hint="eastAsia" w:ascii="宋体" w:hAnsi="宋体" w:cs="宋体"/>
                <w:color w:val="000000"/>
                <w:sz w:val="16"/>
                <w:szCs w:val="16"/>
              </w:rPr>
              <w:t>满意度指标</w:t>
            </w:r>
          </w:p>
        </w:tc>
        <w:tc>
          <w:tcPr>
            <w:tcW w:w="2665" w:type="dxa"/>
            <w:gridSpan w:val="4"/>
            <w:tcBorders>
              <w:top w:val="single" w:color="000000" w:sz="4" w:space="0"/>
              <w:left w:val="nil"/>
              <w:bottom w:val="single" w:color="000000" w:sz="4" w:space="0"/>
              <w:right w:val="single" w:color="000000" w:sz="4" w:space="0"/>
            </w:tcBorders>
            <w:noWrap/>
            <w:vAlign w:val="center"/>
          </w:tcPr>
          <w:p>
            <w:pPr>
              <w:jc w:val="center"/>
              <w:rPr>
                <w:rFonts w:hint="eastAsia" w:ascii="宋体" w:hAnsi="宋体" w:cs="宋体"/>
                <w:color w:val="000000"/>
                <w:sz w:val="16"/>
                <w:szCs w:val="16"/>
              </w:rPr>
            </w:pPr>
            <w:r>
              <w:rPr>
                <w:rFonts w:hint="eastAsia" w:ascii="宋体" w:hAnsi="宋体" w:cs="宋体"/>
                <w:color w:val="000000"/>
                <w:sz w:val="16"/>
                <w:szCs w:val="16"/>
              </w:rPr>
              <w:t>监督对象的满意度（10分）</w:t>
            </w:r>
          </w:p>
        </w:tc>
        <w:tc>
          <w:tcPr>
            <w:tcW w:w="776" w:type="dxa"/>
            <w:gridSpan w:val="2"/>
            <w:tcBorders>
              <w:top w:val="nil"/>
              <w:left w:val="nil"/>
              <w:bottom w:val="single" w:color="000000" w:sz="4" w:space="0"/>
              <w:right w:val="single" w:color="000000" w:sz="4" w:space="0"/>
            </w:tcBorders>
            <w:noWrap/>
            <w:vAlign w:val="center"/>
          </w:tcPr>
          <w:p>
            <w:pPr>
              <w:jc w:val="center"/>
              <w:rPr>
                <w:rFonts w:hint="eastAsia" w:ascii="宋体" w:hAnsi="宋体" w:cs="宋体"/>
                <w:color w:val="000000"/>
                <w:sz w:val="16"/>
                <w:szCs w:val="16"/>
              </w:rPr>
            </w:pPr>
            <w:r>
              <w:rPr>
                <w:rFonts w:hint="eastAsia" w:ascii="宋体" w:hAnsi="宋体" w:cs="宋体"/>
                <w:color w:val="000000"/>
                <w:sz w:val="16"/>
                <w:szCs w:val="16"/>
              </w:rPr>
              <w:t>≧90.0%</w:t>
            </w:r>
          </w:p>
        </w:tc>
        <w:tc>
          <w:tcPr>
            <w:tcW w:w="1037" w:type="dxa"/>
            <w:gridSpan w:val="2"/>
            <w:tcBorders>
              <w:top w:val="nil"/>
              <w:left w:val="nil"/>
              <w:bottom w:val="single" w:color="000000" w:sz="4" w:space="0"/>
              <w:right w:val="single" w:color="000000" w:sz="4" w:space="0"/>
            </w:tcBorders>
            <w:noWrap/>
            <w:vAlign w:val="center"/>
          </w:tcPr>
          <w:p>
            <w:pPr>
              <w:jc w:val="center"/>
              <w:rPr>
                <w:rFonts w:hint="eastAsia" w:ascii="宋体" w:hAnsi="宋体" w:cs="宋体"/>
                <w:color w:val="000000"/>
                <w:sz w:val="16"/>
                <w:szCs w:val="16"/>
              </w:rPr>
            </w:pPr>
            <w:r>
              <w:rPr>
                <w:rFonts w:hint="eastAsia" w:ascii="宋体" w:hAnsi="宋体" w:cs="宋体"/>
                <w:color w:val="000000"/>
                <w:sz w:val="16"/>
                <w:szCs w:val="16"/>
              </w:rPr>
              <w:t>100.0%</w:t>
            </w:r>
          </w:p>
        </w:tc>
        <w:tc>
          <w:tcPr>
            <w:tcW w:w="1399" w:type="dxa"/>
            <w:tcBorders>
              <w:top w:val="nil"/>
              <w:left w:val="nil"/>
              <w:bottom w:val="single" w:color="000000" w:sz="4" w:space="0"/>
              <w:right w:val="single" w:color="000000" w:sz="4" w:space="0"/>
            </w:tcBorders>
            <w:noWrap/>
            <w:vAlign w:val="center"/>
          </w:tcPr>
          <w:p>
            <w:pPr>
              <w:jc w:val="center"/>
              <w:rPr>
                <w:rFonts w:hint="eastAsia" w:ascii="宋体" w:hAnsi="宋体" w:cs="宋体"/>
                <w:color w:val="000000"/>
                <w:sz w:val="16"/>
                <w:szCs w:val="16"/>
              </w:rPr>
            </w:pPr>
            <w:r>
              <w:rPr>
                <w:rFonts w:hint="eastAsia" w:ascii="宋体" w:hAnsi="宋体" w:cs="宋体"/>
                <w:color w:val="000000"/>
                <w:sz w:val="16"/>
                <w:szCs w:val="16"/>
              </w:rPr>
              <w:t>10</w:t>
            </w:r>
          </w:p>
        </w:tc>
      </w:tr>
      <w:tr>
        <w:tblPrEx>
          <w:tblLayout w:type="fixed"/>
          <w:tblCellMar>
            <w:top w:w="0" w:type="dxa"/>
            <w:left w:w="108" w:type="dxa"/>
            <w:bottom w:w="0" w:type="dxa"/>
            <w:right w:w="108" w:type="dxa"/>
          </w:tblCellMar>
        </w:tblPrEx>
        <w:trPr>
          <w:trHeight w:val="90" w:hRule="atLeast"/>
        </w:trPr>
        <w:tc>
          <w:tcPr>
            <w:tcW w:w="1233" w:type="dxa"/>
            <w:vMerge w:val="continue"/>
            <w:tcBorders>
              <w:top w:val="nil"/>
              <w:left w:val="single" w:color="auto" w:sz="4" w:space="0"/>
              <w:bottom w:val="single" w:color="000000" w:sz="4" w:space="0"/>
              <w:right w:val="nil"/>
            </w:tcBorders>
            <w:noWrap/>
            <w:vAlign w:val="center"/>
          </w:tcPr>
          <w:p>
            <w:pPr>
              <w:jc w:val="center"/>
              <w:rPr>
                <w:rFonts w:hint="eastAsia" w:ascii="宋体" w:hAnsi="宋体" w:cs="宋体"/>
                <w:color w:val="000000"/>
                <w:sz w:val="16"/>
                <w:szCs w:val="16"/>
              </w:rPr>
            </w:pPr>
          </w:p>
        </w:tc>
        <w:tc>
          <w:tcPr>
            <w:tcW w:w="6428" w:type="dxa"/>
            <w:gridSpan w:val="10"/>
            <w:tcBorders>
              <w:top w:val="single" w:color="auto" w:sz="4" w:space="0"/>
              <w:left w:val="single" w:color="auto" w:sz="4" w:space="0"/>
              <w:bottom w:val="single" w:color="auto" w:sz="4" w:space="0"/>
              <w:right w:val="single" w:color="auto" w:sz="4" w:space="0"/>
            </w:tcBorders>
            <w:noWrap/>
            <w:vAlign w:val="center"/>
          </w:tcPr>
          <w:p>
            <w:pPr>
              <w:jc w:val="center"/>
              <w:rPr>
                <w:rFonts w:hint="eastAsia" w:ascii="宋体" w:hAnsi="宋体" w:cs="宋体"/>
                <w:color w:val="000000"/>
                <w:sz w:val="16"/>
                <w:szCs w:val="16"/>
              </w:rPr>
            </w:pPr>
            <w:r>
              <w:rPr>
                <w:rFonts w:hint="eastAsia" w:ascii="宋体" w:hAnsi="宋体" w:cs="宋体"/>
                <w:color w:val="000000"/>
                <w:sz w:val="16"/>
                <w:szCs w:val="16"/>
              </w:rPr>
              <w:t>总分</w:t>
            </w:r>
          </w:p>
        </w:tc>
        <w:tc>
          <w:tcPr>
            <w:tcW w:w="1399" w:type="dxa"/>
            <w:tcBorders>
              <w:top w:val="single" w:color="auto" w:sz="4" w:space="0"/>
              <w:left w:val="nil"/>
              <w:bottom w:val="single" w:color="auto" w:sz="4" w:space="0"/>
              <w:right w:val="single" w:color="auto" w:sz="4" w:space="0"/>
            </w:tcBorders>
            <w:noWrap/>
            <w:vAlign w:val="center"/>
          </w:tcPr>
          <w:p>
            <w:pPr>
              <w:jc w:val="center"/>
              <w:rPr>
                <w:rFonts w:hint="default" w:ascii="宋体" w:hAnsi="宋体" w:cs="宋体"/>
                <w:color w:val="000000"/>
                <w:sz w:val="16"/>
                <w:szCs w:val="16"/>
                <w:lang w:val="en-US" w:eastAsia="zh-CN"/>
              </w:rPr>
            </w:pPr>
            <w:r>
              <w:rPr>
                <w:rFonts w:hint="eastAsia" w:ascii="宋体" w:hAnsi="宋体" w:cs="宋体"/>
                <w:color w:val="000000"/>
                <w:sz w:val="16"/>
                <w:szCs w:val="16"/>
                <w:lang w:val="en-US" w:eastAsia="zh-CN"/>
              </w:rPr>
              <w:t>100</w:t>
            </w:r>
          </w:p>
        </w:tc>
      </w:tr>
      <w:tr>
        <w:tblPrEx>
          <w:tblLayout w:type="fixed"/>
          <w:tblCellMar>
            <w:top w:w="0" w:type="dxa"/>
            <w:left w:w="108" w:type="dxa"/>
            <w:bottom w:w="0" w:type="dxa"/>
            <w:right w:w="108" w:type="dxa"/>
          </w:tblCellMar>
        </w:tblPrEx>
        <w:trPr>
          <w:trHeight w:val="90" w:hRule="atLeast"/>
        </w:trPr>
        <w:tc>
          <w:tcPr>
            <w:tcW w:w="1233" w:type="dxa"/>
            <w:tcBorders>
              <w:top w:val="nil"/>
              <w:left w:val="single" w:color="000000" w:sz="4" w:space="0"/>
              <w:bottom w:val="single" w:color="000000" w:sz="4" w:space="0"/>
              <w:right w:val="single" w:color="000000" w:sz="4" w:space="0"/>
            </w:tcBorders>
            <w:noWrap/>
            <w:vAlign w:val="center"/>
          </w:tcPr>
          <w:p>
            <w:pPr>
              <w:jc w:val="center"/>
              <w:rPr>
                <w:rFonts w:hint="eastAsia" w:ascii="宋体" w:hAnsi="宋体" w:cs="宋体"/>
                <w:color w:val="000000"/>
                <w:sz w:val="16"/>
                <w:szCs w:val="16"/>
              </w:rPr>
            </w:pPr>
            <w:r>
              <w:rPr>
                <w:rFonts w:hint="eastAsia" w:ascii="宋体" w:hAnsi="宋体" w:cs="宋体"/>
                <w:color w:val="000000"/>
                <w:sz w:val="16"/>
                <w:szCs w:val="16"/>
              </w:rPr>
              <w:t>五、存在问题、原因及下一步整改措施</w:t>
            </w:r>
          </w:p>
        </w:tc>
        <w:tc>
          <w:tcPr>
            <w:tcW w:w="7827" w:type="dxa"/>
            <w:gridSpan w:val="11"/>
            <w:tcBorders>
              <w:top w:val="single" w:color="auto" w:sz="4" w:space="0"/>
              <w:left w:val="nil"/>
              <w:bottom w:val="single" w:color="000000" w:sz="4" w:space="0"/>
              <w:right w:val="single" w:color="000000" w:sz="4" w:space="0"/>
            </w:tcBorders>
            <w:noWrap/>
            <w:vAlign w:val="center"/>
          </w:tcPr>
          <w:p>
            <w:pPr>
              <w:jc w:val="center"/>
              <w:rPr>
                <w:rFonts w:hint="eastAsia" w:ascii="宋体" w:hAnsi="宋体" w:cs="宋体"/>
                <w:color w:val="000000"/>
                <w:sz w:val="16"/>
                <w:szCs w:val="16"/>
                <w:lang w:val="en-US" w:eastAsia="zh-CN"/>
              </w:rPr>
            </w:pPr>
            <w:r>
              <w:rPr>
                <w:rFonts w:hint="eastAsia" w:ascii="宋体" w:hAnsi="宋体" w:cs="宋体"/>
                <w:color w:val="000000"/>
                <w:sz w:val="16"/>
                <w:szCs w:val="16"/>
                <w:lang w:val="en-US" w:eastAsia="zh-CN"/>
              </w:rPr>
              <w:t>无</w:t>
            </w:r>
          </w:p>
        </w:tc>
      </w:tr>
    </w:tbl>
    <w:p>
      <w:pPr>
        <w:keepNext w:val="0"/>
        <w:keepLines w:val="0"/>
        <w:pageBreakBefore w:val="0"/>
        <w:widowControl/>
        <w:kinsoku/>
        <w:wordWrap/>
        <w:overflowPunct/>
        <w:topLinePunct w:val="0"/>
        <w:autoSpaceDE/>
        <w:autoSpaceDN/>
        <w:bidi w:val="0"/>
        <w:adjustRightInd/>
        <w:snapToGrid/>
        <w:spacing w:before="0" w:beforeLines="0" w:beforeAutospacing="0" w:after="0" w:afterLines="0" w:afterAutospacing="0" w:line="360" w:lineRule="auto"/>
        <w:ind w:firstLine="480" w:firstLineChars="200"/>
        <w:jc w:val="center"/>
        <w:textAlignment w:val="auto"/>
        <w:rPr>
          <w:rFonts w:hint="default" w:ascii="Times New Roman" w:eastAsia="仿宋_GB2312"/>
          <w:b w:val="0"/>
          <w:sz w:val="32"/>
          <w:szCs w:val="32"/>
          <w:lang w:val="en-US" w:eastAsia="zh-CN"/>
        </w:rPr>
      </w:pPr>
      <w:r>
        <w:drawing>
          <wp:anchor distT="0" distB="0" distL="114300" distR="114300" simplePos="0" relativeHeight="251662336" behindDoc="0" locked="0" layoutInCell="1" allowOverlap="1">
            <wp:simplePos x="0" y="0"/>
            <wp:positionH relativeFrom="column">
              <wp:posOffset>-52070</wp:posOffset>
            </wp:positionH>
            <wp:positionV relativeFrom="paragraph">
              <wp:posOffset>352425</wp:posOffset>
            </wp:positionV>
            <wp:extent cx="6137910" cy="7703185"/>
            <wp:effectExtent l="0" t="0" r="15240" b="12065"/>
            <wp:wrapSquare wrapText="bothSides"/>
            <wp:docPr id="2"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1"/>
                    <pic:cNvPicPr>
                      <a:picLocks noChangeAspect="1"/>
                    </pic:cNvPicPr>
                  </pic:nvPicPr>
                  <pic:blipFill>
                    <a:blip r:embed="rId21"/>
                    <a:stretch>
                      <a:fillRect/>
                    </a:stretch>
                  </pic:blipFill>
                  <pic:spPr>
                    <a:xfrm>
                      <a:off x="0" y="0"/>
                      <a:ext cx="6137910" cy="7703185"/>
                    </a:xfrm>
                    <a:prstGeom prst="rect">
                      <a:avLst/>
                    </a:prstGeom>
                    <a:noFill/>
                    <a:ln>
                      <a:noFill/>
                    </a:ln>
                  </pic:spPr>
                </pic:pic>
              </a:graphicData>
            </a:graphic>
          </wp:anchor>
        </w:drawing>
      </w:r>
    </w:p>
    <w:p>
      <w:pPr>
        <w:widowControl/>
        <w:spacing w:before="0" w:beforeLines="0" w:beforeAutospacing="0" w:after="0" w:afterLines="0" w:afterAutospacing="0" w:line="360" w:lineRule="auto"/>
        <w:ind w:firstLine="640" w:firstLineChars="200"/>
        <w:jc w:val="left"/>
        <w:rPr>
          <w:rFonts w:ascii="Times New Roman" w:eastAsia="仿宋_GB2312"/>
          <w:color w:val="0000FF"/>
          <w:sz w:val="32"/>
          <w:szCs w:val="32"/>
        </w:rPr>
      </w:pPr>
      <w:r>
        <w:rPr>
          <w:rFonts w:hint="eastAsia" w:ascii="Times New Roman" w:eastAsia="仿宋_GB2312"/>
          <w:b w:val="0"/>
          <w:sz w:val="32"/>
          <w:szCs w:val="32"/>
          <w:lang w:val="en-US" w:eastAsia="zh-CN"/>
        </w:rPr>
        <w:drawing>
          <wp:inline distT="0" distB="0" distL="114300" distR="114300">
            <wp:extent cx="5546090" cy="7842250"/>
            <wp:effectExtent l="0" t="0" r="16510" b="6350"/>
            <wp:docPr id="8" name="图片 8" descr="7e642a27f6b37221d3411e08f1820f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图片 8" descr="7e642a27f6b37221d3411e08f1820f05"/>
                    <pic:cNvPicPr>
                      <a:picLocks noChangeAspect="1"/>
                    </pic:cNvPicPr>
                  </pic:nvPicPr>
                  <pic:blipFill>
                    <a:blip r:embed="rId22"/>
                    <a:stretch>
                      <a:fillRect/>
                    </a:stretch>
                  </pic:blipFill>
                  <pic:spPr>
                    <a:xfrm>
                      <a:off x="0" y="0"/>
                      <a:ext cx="5546090" cy="7842250"/>
                    </a:xfrm>
                    <a:prstGeom prst="rect">
                      <a:avLst/>
                    </a:prstGeom>
                  </pic:spPr>
                </pic:pic>
              </a:graphicData>
            </a:graphic>
          </wp:inline>
        </w:drawing>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p>
    <w:p>
      <w:pPr>
        <w:widowControl/>
        <w:spacing w:before="0" w:beforeLines="0" w:beforeAutospacing="0" w:after="0" w:afterLines="0" w:afterAutospacing="0" w:line="360" w:lineRule="auto"/>
        <w:ind w:firstLine="640" w:firstLineChars="200"/>
        <w:jc w:val="left"/>
        <w:rPr>
          <w:rFonts w:ascii="Times New Roman" w:eastAsia="黑体"/>
          <w:sz w:val="32"/>
          <w:szCs w:val="32"/>
        </w:rPr>
      </w:pPr>
      <w:r>
        <w:rPr>
          <w:rFonts w:ascii="Times New Roman" w:eastAsia="黑体"/>
          <w:b w:val="0"/>
          <w:sz w:val="32"/>
          <w:szCs w:val="32"/>
        </w:rPr>
        <w:t>十、其他需要说明的情况</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1.本部门2024年度国有资本经营预算财政拨款支出决算表（公开08表）无相应收支，故空表列示。</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2.由于决算公开表格中金额数值应当保留两位小数，公开数据为四舍五入计算结果，个别数据合计项与分项之和存在小数点后差额，特此说明。</w:t>
      </w:r>
    </w:p>
    <w:p>
      <w:pPr>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br w:type="page"/>
      </w:r>
    </w:p>
    <w:p>
      <w:pPr>
        <w:widowControl/>
        <w:spacing w:before="0" w:beforeLines="0" w:beforeAutospacing="0" w:after="0" w:afterLines="0" w:afterAutospacing="0" w:line="360" w:lineRule="auto"/>
        <w:jc w:val="center"/>
        <w:outlineLvl w:val="0"/>
        <w:rPr>
          <w:rFonts w:ascii="Times New Roman" w:eastAsia="黑体"/>
          <w:b w:val="0"/>
          <w:sz w:val="44"/>
          <w:szCs w:val="44"/>
        </w:rPr>
      </w:pPr>
    </w:p>
    <w:p>
      <w:pPr>
        <w:widowControl/>
        <w:spacing w:before="0" w:beforeLines="0" w:beforeAutospacing="0" w:after="0" w:afterLines="0" w:afterAutospacing="0" w:line="360" w:lineRule="auto"/>
        <w:jc w:val="center"/>
        <w:outlineLvl w:val="0"/>
        <w:rPr>
          <w:rFonts w:ascii="Times New Roman" w:eastAsia="黑体"/>
          <w:b w:val="0"/>
          <w:sz w:val="44"/>
          <w:szCs w:val="44"/>
        </w:rPr>
      </w:pPr>
    </w:p>
    <w:p>
      <w:pPr>
        <w:widowControl/>
        <w:spacing w:before="0" w:beforeLines="0" w:beforeAutospacing="0" w:after="0" w:afterLines="0" w:afterAutospacing="0" w:line="360" w:lineRule="auto"/>
        <w:jc w:val="center"/>
        <w:outlineLvl w:val="0"/>
        <w:rPr>
          <w:rFonts w:ascii="Times New Roman" w:eastAsia="黑体"/>
          <w:b w:val="0"/>
          <w:sz w:val="44"/>
          <w:szCs w:val="44"/>
        </w:rPr>
      </w:pPr>
    </w:p>
    <w:p>
      <w:pPr>
        <w:widowControl/>
        <w:spacing w:before="0" w:beforeLines="0" w:beforeAutospacing="0" w:after="0" w:afterLines="0" w:afterAutospacing="0" w:line="360" w:lineRule="auto"/>
        <w:jc w:val="center"/>
        <w:outlineLvl w:val="0"/>
        <w:rPr>
          <w:rFonts w:ascii="Times New Roman" w:eastAsia="黑体"/>
          <w:b w:val="0"/>
          <w:sz w:val="44"/>
          <w:szCs w:val="44"/>
        </w:rPr>
      </w:pPr>
    </w:p>
    <w:p>
      <w:pPr>
        <w:widowControl/>
        <w:spacing w:before="0" w:beforeLines="0" w:beforeAutospacing="0" w:after="0" w:afterLines="0" w:afterAutospacing="0" w:line="360" w:lineRule="auto"/>
        <w:jc w:val="center"/>
        <w:outlineLvl w:val="0"/>
        <w:rPr>
          <w:rFonts w:ascii="Times New Roman" w:eastAsia="黑体"/>
          <w:b w:val="0"/>
          <w:sz w:val="44"/>
          <w:szCs w:val="44"/>
        </w:rPr>
      </w:pPr>
    </w:p>
    <w:p>
      <w:pPr>
        <w:widowControl/>
        <w:spacing w:before="0" w:beforeLines="0" w:beforeAutospacing="0" w:after="0" w:afterLines="0" w:afterAutospacing="0" w:line="360" w:lineRule="auto"/>
        <w:jc w:val="center"/>
        <w:outlineLvl w:val="0"/>
        <w:rPr>
          <w:rFonts w:ascii="Times New Roman" w:eastAsia="黑体"/>
          <w:b w:val="0"/>
          <w:sz w:val="44"/>
          <w:szCs w:val="44"/>
        </w:rPr>
      </w:pPr>
    </w:p>
    <w:p>
      <w:pPr>
        <w:widowControl/>
        <w:spacing w:before="0" w:beforeLines="0" w:beforeAutospacing="0" w:after="0" w:afterLines="0" w:afterAutospacing="0" w:line="360" w:lineRule="auto"/>
        <w:jc w:val="center"/>
        <w:outlineLvl w:val="0"/>
        <w:rPr>
          <w:rFonts w:ascii="Times New Roman" w:eastAsia="黑体"/>
          <w:b w:val="0"/>
          <w:sz w:val="44"/>
          <w:szCs w:val="44"/>
        </w:rPr>
      </w:pPr>
    </w:p>
    <w:p>
      <w:pPr>
        <w:widowControl/>
        <w:spacing w:before="0" w:beforeLines="0" w:beforeAutospacing="0" w:after="0" w:afterLines="0" w:afterAutospacing="0" w:line="360" w:lineRule="auto"/>
        <w:jc w:val="center"/>
        <w:outlineLvl w:val="0"/>
        <w:rPr>
          <w:rFonts w:ascii="Times New Roman" w:eastAsia="黑体"/>
          <w:b w:val="0"/>
          <w:sz w:val="44"/>
          <w:szCs w:val="44"/>
        </w:rPr>
      </w:pPr>
      <w:r>
        <w:rPr>
          <w:rFonts w:ascii="Times New Roman" w:eastAsia="黑体"/>
          <w:b w:val="0"/>
          <w:sz w:val="44"/>
          <w:szCs w:val="44"/>
        </w:rPr>
        <w:t>第四部分名词解释</w:t>
      </w:r>
    </w:p>
    <w:p>
      <w:pPr>
        <w:rPr>
          <w:rFonts w:ascii="Times New Roman" w:eastAsia="黑体"/>
          <w:b w:val="0"/>
          <w:sz w:val="44"/>
          <w:szCs w:val="44"/>
        </w:rPr>
      </w:pPr>
      <w:r>
        <w:rPr>
          <w:rFonts w:ascii="Times New Roman" w:eastAsia="黑体"/>
          <w:b w:val="0"/>
          <w:sz w:val="44"/>
          <w:szCs w:val="44"/>
        </w:rPr>
        <w:br w:type="page"/>
      </w:r>
    </w:p>
    <w:p>
      <w:pPr>
        <w:widowControl/>
        <w:spacing w:before="0" w:beforeLines="0" w:beforeAutospacing="0" w:after="0" w:afterLines="0" w:afterAutospacing="0" w:line="360" w:lineRule="auto"/>
        <w:jc w:val="center"/>
        <w:outlineLvl w:val="0"/>
        <w:rPr>
          <w:rFonts w:ascii="Times New Roman" w:eastAsia="黑体"/>
          <w:b w:val="0"/>
          <w:sz w:val="44"/>
          <w:szCs w:val="44"/>
        </w:rPr>
      </w:pP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一、财政拨款收入：</w:t>
      </w:r>
      <w:r>
        <w:rPr>
          <w:rFonts w:ascii="Times New Roman" w:eastAsia="仿宋_GB2312"/>
          <w:b w:val="0"/>
          <w:sz w:val="32"/>
          <w:szCs w:val="32"/>
        </w:rPr>
        <w:t>指</w:t>
      </w:r>
      <w:r>
        <w:rPr>
          <w:rFonts w:hint="eastAsia" w:ascii="Times New Roman" w:eastAsia="仿宋_GB2312"/>
          <w:b w:val="0"/>
          <w:sz w:val="32"/>
          <w:szCs w:val="32"/>
          <w:lang w:eastAsia="zh-CN"/>
        </w:rPr>
        <w:t>部门</w:t>
      </w:r>
      <w:r>
        <w:rPr>
          <w:rFonts w:ascii="Times New Roman" w:eastAsia="仿宋_GB2312"/>
          <w:b w:val="0"/>
          <w:sz w:val="32"/>
          <w:szCs w:val="32"/>
        </w:rPr>
        <w:t>从同级财政部门取得的财政预算资金。</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二、事业收入：</w:t>
      </w:r>
      <w:r>
        <w:rPr>
          <w:rFonts w:ascii="Times New Roman" w:eastAsia="仿宋_GB2312"/>
          <w:b w:val="0"/>
          <w:sz w:val="32"/>
          <w:szCs w:val="32"/>
        </w:rPr>
        <w:t>指事业单位开展专业业务活动及辅助活动取得的收入。</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三、经营收入：</w:t>
      </w:r>
      <w:r>
        <w:rPr>
          <w:rFonts w:ascii="Times New Roman" w:eastAsia="仿宋_GB2312"/>
          <w:b w:val="0"/>
          <w:sz w:val="32"/>
          <w:szCs w:val="32"/>
        </w:rPr>
        <w:t>指事业单位在专业业务活动及其辅助活动之外开展非独立核算经营活动取得的收入。</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四、其他收入：</w:t>
      </w:r>
      <w:r>
        <w:rPr>
          <w:rFonts w:ascii="Times New Roman" w:eastAsia="仿宋_GB2312"/>
          <w:b w:val="0"/>
          <w:sz w:val="32"/>
          <w:szCs w:val="32"/>
        </w:rPr>
        <w:t>指</w:t>
      </w:r>
      <w:r>
        <w:rPr>
          <w:rFonts w:hint="eastAsia" w:ascii="Times New Roman" w:eastAsia="仿宋_GB2312"/>
          <w:b w:val="0"/>
          <w:sz w:val="32"/>
          <w:szCs w:val="32"/>
          <w:lang w:eastAsia="zh-CN"/>
        </w:rPr>
        <w:t>部门</w:t>
      </w:r>
      <w:r>
        <w:rPr>
          <w:rFonts w:ascii="Times New Roman" w:eastAsia="仿宋_GB2312"/>
          <w:b w:val="0"/>
          <w:sz w:val="32"/>
          <w:szCs w:val="32"/>
        </w:rPr>
        <w:t>取得的除上述收入以外的各项收入。主要是事业单位固定资产出租收入、存款利息收入等。</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五、使用非财政拨款结余（含专用结余）：</w:t>
      </w:r>
      <w:r>
        <w:rPr>
          <w:rFonts w:ascii="Times New Roman" w:eastAsia="仿宋_GB2312"/>
          <w:b w:val="0"/>
          <w:sz w:val="32"/>
          <w:szCs w:val="32"/>
        </w:rPr>
        <w:t>指事业单位按照预算管理要求使用非财政拨款结余弥补收支差额的金额，以及使用专用结余安排支出的金额。</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六、年初结转和结余：</w:t>
      </w:r>
      <w:r>
        <w:rPr>
          <w:rFonts w:ascii="Times New Roman" w:eastAsia="仿宋_GB2312"/>
          <w:b w:val="0"/>
          <w:sz w:val="32"/>
          <w:szCs w:val="32"/>
        </w:rPr>
        <w:t>指</w:t>
      </w:r>
      <w:r>
        <w:rPr>
          <w:rFonts w:hint="eastAsia" w:ascii="Times New Roman" w:eastAsia="仿宋_GB2312"/>
          <w:b w:val="0"/>
          <w:sz w:val="32"/>
          <w:szCs w:val="32"/>
          <w:lang w:eastAsia="zh-CN"/>
        </w:rPr>
        <w:t>部门</w:t>
      </w:r>
      <w:r>
        <w:rPr>
          <w:rFonts w:ascii="Times New Roman" w:eastAsia="仿宋_GB2312"/>
          <w:b w:val="0"/>
          <w:sz w:val="32"/>
          <w:szCs w:val="32"/>
        </w:rPr>
        <w:t>以前年度尚未完成、结转到本年仍按原规定用途继续使用的资金，或项目已完成等产生的结余资金。</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七、结余分配：</w:t>
      </w:r>
      <w:r>
        <w:rPr>
          <w:rFonts w:ascii="Times New Roman" w:eastAsia="仿宋_GB2312"/>
          <w:b w:val="0"/>
          <w:sz w:val="32"/>
          <w:szCs w:val="32"/>
        </w:rPr>
        <w:t>指事业单位按照会计制度规定缴纳的所得税、提取的专用结余以及转入非财政拨款结余的金额等。</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八、年末结转和结余：</w:t>
      </w:r>
      <w:r>
        <w:rPr>
          <w:rFonts w:ascii="Times New Roman" w:eastAsia="仿宋_GB2312"/>
          <w:b w:val="0"/>
          <w:sz w:val="32"/>
          <w:szCs w:val="32"/>
        </w:rPr>
        <w:t>指</w:t>
      </w:r>
      <w:r>
        <w:rPr>
          <w:rFonts w:hint="eastAsia" w:ascii="Times New Roman" w:eastAsia="仿宋_GB2312"/>
          <w:b w:val="0"/>
          <w:sz w:val="32"/>
          <w:szCs w:val="32"/>
          <w:lang w:eastAsia="zh-CN"/>
        </w:rPr>
        <w:t>部门</w:t>
      </w:r>
      <w:r>
        <w:rPr>
          <w:rFonts w:ascii="Times New Roman" w:eastAsia="仿宋_GB2312"/>
          <w:b w:val="0"/>
          <w:sz w:val="32"/>
          <w:szCs w:val="32"/>
        </w:rPr>
        <w:t>按有关规定结转到下年或以后年度继续使用的资金，或项目已完成等产生的结余资金。</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九、基本支出：</w:t>
      </w:r>
      <w:r>
        <w:rPr>
          <w:rFonts w:ascii="Times New Roman" w:eastAsia="仿宋_GB2312"/>
          <w:b w:val="0"/>
          <w:sz w:val="32"/>
          <w:szCs w:val="32"/>
        </w:rPr>
        <w:t>指为保障机构正常运转、完成日常工作任务而发生的人员支出和公用支出。</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十、项目支出：</w:t>
      </w:r>
      <w:r>
        <w:rPr>
          <w:rFonts w:ascii="Times New Roman" w:eastAsia="仿宋_GB2312"/>
          <w:b w:val="0"/>
          <w:sz w:val="32"/>
          <w:szCs w:val="32"/>
        </w:rPr>
        <w:t>指在基本支出之外为完成特定行政任务和事业发展目标所发生的支出。</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十一、经营支出：</w:t>
      </w:r>
      <w:r>
        <w:rPr>
          <w:rFonts w:ascii="Times New Roman" w:eastAsia="仿宋_GB2312"/>
          <w:b w:val="0"/>
          <w:sz w:val="32"/>
          <w:szCs w:val="32"/>
        </w:rPr>
        <w:t>指事业单位在专业业务活动及其辅助活动之外开展非独立核算经营活动发生的支出。</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十二、基本建设支出：</w:t>
      </w:r>
      <w:r>
        <w:rPr>
          <w:rFonts w:ascii="Times New Roman" w:eastAsia="仿宋_GB2312"/>
          <w:b w:val="0"/>
          <w:sz w:val="32"/>
          <w:szCs w:val="32"/>
        </w:rPr>
        <w:t>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十三、其他资本性支出：</w:t>
      </w:r>
      <w:r>
        <w:rPr>
          <w:rFonts w:ascii="Times New Roman" w:eastAsia="仿宋_GB2312"/>
          <w:b w:val="0"/>
          <w:sz w:val="32"/>
          <w:szCs w:val="32"/>
        </w:rPr>
        <w:t>填列由各级非发展与改革部门集中安排的用于购置固定资产、战备性和应急性储备、土地和无形资产，以及购建基础设施、大型修缮和财政支持企业更新改造所发生的支出。</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十四、“三公”经费：</w:t>
      </w:r>
      <w:r>
        <w:rPr>
          <w:rFonts w:ascii="Times New Roman" w:eastAsia="仿宋_GB2312"/>
          <w:b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等支出；公务接待费反映单位按规定开支的各类公务接待（含外宾接待）支出。</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十五、其他交通费用：</w:t>
      </w:r>
      <w:r>
        <w:rPr>
          <w:rFonts w:ascii="Times New Roman" w:eastAsia="仿宋_GB2312"/>
          <w:b w:val="0"/>
          <w:sz w:val="32"/>
          <w:szCs w:val="32"/>
        </w:rPr>
        <w:t>填列</w:t>
      </w:r>
      <w:r>
        <w:rPr>
          <w:rFonts w:hint="eastAsia" w:ascii="Times New Roman" w:eastAsia="仿宋_GB2312"/>
          <w:b w:val="0"/>
          <w:sz w:val="32"/>
          <w:szCs w:val="32"/>
          <w:lang w:eastAsia="zh-CN"/>
        </w:rPr>
        <w:t>部门</w:t>
      </w:r>
      <w:r>
        <w:rPr>
          <w:rFonts w:ascii="Times New Roman" w:eastAsia="仿宋_GB2312"/>
          <w:b w:val="0"/>
          <w:sz w:val="32"/>
          <w:szCs w:val="32"/>
        </w:rPr>
        <w:t>除公务用车运行维护费以外的其他交通费用。如公务交通补贴、租车费用、出租车费用，飞机、船舶等燃料费、维修费、保险费等。</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十六、公务用车购置：</w:t>
      </w:r>
      <w:r>
        <w:rPr>
          <w:rFonts w:ascii="Times New Roman" w:eastAsia="仿宋_GB2312"/>
          <w:b w:val="0"/>
          <w:sz w:val="32"/>
          <w:szCs w:val="32"/>
        </w:rPr>
        <w:t>填列单位公务用车车辆购置支出（含车辆购置税、牌照费）。</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十七、其他交通工具购置：</w:t>
      </w:r>
      <w:r>
        <w:rPr>
          <w:rFonts w:ascii="Times New Roman" w:eastAsia="仿宋_GB2312"/>
          <w:b w:val="0"/>
          <w:sz w:val="32"/>
          <w:szCs w:val="32"/>
        </w:rPr>
        <w:t>填列单位除公务用车外的其他各类交通工具（如船舶、飞机等）购置支出（含车辆购置税、牌照费）。</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十八、机关运行经费：</w:t>
      </w:r>
      <w:r>
        <w:rPr>
          <w:rFonts w:ascii="Times New Roman" w:eastAsia="仿宋_GB2312"/>
          <w:b w:val="0"/>
          <w:sz w:val="32"/>
          <w:szCs w:val="32"/>
        </w:rPr>
        <w:t>指为保障行政单位（包括参照公务员法管理的事业单位）运行用于购买货物和服务的各项资金，包括办公费、邮电费、差旅费、会议费、福利费、日常维修费、办公用房水电费、办公用房取暖费、公务用车运行维护费以及其他费用。</w:t>
      </w:r>
    </w:p>
    <w:sectPr>
      <w:pgSz w:w="11906" w:h="16838"/>
      <w:pgMar w:top="2098" w:right="1417" w:bottom="1871" w:left="1417" w:header="851" w:footer="992" w:gutter="0"/>
      <w:pgBorders>
        <w:top w:val="none" w:sz="0" w:space="0"/>
        <w:left w:val="none" w:sz="0" w:space="0"/>
        <w:bottom w:val="none" w:sz="0" w:space="0"/>
        <w:right w:val="none" w:sz="0" w:space="0"/>
      </w:pgBorders>
      <w:cols w:space="0" w:num="1"/>
      <w:rtlGutter w:val="0"/>
      <w:docGrid w:type="lines" w:linePitch="329"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34"/>
    <w:family w:val="roman"/>
    <w:pitch w:val="default"/>
    <w:sig w:usb0="E0002AFF" w:usb1="C0007841" w:usb2="00000009" w:usb3="00000000" w:csb0="400001FF" w:csb1="FFFF0000"/>
  </w:font>
  <w:font w:name="宋体">
    <w:panose1 w:val="02010600030101010101"/>
    <w:charset w:val="8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embedRegular r:id="rId1" w:fontKey="{C53A30DE-26B5-4B1C-82CE-842A877B9BD2}"/>
  </w:font>
  <w:font w:name="黑体">
    <w:panose1 w:val="02010609060101010101"/>
    <w:charset w:val="86"/>
    <w:family w:val="auto"/>
    <w:pitch w:val="default"/>
    <w:sig w:usb0="800002BF" w:usb1="38CF7CFA" w:usb2="00000016" w:usb3="00000000" w:csb0="00040001" w:csb1="00000000"/>
    <w:embedRegular r:id="rId2" w:fontKey="{19E19DCD-271B-4D02-BE29-CFFDCF44DBBB}"/>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embedRegular r:id="rId3" w:fontKey="{6C428A58-7043-4E35-8B61-3787411D5BBB}"/>
  </w:font>
  <w:font w:name="仿宋">
    <w:panose1 w:val="02010609060101010101"/>
    <w:charset w:val="86"/>
    <w:family w:val="modern"/>
    <w:pitch w:val="default"/>
    <w:sig w:usb0="800002BF" w:usb1="38CF7CFA" w:usb2="00000016" w:usb3="00000000" w:csb0="00040001" w:csb1="00000000"/>
    <w:embedRegular r:id="rId4" w:fontKey="{BA9C22BD-92A0-4D71-AC1E-B91804F60EAF}"/>
  </w:font>
  <w:font w:name="Calibri Light">
    <w:panose1 w:val="020F0302020204030204"/>
    <w:charset w:val="00"/>
    <w:family w:val="auto"/>
    <w:pitch w:val="default"/>
    <w:sig w:usb0="A00002EF" w:usb1="4000207B" w:usb2="00000000" w:usb3="00000000" w:csb0="2000019F" w:csb1="00000000"/>
  </w:font>
  <w:font w:name="华文中宋">
    <w:panose1 w:val="02010600040101010101"/>
    <w:charset w:val="86"/>
    <w:family w:val="auto"/>
    <w:pitch w:val="default"/>
    <w:sig w:usb0="00000287" w:usb1="080F0000" w:usb2="00000000" w:usb3="00000000" w:csb0="0004009F" w:csb1="DFD70000"/>
  </w:font>
  <w:font w:name="方正仿宋_GBK">
    <w:panose1 w:val="02000000000000000000"/>
    <w:charset w:val="86"/>
    <w:family w:val="auto"/>
    <w:pitch w:val="default"/>
    <w:sig w:usb0="A00002BF" w:usb1="38CF7CFA" w:usb2="00082016" w:usb3="00000000" w:csb0="00040001" w:csb1="00000000"/>
  </w:font>
  <w:font w:name="楷体_GB2312">
    <w:panose1 w:val="02010609030101010101"/>
    <w:charset w:val="86"/>
    <w:family w:val="auto"/>
    <w:pitch w:val="default"/>
    <w:sig w:usb0="00000001" w:usb1="080E0000" w:usb2="00000000" w:usb3="00000000" w:csb0="00040000" w:csb1="00000000"/>
    <w:embedRegular r:id="rId5" w:fontKey="{1BD137A7-A126-4E78-B2DD-8A8E2293D197}"/>
  </w:font>
  <w:font w:name="方正小标宋_GBK">
    <w:panose1 w:val="02000000000000000000"/>
    <w:charset w:val="86"/>
    <w:family w:val="script"/>
    <w:pitch w:val="default"/>
    <w:sig w:usb0="A00002BF" w:usb1="38CF7CFA" w:usb2="00082016" w:usb3="00000000" w:csb0="00040001" w:csb1="00000000"/>
    <w:embedRegular r:id="rId6" w:fontKey="{A299A17E-D0D1-44A7-8636-9E07774205EA}"/>
  </w:font>
  <w:font w:name="仿宋_GB2312">
    <w:panose1 w:val="02010609030101010101"/>
    <w:charset w:val="86"/>
    <w:family w:val="auto"/>
    <w:pitch w:val="default"/>
    <w:sig w:usb0="00000001" w:usb1="080E0000" w:usb2="00000000" w:usb3="00000000" w:csb0="00040000" w:csb1="00000000"/>
    <w:embedRegular r:id="rId7" w:fontKey="{57BD6E48-A4F8-4D16-8A54-DCBA60D36FEC}"/>
  </w:font>
  <w:font w:name="ArialUnicodeMS">
    <w:altName w:val="Malgun Gothic"/>
    <w:panose1 w:val="00000000000000000000"/>
    <w:charset w:val="81"/>
    <w:family w:val="auto"/>
    <w:pitch w:val="default"/>
    <w:sig w:usb0="00000000" w:usb1="00000000" w:usb2="00000010" w:usb3="00000000" w:csb0="00080001" w:csb1="00000000"/>
    <w:embedRegular r:id="rId8" w:fontKey="{528A7EF7-0F7A-4202-ABE3-6FBA7E05EFB3}"/>
  </w:font>
  <w:font w:name="方正仿宋_GB2312">
    <w:altName w:val="仿宋"/>
    <w:panose1 w:val="02000000000000000000"/>
    <w:charset w:val="86"/>
    <w:family w:val="auto"/>
    <w:pitch w:val="default"/>
    <w:sig w:usb0="00000000" w:usb1="00000000" w:usb2="00000012" w:usb3="00000000" w:csb0="00040001" w:csb1="00000000"/>
    <w:embedRegular r:id="rId9" w:fontKey="{CF85C6A6-24ED-4B7B-9D01-677B9D60E1FA}"/>
  </w:font>
  <w:font w:name="国标仿宋">
    <w:altName w:val="仿宋"/>
    <w:panose1 w:val="02000500000000000000"/>
    <w:charset w:val="86"/>
    <w:family w:val="auto"/>
    <w:pitch w:val="default"/>
    <w:sig w:usb0="00000000" w:usb1="00000000" w:usb2="00000016" w:usb3="00000000" w:csb0="00060007" w:csb1="00000000"/>
    <w:embedRegular r:id="rId10" w:fontKey="{5E451CE9-74CA-46FC-9EE3-8043049CDD52}"/>
  </w:font>
  <w:font w:name="方正小标宋简体">
    <w:panose1 w:val="02000000000000000000"/>
    <w:charset w:val="86"/>
    <w:family w:val="auto"/>
    <w:pitch w:val="default"/>
    <w:sig w:usb0="A00002BF" w:usb1="184F6CFA" w:usb2="00000012" w:usb3="00000000" w:csb0="00040001" w:csb1="00000000"/>
    <w:embedRegular r:id="rId11" w:fontKey="{EBAE0289-406F-43DA-A40E-1CA1A44DDC03}"/>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jc w:val="center"/>
    </w:pPr>
  </w:p>
  <w:p>
    <w:pPr>
      <w:pStyle w:val="8"/>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8441416E"/>
    <w:multiLevelType w:val="singleLevel"/>
    <w:tmpl w:val="8441416E"/>
    <w:lvl w:ilvl="0" w:tentative="0">
      <w:start w:val="1"/>
      <w:numFmt w:val="decimal"/>
      <w:lvlText w:val="%1."/>
      <w:lvlJc w:val="left"/>
      <w:pPr>
        <w:tabs>
          <w:tab w:val="left" w:pos="312"/>
        </w:tabs>
      </w:pPr>
    </w:lvl>
  </w:abstractNum>
  <w:abstractNum w:abstractNumId="1">
    <w:nsid w:val="5F16A424"/>
    <w:multiLevelType w:val="multilevel"/>
    <w:tmpl w:val="5F16A424"/>
    <w:lvl w:ilvl="0" w:tentative="0">
      <w:start w:val="1"/>
      <w:numFmt w:val="decimal"/>
      <w:pStyle w:val="3"/>
      <w:lvlText w:val="%1."/>
      <w:lvlJc w:val="left"/>
      <w:pPr>
        <w:ind w:left="425" w:hanging="425"/>
      </w:pPr>
      <w:rPr>
        <w:rFonts w:hint="default"/>
      </w:rPr>
    </w:lvl>
    <w:lvl w:ilvl="1" w:tentative="0">
      <w:start w:val="1"/>
      <w:numFmt w:val="decimal"/>
      <w:pStyle w:val="2"/>
      <w:lvlText w:val="%1.%2."/>
      <w:lvlJc w:val="left"/>
      <w:pPr>
        <w:ind w:left="567" w:hanging="567"/>
      </w:pPr>
      <w:rPr>
        <w:rFonts w:hint="default"/>
      </w:rPr>
    </w:lvl>
    <w:lvl w:ilvl="2" w:tentative="0">
      <w:start w:val="1"/>
      <w:numFmt w:val="decimal"/>
      <w:pStyle w:val="4"/>
      <w:lvlText w:val="%1.%2.%3."/>
      <w:lvlJc w:val="left"/>
      <w:pPr>
        <w:ind w:left="709" w:hanging="709"/>
      </w:pPr>
      <w:rPr>
        <w:rFonts w:hint="default"/>
      </w:rPr>
    </w:lvl>
    <w:lvl w:ilvl="3" w:tentative="0">
      <w:start w:val="1"/>
      <w:numFmt w:val="decimal"/>
      <w:pStyle w:val="5"/>
      <w:lvlText w:val="%1.%2.%3.%4."/>
      <w:lvlJc w:val="left"/>
      <w:pPr>
        <w:ind w:left="850" w:hanging="850"/>
      </w:pPr>
      <w:rPr>
        <w:rFonts w:hint="default"/>
      </w:rPr>
    </w:lvl>
    <w:lvl w:ilvl="4" w:tentative="0">
      <w:start w:val="1"/>
      <w:numFmt w:val="decimal"/>
      <w:lvlText w:val="%1.%2.%3.%4.%5."/>
      <w:lvlJc w:val="left"/>
      <w:pPr>
        <w:ind w:left="991" w:hanging="991"/>
      </w:pPr>
      <w:rPr>
        <w:rFonts w:hint="default"/>
      </w:rPr>
    </w:lvl>
    <w:lvl w:ilvl="5" w:tentative="0">
      <w:start w:val="1"/>
      <w:numFmt w:val="decimal"/>
      <w:lvlText w:val="%1.%2.%3.%4.%5.%6."/>
      <w:lvlJc w:val="left"/>
      <w:pPr>
        <w:ind w:left="1134" w:hanging="1134"/>
      </w:pPr>
      <w:rPr>
        <w:rFonts w:hint="default"/>
      </w:rPr>
    </w:lvl>
    <w:lvl w:ilvl="6" w:tentative="0">
      <w:start w:val="1"/>
      <w:numFmt w:val="decimal"/>
      <w:lvlText w:val="%1.%2.%3.%4.%5.%6.%7."/>
      <w:lvlJc w:val="left"/>
      <w:pPr>
        <w:ind w:left="1275" w:hanging="1275"/>
      </w:pPr>
      <w:rPr>
        <w:rFonts w:hint="default"/>
      </w:rPr>
    </w:lvl>
    <w:lvl w:ilvl="7" w:tentative="0">
      <w:start w:val="1"/>
      <w:numFmt w:val="decimal"/>
      <w:lvlText w:val="%1.%2.%3.%4.%5.%6.%7.%8."/>
      <w:lvlJc w:val="left"/>
      <w:pPr>
        <w:ind w:left="1418" w:hanging="1418"/>
      </w:pPr>
      <w:rPr>
        <w:rFonts w:hint="default"/>
      </w:rPr>
    </w:lvl>
    <w:lvl w:ilvl="8" w:tentative="0">
      <w:start w:val="1"/>
      <w:numFmt w:val="decimal"/>
      <w:lvlText w:val="%1.%2.%3.%4.%5.%6.%7.%8.%9."/>
      <w:lvlJc w:val="left"/>
      <w:pPr>
        <w:ind w:left="1558" w:hanging="1558"/>
      </w:pPr>
      <w:rPr>
        <w:rFont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displayBackgroundShape w:val="1"/>
  <w:embedTrueTypeFonts/>
  <w:saveSubsetFonts/>
  <w:bordersDoNotSurroundHeader w:val="0"/>
  <w:bordersDoNotSurroundFooter w:val="0"/>
  <w:documentProtection w:enforcement="0"/>
  <w:defaultTabStop w:val="420"/>
  <w:drawingGridVerticalSpacing w:val="165"/>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jb3VudCI6NjksImhkaWQiOiJiMzk2N2EzZjUyYWViODRjZjJhMDZjM2YyYjk4MTExMiIsInVzZXJDb3VudCI6MX0="/>
  </w:docVars>
  <w:rsids>
    <w:rsidRoot w:val="00000000"/>
    <w:rsid w:val="00086151"/>
    <w:rsid w:val="00236F8C"/>
    <w:rsid w:val="00822154"/>
    <w:rsid w:val="00C65689"/>
    <w:rsid w:val="00CC2C8E"/>
    <w:rsid w:val="01A03C5A"/>
    <w:rsid w:val="01A5267D"/>
    <w:rsid w:val="01AF6A8D"/>
    <w:rsid w:val="024808A2"/>
    <w:rsid w:val="025C3821"/>
    <w:rsid w:val="02DA3B1B"/>
    <w:rsid w:val="02E57B4D"/>
    <w:rsid w:val="03450B90"/>
    <w:rsid w:val="037B12D4"/>
    <w:rsid w:val="03804D63"/>
    <w:rsid w:val="03FB73B0"/>
    <w:rsid w:val="04806B11"/>
    <w:rsid w:val="049C1B9D"/>
    <w:rsid w:val="04BD008C"/>
    <w:rsid w:val="04C55939"/>
    <w:rsid w:val="04DA28BB"/>
    <w:rsid w:val="04F528BE"/>
    <w:rsid w:val="050E10CE"/>
    <w:rsid w:val="054F2DFB"/>
    <w:rsid w:val="05991C82"/>
    <w:rsid w:val="05CD1EC8"/>
    <w:rsid w:val="061416A9"/>
    <w:rsid w:val="061D60A6"/>
    <w:rsid w:val="06236884"/>
    <w:rsid w:val="06B07006"/>
    <w:rsid w:val="06FC7C2A"/>
    <w:rsid w:val="07533AFE"/>
    <w:rsid w:val="07AC18F2"/>
    <w:rsid w:val="07B3657A"/>
    <w:rsid w:val="07C857D0"/>
    <w:rsid w:val="083F3A0A"/>
    <w:rsid w:val="08AB5AAF"/>
    <w:rsid w:val="09012C64"/>
    <w:rsid w:val="093B2E99"/>
    <w:rsid w:val="095D7943"/>
    <w:rsid w:val="09C006C6"/>
    <w:rsid w:val="0A10621F"/>
    <w:rsid w:val="0A464C4F"/>
    <w:rsid w:val="0A6729A3"/>
    <w:rsid w:val="0A694877"/>
    <w:rsid w:val="0AA954BE"/>
    <w:rsid w:val="0AE70639"/>
    <w:rsid w:val="0B4F5E6D"/>
    <w:rsid w:val="0B753AE2"/>
    <w:rsid w:val="0BB67D0A"/>
    <w:rsid w:val="0BC56230"/>
    <w:rsid w:val="0BCF21BD"/>
    <w:rsid w:val="0C4E53E8"/>
    <w:rsid w:val="0C6712D6"/>
    <w:rsid w:val="0C9F7900"/>
    <w:rsid w:val="0CB23317"/>
    <w:rsid w:val="0D101068"/>
    <w:rsid w:val="0D4E13BE"/>
    <w:rsid w:val="0D7557DF"/>
    <w:rsid w:val="0D853E34"/>
    <w:rsid w:val="0D9C2A57"/>
    <w:rsid w:val="0DC3019B"/>
    <w:rsid w:val="0DFA5D82"/>
    <w:rsid w:val="0E1E52CE"/>
    <w:rsid w:val="0E866524"/>
    <w:rsid w:val="0E9268D3"/>
    <w:rsid w:val="0E957F1F"/>
    <w:rsid w:val="0F0E7284"/>
    <w:rsid w:val="0F28110F"/>
    <w:rsid w:val="0F37083F"/>
    <w:rsid w:val="0F7470AF"/>
    <w:rsid w:val="0F891DB8"/>
    <w:rsid w:val="0F8D3287"/>
    <w:rsid w:val="0FAA3B86"/>
    <w:rsid w:val="10191346"/>
    <w:rsid w:val="102A01A6"/>
    <w:rsid w:val="105A290D"/>
    <w:rsid w:val="10754A6C"/>
    <w:rsid w:val="108B537D"/>
    <w:rsid w:val="10B11DB1"/>
    <w:rsid w:val="11177F57"/>
    <w:rsid w:val="11217C97"/>
    <w:rsid w:val="11464C20"/>
    <w:rsid w:val="115E4926"/>
    <w:rsid w:val="118A1FFA"/>
    <w:rsid w:val="11E35B5A"/>
    <w:rsid w:val="11E42DD6"/>
    <w:rsid w:val="125F5A1B"/>
    <w:rsid w:val="126979D6"/>
    <w:rsid w:val="129E45A7"/>
    <w:rsid w:val="13074404"/>
    <w:rsid w:val="136A5C00"/>
    <w:rsid w:val="13B97B08"/>
    <w:rsid w:val="13C527AC"/>
    <w:rsid w:val="14711797"/>
    <w:rsid w:val="147B6F17"/>
    <w:rsid w:val="14D42061"/>
    <w:rsid w:val="15081C8B"/>
    <w:rsid w:val="15090D5C"/>
    <w:rsid w:val="15CF053D"/>
    <w:rsid w:val="15E0131A"/>
    <w:rsid w:val="15E11DC0"/>
    <w:rsid w:val="16457D9F"/>
    <w:rsid w:val="17223EFF"/>
    <w:rsid w:val="17AA5F28"/>
    <w:rsid w:val="17B713F6"/>
    <w:rsid w:val="184350A0"/>
    <w:rsid w:val="18935485"/>
    <w:rsid w:val="18A34206"/>
    <w:rsid w:val="18DE3B2C"/>
    <w:rsid w:val="1906685D"/>
    <w:rsid w:val="19111683"/>
    <w:rsid w:val="19353916"/>
    <w:rsid w:val="193E101D"/>
    <w:rsid w:val="19C10AF1"/>
    <w:rsid w:val="1A017CDA"/>
    <w:rsid w:val="1A2672DE"/>
    <w:rsid w:val="1AA81D42"/>
    <w:rsid w:val="1AB433D9"/>
    <w:rsid w:val="1AC103DD"/>
    <w:rsid w:val="1AFB6D70"/>
    <w:rsid w:val="1B1B11EE"/>
    <w:rsid w:val="1B3719E0"/>
    <w:rsid w:val="1B6261C3"/>
    <w:rsid w:val="1B731730"/>
    <w:rsid w:val="1B882BB5"/>
    <w:rsid w:val="1B9B33C7"/>
    <w:rsid w:val="1B9D7FEC"/>
    <w:rsid w:val="1BA55461"/>
    <w:rsid w:val="1BE74496"/>
    <w:rsid w:val="1C3D67D1"/>
    <w:rsid w:val="1C40731A"/>
    <w:rsid w:val="1C506572"/>
    <w:rsid w:val="1C560392"/>
    <w:rsid w:val="1C581532"/>
    <w:rsid w:val="1C9F2E05"/>
    <w:rsid w:val="1CA15E03"/>
    <w:rsid w:val="1CA24F0C"/>
    <w:rsid w:val="1CF8716C"/>
    <w:rsid w:val="1D1638FE"/>
    <w:rsid w:val="1D1E545A"/>
    <w:rsid w:val="1D4B1F5B"/>
    <w:rsid w:val="1D6C5CA0"/>
    <w:rsid w:val="1D725586"/>
    <w:rsid w:val="1D745B4F"/>
    <w:rsid w:val="1D867987"/>
    <w:rsid w:val="1D944010"/>
    <w:rsid w:val="1DD70E85"/>
    <w:rsid w:val="1DE74AD7"/>
    <w:rsid w:val="1DF60A19"/>
    <w:rsid w:val="1DFA6713"/>
    <w:rsid w:val="1E050843"/>
    <w:rsid w:val="1E2D3FB0"/>
    <w:rsid w:val="1E2E50F1"/>
    <w:rsid w:val="1E3B4E26"/>
    <w:rsid w:val="1EDF707D"/>
    <w:rsid w:val="1F394761"/>
    <w:rsid w:val="1F65664C"/>
    <w:rsid w:val="1F7C149A"/>
    <w:rsid w:val="1F84140D"/>
    <w:rsid w:val="1F9B7FFD"/>
    <w:rsid w:val="1F9C7614"/>
    <w:rsid w:val="1FBE1971"/>
    <w:rsid w:val="2008768D"/>
    <w:rsid w:val="201B624E"/>
    <w:rsid w:val="204B327F"/>
    <w:rsid w:val="204C2B10"/>
    <w:rsid w:val="207D30AD"/>
    <w:rsid w:val="209064B9"/>
    <w:rsid w:val="20970D81"/>
    <w:rsid w:val="20D165D5"/>
    <w:rsid w:val="210878E6"/>
    <w:rsid w:val="210E1408"/>
    <w:rsid w:val="211069AD"/>
    <w:rsid w:val="21573FAB"/>
    <w:rsid w:val="2172069C"/>
    <w:rsid w:val="21987BC4"/>
    <w:rsid w:val="21BE314A"/>
    <w:rsid w:val="220451AB"/>
    <w:rsid w:val="2237486E"/>
    <w:rsid w:val="223D1378"/>
    <w:rsid w:val="22451BC7"/>
    <w:rsid w:val="22940650"/>
    <w:rsid w:val="22AD4B1E"/>
    <w:rsid w:val="22C43743"/>
    <w:rsid w:val="22D31DF3"/>
    <w:rsid w:val="22FD3CF7"/>
    <w:rsid w:val="232C221B"/>
    <w:rsid w:val="2356249E"/>
    <w:rsid w:val="236E713A"/>
    <w:rsid w:val="23700968"/>
    <w:rsid w:val="238761A6"/>
    <w:rsid w:val="23920578"/>
    <w:rsid w:val="23BB6F9A"/>
    <w:rsid w:val="23FC3864"/>
    <w:rsid w:val="24857B00"/>
    <w:rsid w:val="24F25212"/>
    <w:rsid w:val="251B0465"/>
    <w:rsid w:val="254B0AC6"/>
    <w:rsid w:val="25571AB6"/>
    <w:rsid w:val="25B40AD6"/>
    <w:rsid w:val="25BE7872"/>
    <w:rsid w:val="25BF702A"/>
    <w:rsid w:val="26390459"/>
    <w:rsid w:val="264D2D17"/>
    <w:rsid w:val="26D50E55"/>
    <w:rsid w:val="271A539C"/>
    <w:rsid w:val="273823FA"/>
    <w:rsid w:val="274972D4"/>
    <w:rsid w:val="27AA3D97"/>
    <w:rsid w:val="280A3758"/>
    <w:rsid w:val="28292E99"/>
    <w:rsid w:val="289057C5"/>
    <w:rsid w:val="28A67C7A"/>
    <w:rsid w:val="28EA3248"/>
    <w:rsid w:val="28F879DA"/>
    <w:rsid w:val="294B7731"/>
    <w:rsid w:val="29514455"/>
    <w:rsid w:val="29D21FF2"/>
    <w:rsid w:val="2A611B0F"/>
    <w:rsid w:val="2AC1762B"/>
    <w:rsid w:val="2AE845D0"/>
    <w:rsid w:val="2B4975FB"/>
    <w:rsid w:val="2B695031"/>
    <w:rsid w:val="2B735A8F"/>
    <w:rsid w:val="2BA7478D"/>
    <w:rsid w:val="2BB038DB"/>
    <w:rsid w:val="2BB761E0"/>
    <w:rsid w:val="2BB812F9"/>
    <w:rsid w:val="2BE35C27"/>
    <w:rsid w:val="2BFA504B"/>
    <w:rsid w:val="2C681F1F"/>
    <w:rsid w:val="2C8608DC"/>
    <w:rsid w:val="2CA4764A"/>
    <w:rsid w:val="2CC42ECA"/>
    <w:rsid w:val="2CDA4349"/>
    <w:rsid w:val="2D0358E2"/>
    <w:rsid w:val="2D225539"/>
    <w:rsid w:val="2D4618D2"/>
    <w:rsid w:val="2D5F021B"/>
    <w:rsid w:val="2D6E1286"/>
    <w:rsid w:val="2D70583E"/>
    <w:rsid w:val="2DC94F2E"/>
    <w:rsid w:val="2E0725DC"/>
    <w:rsid w:val="2E1B4BB8"/>
    <w:rsid w:val="2E256CB6"/>
    <w:rsid w:val="2E5F27E4"/>
    <w:rsid w:val="2EBD223E"/>
    <w:rsid w:val="2EC10AD1"/>
    <w:rsid w:val="2ECB6A5A"/>
    <w:rsid w:val="2EE65418"/>
    <w:rsid w:val="2EFC0112"/>
    <w:rsid w:val="2F0F6197"/>
    <w:rsid w:val="2F2B730D"/>
    <w:rsid w:val="2F9F3DC1"/>
    <w:rsid w:val="2FFC7AC2"/>
    <w:rsid w:val="301430AF"/>
    <w:rsid w:val="30630612"/>
    <w:rsid w:val="308E59B0"/>
    <w:rsid w:val="30B10568"/>
    <w:rsid w:val="30E55DD3"/>
    <w:rsid w:val="30E60399"/>
    <w:rsid w:val="31356AA5"/>
    <w:rsid w:val="313E22F0"/>
    <w:rsid w:val="31B0194C"/>
    <w:rsid w:val="31CE17D1"/>
    <w:rsid w:val="32270449"/>
    <w:rsid w:val="323E4515"/>
    <w:rsid w:val="3286389B"/>
    <w:rsid w:val="32994FDB"/>
    <w:rsid w:val="32CF5C94"/>
    <w:rsid w:val="32D337C7"/>
    <w:rsid w:val="32E200EC"/>
    <w:rsid w:val="32E5408B"/>
    <w:rsid w:val="32EB0D70"/>
    <w:rsid w:val="332824BC"/>
    <w:rsid w:val="332868BB"/>
    <w:rsid w:val="333211F3"/>
    <w:rsid w:val="33504B41"/>
    <w:rsid w:val="338B4A07"/>
    <w:rsid w:val="33944811"/>
    <w:rsid w:val="33CE0488"/>
    <w:rsid w:val="341D31EE"/>
    <w:rsid w:val="34262463"/>
    <w:rsid w:val="34296F31"/>
    <w:rsid w:val="34340A27"/>
    <w:rsid w:val="3438582F"/>
    <w:rsid w:val="346A2989"/>
    <w:rsid w:val="348865E9"/>
    <w:rsid w:val="348F70D5"/>
    <w:rsid w:val="349D2BAD"/>
    <w:rsid w:val="34B25886"/>
    <w:rsid w:val="35277FF8"/>
    <w:rsid w:val="35763460"/>
    <w:rsid w:val="35776F72"/>
    <w:rsid w:val="35997371"/>
    <w:rsid w:val="35DD4D47"/>
    <w:rsid w:val="360134DF"/>
    <w:rsid w:val="360B1E2F"/>
    <w:rsid w:val="360D500F"/>
    <w:rsid w:val="36330424"/>
    <w:rsid w:val="36FE3ABA"/>
    <w:rsid w:val="37072BDE"/>
    <w:rsid w:val="37455334"/>
    <w:rsid w:val="37527C32"/>
    <w:rsid w:val="37731921"/>
    <w:rsid w:val="37E509C0"/>
    <w:rsid w:val="37E96FB8"/>
    <w:rsid w:val="38222D85"/>
    <w:rsid w:val="38803721"/>
    <w:rsid w:val="38925A62"/>
    <w:rsid w:val="389F5F4F"/>
    <w:rsid w:val="38C36BA2"/>
    <w:rsid w:val="38E11CEF"/>
    <w:rsid w:val="38F6595C"/>
    <w:rsid w:val="391702A7"/>
    <w:rsid w:val="39286EB6"/>
    <w:rsid w:val="39601DF4"/>
    <w:rsid w:val="396960F3"/>
    <w:rsid w:val="39840D35"/>
    <w:rsid w:val="39A97DAF"/>
    <w:rsid w:val="39CD1330"/>
    <w:rsid w:val="39DD1AFF"/>
    <w:rsid w:val="3A2510B9"/>
    <w:rsid w:val="3A2B1DFC"/>
    <w:rsid w:val="3AA6422C"/>
    <w:rsid w:val="3AAF46D5"/>
    <w:rsid w:val="3AF562AE"/>
    <w:rsid w:val="3B135A0E"/>
    <w:rsid w:val="3B272BBC"/>
    <w:rsid w:val="3B374FEE"/>
    <w:rsid w:val="3B4410EE"/>
    <w:rsid w:val="3B56159C"/>
    <w:rsid w:val="3B596DF7"/>
    <w:rsid w:val="3B7D732B"/>
    <w:rsid w:val="3BD30423"/>
    <w:rsid w:val="3C6C0B58"/>
    <w:rsid w:val="3CBE41D5"/>
    <w:rsid w:val="3D446B0E"/>
    <w:rsid w:val="3D745844"/>
    <w:rsid w:val="3D8626D0"/>
    <w:rsid w:val="3D953A6B"/>
    <w:rsid w:val="3DBB5979"/>
    <w:rsid w:val="3DD56F21"/>
    <w:rsid w:val="3DEF6699"/>
    <w:rsid w:val="3E1057AF"/>
    <w:rsid w:val="3E6C0DFA"/>
    <w:rsid w:val="3E740322"/>
    <w:rsid w:val="3E7F4380"/>
    <w:rsid w:val="3E8D171B"/>
    <w:rsid w:val="3EA5630D"/>
    <w:rsid w:val="3EBA731B"/>
    <w:rsid w:val="3EE33949"/>
    <w:rsid w:val="3EFB5800"/>
    <w:rsid w:val="3F3B4E59"/>
    <w:rsid w:val="3F6E677C"/>
    <w:rsid w:val="3F712F46"/>
    <w:rsid w:val="3FBC0EF7"/>
    <w:rsid w:val="3FCD2AB9"/>
    <w:rsid w:val="3FD17600"/>
    <w:rsid w:val="402E7C36"/>
    <w:rsid w:val="4050218A"/>
    <w:rsid w:val="405C7868"/>
    <w:rsid w:val="408B24EB"/>
    <w:rsid w:val="408D1DBF"/>
    <w:rsid w:val="40C652D1"/>
    <w:rsid w:val="417044B8"/>
    <w:rsid w:val="41A203A0"/>
    <w:rsid w:val="41A25D3E"/>
    <w:rsid w:val="41C77987"/>
    <w:rsid w:val="41E83F8C"/>
    <w:rsid w:val="422D1842"/>
    <w:rsid w:val="425B7C31"/>
    <w:rsid w:val="427D66D0"/>
    <w:rsid w:val="42BC7E02"/>
    <w:rsid w:val="42C82575"/>
    <w:rsid w:val="43022EE1"/>
    <w:rsid w:val="431A5F8F"/>
    <w:rsid w:val="431F247A"/>
    <w:rsid w:val="43335E8F"/>
    <w:rsid w:val="433F2968"/>
    <w:rsid w:val="43655F7F"/>
    <w:rsid w:val="43676E20"/>
    <w:rsid w:val="43A31040"/>
    <w:rsid w:val="43BF774E"/>
    <w:rsid w:val="43CD062F"/>
    <w:rsid w:val="43E214F9"/>
    <w:rsid w:val="43F06264"/>
    <w:rsid w:val="44404C8E"/>
    <w:rsid w:val="447537F1"/>
    <w:rsid w:val="44870D07"/>
    <w:rsid w:val="44D33826"/>
    <w:rsid w:val="45344EFF"/>
    <w:rsid w:val="45513D03"/>
    <w:rsid w:val="45541E1C"/>
    <w:rsid w:val="45FE7734"/>
    <w:rsid w:val="461F0A8B"/>
    <w:rsid w:val="4648721E"/>
    <w:rsid w:val="46663E71"/>
    <w:rsid w:val="466A37AC"/>
    <w:rsid w:val="468A1A00"/>
    <w:rsid w:val="46CB071B"/>
    <w:rsid w:val="46DE140B"/>
    <w:rsid w:val="46E77334"/>
    <w:rsid w:val="46F22E29"/>
    <w:rsid w:val="46F7142F"/>
    <w:rsid w:val="47107AE3"/>
    <w:rsid w:val="473C62ED"/>
    <w:rsid w:val="47617242"/>
    <w:rsid w:val="478C16C9"/>
    <w:rsid w:val="47BD246B"/>
    <w:rsid w:val="47CB2B0C"/>
    <w:rsid w:val="47E773CE"/>
    <w:rsid w:val="47EE2C9A"/>
    <w:rsid w:val="47F00499"/>
    <w:rsid w:val="48015FF5"/>
    <w:rsid w:val="483820D2"/>
    <w:rsid w:val="48692CD0"/>
    <w:rsid w:val="48AE3D01"/>
    <w:rsid w:val="48B96318"/>
    <w:rsid w:val="49067B2F"/>
    <w:rsid w:val="49677E31"/>
    <w:rsid w:val="496C2225"/>
    <w:rsid w:val="49A35E02"/>
    <w:rsid w:val="49AE2880"/>
    <w:rsid w:val="49F42EAF"/>
    <w:rsid w:val="4A337323"/>
    <w:rsid w:val="4A5B28DC"/>
    <w:rsid w:val="4AA06B93"/>
    <w:rsid w:val="4ADB18EB"/>
    <w:rsid w:val="4B3A6FE7"/>
    <w:rsid w:val="4B96118E"/>
    <w:rsid w:val="4BAE1B66"/>
    <w:rsid w:val="4BC806E6"/>
    <w:rsid w:val="4BED4708"/>
    <w:rsid w:val="4BF133DC"/>
    <w:rsid w:val="4C2E4987"/>
    <w:rsid w:val="4C4117A4"/>
    <w:rsid w:val="4C507D4A"/>
    <w:rsid w:val="4CDF5563"/>
    <w:rsid w:val="4CFB2214"/>
    <w:rsid w:val="4D2C4D26"/>
    <w:rsid w:val="4D335E0E"/>
    <w:rsid w:val="4D4E4EA3"/>
    <w:rsid w:val="4D9A5B1B"/>
    <w:rsid w:val="4DA55D85"/>
    <w:rsid w:val="4DBB20DB"/>
    <w:rsid w:val="4DDC3F22"/>
    <w:rsid w:val="4DE66FB2"/>
    <w:rsid w:val="4DEC6CB8"/>
    <w:rsid w:val="4E1040C7"/>
    <w:rsid w:val="4E1760BF"/>
    <w:rsid w:val="4E30647F"/>
    <w:rsid w:val="4EBA03C3"/>
    <w:rsid w:val="4EBC5459"/>
    <w:rsid w:val="4ED94CB0"/>
    <w:rsid w:val="4EEC2ED3"/>
    <w:rsid w:val="4F0E56EA"/>
    <w:rsid w:val="4F2E11BC"/>
    <w:rsid w:val="4F3C4343"/>
    <w:rsid w:val="4F416688"/>
    <w:rsid w:val="4F5620B0"/>
    <w:rsid w:val="4F616EB4"/>
    <w:rsid w:val="4F6654EE"/>
    <w:rsid w:val="4F7379C6"/>
    <w:rsid w:val="4F872BDB"/>
    <w:rsid w:val="4FA033E9"/>
    <w:rsid w:val="4FA743DA"/>
    <w:rsid w:val="4FB3565A"/>
    <w:rsid w:val="4FC4714D"/>
    <w:rsid w:val="503D1C79"/>
    <w:rsid w:val="507A6406"/>
    <w:rsid w:val="50853863"/>
    <w:rsid w:val="508A4590"/>
    <w:rsid w:val="50F1461D"/>
    <w:rsid w:val="50FE5411"/>
    <w:rsid w:val="510B072E"/>
    <w:rsid w:val="511B0BF4"/>
    <w:rsid w:val="51264306"/>
    <w:rsid w:val="514E62C9"/>
    <w:rsid w:val="516123CE"/>
    <w:rsid w:val="51932FAD"/>
    <w:rsid w:val="51B177A9"/>
    <w:rsid w:val="51E066EB"/>
    <w:rsid w:val="52640E8B"/>
    <w:rsid w:val="5267570A"/>
    <w:rsid w:val="52707792"/>
    <w:rsid w:val="52A12CDC"/>
    <w:rsid w:val="52DF0C92"/>
    <w:rsid w:val="52E1159C"/>
    <w:rsid w:val="52E34D6A"/>
    <w:rsid w:val="531E524E"/>
    <w:rsid w:val="534072EB"/>
    <w:rsid w:val="537648BE"/>
    <w:rsid w:val="538E2D0B"/>
    <w:rsid w:val="53922782"/>
    <w:rsid w:val="539C1424"/>
    <w:rsid w:val="53A639C0"/>
    <w:rsid w:val="53F00A24"/>
    <w:rsid w:val="53F63DBA"/>
    <w:rsid w:val="53FD3831"/>
    <w:rsid w:val="5448624E"/>
    <w:rsid w:val="546E2B1A"/>
    <w:rsid w:val="5482555F"/>
    <w:rsid w:val="54A31DD8"/>
    <w:rsid w:val="54AA6F8B"/>
    <w:rsid w:val="54D26583"/>
    <w:rsid w:val="55363E67"/>
    <w:rsid w:val="556E6DF7"/>
    <w:rsid w:val="55965CE3"/>
    <w:rsid w:val="559D47CE"/>
    <w:rsid w:val="55BE1959"/>
    <w:rsid w:val="56232437"/>
    <w:rsid w:val="56541A75"/>
    <w:rsid w:val="568832FC"/>
    <w:rsid w:val="568C4181"/>
    <w:rsid w:val="570725A9"/>
    <w:rsid w:val="5714693E"/>
    <w:rsid w:val="571D0C9C"/>
    <w:rsid w:val="573A16CE"/>
    <w:rsid w:val="579C7F80"/>
    <w:rsid w:val="57B30D7C"/>
    <w:rsid w:val="58166B03"/>
    <w:rsid w:val="583E3C94"/>
    <w:rsid w:val="58721734"/>
    <w:rsid w:val="58900246"/>
    <w:rsid w:val="58977358"/>
    <w:rsid w:val="58D53944"/>
    <w:rsid w:val="58D65478"/>
    <w:rsid w:val="58F52487"/>
    <w:rsid w:val="590422E6"/>
    <w:rsid w:val="592257E5"/>
    <w:rsid w:val="59655E33"/>
    <w:rsid w:val="59CF5BD9"/>
    <w:rsid w:val="59E20C3C"/>
    <w:rsid w:val="5A1D5B0A"/>
    <w:rsid w:val="5A3B4B4E"/>
    <w:rsid w:val="5A4804CA"/>
    <w:rsid w:val="5A594C85"/>
    <w:rsid w:val="5A8842AA"/>
    <w:rsid w:val="5AEB1E3C"/>
    <w:rsid w:val="5B2507CA"/>
    <w:rsid w:val="5B2A474A"/>
    <w:rsid w:val="5B2D237E"/>
    <w:rsid w:val="5B830730"/>
    <w:rsid w:val="5BBB2DD6"/>
    <w:rsid w:val="5BE263B6"/>
    <w:rsid w:val="5C8E5C5A"/>
    <w:rsid w:val="5C965E61"/>
    <w:rsid w:val="5CF0089C"/>
    <w:rsid w:val="5CF5796F"/>
    <w:rsid w:val="5D242A11"/>
    <w:rsid w:val="5D9217C2"/>
    <w:rsid w:val="5DAD06BF"/>
    <w:rsid w:val="5DC92CE9"/>
    <w:rsid w:val="5DE23CB3"/>
    <w:rsid w:val="5DE97EEC"/>
    <w:rsid w:val="5DFA5EB0"/>
    <w:rsid w:val="5E000E4D"/>
    <w:rsid w:val="5E0B583E"/>
    <w:rsid w:val="5E201A7B"/>
    <w:rsid w:val="5EA45884"/>
    <w:rsid w:val="5EBD0484"/>
    <w:rsid w:val="5F2C5C7C"/>
    <w:rsid w:val="5F36141C"/>
    <w:rsid w:val="5FC5273F"/>
    <w:rsid w:val="604F6C39"/>
    <w:rsid w:val="60806DF2"/>
    <w:rsid w:val="61072DA5"/>
    <w:rsid w:val="611C0817"/>
    <w:rsid w:val="61224A52"/>
    <w:rsid w:val="61520CCB"/>
    <w:rsid w:val="61851A29"/>
    <w:rsid w:val="622D1522"/>
    <w:rsid w:val="622E0574"/>
    <w:rsid w:val="62683B6B"/>
    <w:rsid w:val="6275761C"/>
    <w:rsid w:val="62816E52"/>
    <w:rsid w:val="62AB7BE6"/>
    <w:rsid w:val="62AC5944"/>
    <w:rsid w:val="632F3F8A"/>
    <w:rsid w:val="63716241"/>
    <w:rsid w:val="637279B4"/>
    <w:rsid w:val="63817D2B"/>
    <w:rsid w:val="63BD1FA9"/>
    <w:rsid w:val="63D175D1"/>
    <w:rsid w:val="63D27965"/>
    <w:rsid w:val="63F4667E"/>
    <w:rsid w:val="64095516"/>
    <w:rsid w:val="641A2468"/>
    <w:rsid w:val="64372F20"/>
    <w:rsid w:val="648944D0"/>
    <w:rsid w:val="64DC72D7"/>
    <w:rsid w:val="64FA42B4"/>
    <w:rsid w:val="653619A6"/>
    <w:rsid w:val="65610A02"/>
    <w:rsid w:val="65A11EA3"/>
    <w:rsid w:val="65AC3D66"/>
    <w:rsid w:val="65BB5334"/>
    <w:rsid w:val="663E1DBA"/>
    <w:rsid w:val="665D0213"/>
    <w:rsid w:val="668506C7"/>
    <w:rsid w:val="669E59F1"/>
    <w:rsid w:val="66A2024B"/>
    <w:rsid w:val="66B80A66"/>
    <w:rsid w:val="66CB5E2D"/>
    <w:rsid w:val="6704732B"/>
    <w:rsid w:val="670F6731"/>
    <w:rsid w:val="67585CB0"/>
    <w:rsid w:val="67770F0C"/>
    <w:rsid w:val="67B03535"/>
    <w:rsid w:val="68174F69"/>
    <w:rsid w:val="682C436A"/>
    <w:rsid w:val="68382778"/>
    <w:rsid w:val="68391F41"/>
    <w:rsid w:val="68436B8C"/>
    <w:rsid w:val="68797358"/>
    <w:rsid w:val="6884624F"/>
    <w:rsid w:val="68A519DF"/>
    <w:rsid w:val="68C4160B"/>
    <w:rsid w:val="68C41C30"/>
    <w:rsid w:val="68CF3BA4"/>
    <w:rsid w:val="69257FA7"/>
    <w:rsid w:val="693F26C7"/>
    <w:rsid w:val="697E12B2"/>
    <w:rsid w:val="69C8706D"/>
    <w:rsid w:val="6A0E3FB4"/>
    <w:rsid w:val="6A292754"/>
    <w:rsid w:val="6A5E3B28"/>
    <w:rsid w:val="6A6B1EBE"/>
    <w:rsid w:val="6A8F43F7"/>
    <w:rsid w:val="6AD625F3"/>
    <w:rsid w:val="6B7218BE"/>
    <w:rsid w:val="6B750BA9"/>
    <w:rsid w:val="6BB93285"/>
    <w:rsid w:val="6C0C698C"/>
    <w:rsid w:val="6C222401"/>
    <w:rsid w:val="6C56267F"/>
    <w:rsid w:val="6C826EF9"/>
    <w:rsid w:val="6CAE4C93"/>
    <w:rsid w:val="6CB14F16"/>
    <w:rsid w:val="6CEC2069"/>
    <w:rsid w:val="6D0B1869"/>
    <w:rsid w:val="6D65402D"/>
    <w:rsid w:val="6D683822"/>
    <w:rsid w:val="6D8D136C"/>
    <w:rsid w:val="6DBF2759"/>
    <w:rsid w:val="6DC96F36"/>
    <w:rsid w:val="6DFA3EBF"/>
    <w:rsid w:val="6E3E63D2"/>
    <w:rsid w:val="6E5F7BE6"/>
    <w:rsid w:val="6E6918C6"/>
    <w:rsid w:val="6EEB4AC4"/>
    <w:rsid w:val="6F212DD6"/>
    <w:rsid w:val="6F3B5912"/>
    <w:rsid w:val="6FA14A81"/>
    <w:rsid w:val="6FA3261F"/>
    <w:rsid w:val="6FB44BAA"/>
    <w:rsid w:val="700D6539"/>
    <w:rsid w:val="704203E3"/>
    <w:rsid w:val="7058046B"/>
    <w:rsid w:val="707F2079"/>
    <w:rsid w:val="70922734"/>
    <w:rsid w:val="70CD16CB"/>
    <w:rsid w:val="70CE6DC7"/>
    <w:rsid w:val="710B3646"/>
    <w:rsid w:val="711759F2"/>
    <w:rsid w:val="713C4ED8"/>
    <w:rsid w:val="71407642"/>
    <w:rsid w:val="71641210"/>
    <w:rsid w:val="71D95B7C"/>
    <w:rsid w:val="71EA6A50"/>
    <w:rsid w:val="71FE31A8"/>
    <w:rsid w:val="720C30AE"/>
    <w:rsid w:val="721A7983"/>
    <w:rsid w:val="721F6113"/>
    <w:rsid w:val="7233782C"/>
    <w:rsid w:val="726A729D"/>
    <w:rsid w:val="73177841"/>
    <w:rsid w:val="733774FE"/>
    <w:rsid w:val="73617E1B"/>
    <w:rsid w:val="736D7653"/>
    <w:rsid w:val="738035CB"/>
    <w:rsid w:val="73852C46"/>
    <w:rsid w:val="7396335C"/>
    <w:rsid w:val="73F46595"/>
    <w:rsid w:val="73F47FAE"/>
    <w:rsid w:val="74283FA2"/>
    <w:rsid w:val="742C135B"/>
    <w:rsid w:val="74463733"/>
    <w:rsid w:val="748A2F40"/>
    <w:rsid w:val="74D84FF7"/>
    <w:rsid w:val="74F85778"/>
    <w:rsid w:val="75272439"/>
    <w:rsid w:val="758F1E9B"/>
    <w:rsid w:val="75CE266B"/>
    <w:rsid w:val="76120141"/>
    <w:rsid w:val="768216BE"/>
    <w:rsid w:val="76C23B43"/>
    <w:rsid w:val="76FD6F97"/>
    <w:rsid w:val="770218E8"/>
    <w:rsid w:val="779469CE"/>
    <w:rsid w:val="77C875A5"/>
    <w:rsid w:val="78A27DF6"/>
    <w:rsid w:val="79285B3A"/>
    <w:rsid w:val="79490B03"/>
    <w:rsid w:val="79625CA9"/>
    <w:rsid w:val="79A91196"/>
    <w:rsid w:val="7A0B32D3"/>
    <w:rsid w:val="7AC13CD3"/>
    <w:rsid w:val="7AE10264"/>
    <w:rsid w:val="7AE4248E"/>
    <w:rsid w:val="7B4A207F"/>
    <w:rsid w:val="7B936F45"/>
    <w:rsid w:val="7BA47419"/>
    <w:rsid w:val="7BB10D45"/>
    <w:rsid w:val="7BB44151"/>
    <w:rsid w:val="7C656A39"/>
    <w:rsid w:val="7CB93996"/>
    <w:rsid w:val="7CBE0F99"/>
    <w:rsid w:val="7D4E45F1"/>
    <w:rsid w:val="7DFB6D82"/>
    <w:rsid w:val="7E1D71D1"/>
    <w:rsid w:val="7E246254"/>
    <w:rsid w:val="7E553215"/>
    <w:rsid w:val="7E6D090F"/>
    <w:rsid w:val="7ECC66B2"/>
    <w:rsid w:val="7F2914C3"/>
    <w:rsid w:val="7F5F2ED6"/>
    <w:rsid w:val="7FA837EF"/>
    <w:rsid w:val="7FC36955"/>
    <w:rsid w:val="7FE903A0"/>
    <w:rsid w:val="7FF07065"/>
    <w:rsid w:val="7FF97946"/>
    <w:rsid w:val="7FFE788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Calibri" w:hAnsi="Calibri"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qFormat="1" w:unhideWhenUsed="0" w:uiPriority="0" w:semiHidden="0" w:name="header"/>
    <w:lsdException w:qFormat="1" w:unhideWhenUsed="0"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semiHidden="0"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cs="宋体" w:asciiTheme="minorHAnsi" w:hAnsiTheme="minorHAnsi" w:eastAsiaTheme="minorEastAsia"/>
      <w:color w:val="auto"/>
      <w:kern w:val="0"/>
      <w:sz w:val="24"/>
      <w:szCs w:val="24"/>
      <w:lang w:val="en-US" w:eastAsia="zh-CN" w:bidi="ar-SA"/>
    </w:rPr>
  </w:style>
  <w:style w:type="paragraph" w:styleId="3">
    <w:name w:val="heading 1"/>
    <w:basedOn w:val="1"/>
    <w:next w:val="1"/>
    <w:qFormat/>
    <w:uiPriority w:val="0"/>
    <w:pPr>
      <w:keepNext/>
      <w:keepLines/>
      <w:numPr>
        <w:ilvl w:val="0"/>
        <w:numId w:val="1"/>
      </w:numPr>
      <w:adjustRightInd w:val="0"/>
      <w:snapToGrid w:val="0"/>
      <w:spacing w:before="340" w:after="50" w:afterLines="50" w:line="578" w:lineRule="auto"/>
      <w:ind w:left="425" w:hanging="425"/>
      <w:jc w:val="left"/>
      <w:outlineLvl w:val="0"/>
    </w:pPr>
    <w:rPr>
      <w:rFonts w:ascii="Times New Roman" w:hAnsi="Times New Roman" w:eastAsia="仿宋" w:cs="Times New Roman"/>
      <w:b/>
      <w:bCs/>
      <w:kern w:val="44"/>
      <w:sz w:val="36"/>
      <w:szCs w:val="44"/>
    </w:rPr>
  </w:style>
  <w:style w:type="paragraph" w:styleId="2">
    <w:name w:val="heading 2"/>
    <w:basedOn w:val="1"/>
    <w:next w:val="1"/>
    <w:link w:val="15"/>
    <w:semiHidden/>
    <w:unhideWhenUsed/>
    <w:qFormat/>
    <w:uiPriority w:val="9"/>
    <w:pPr>
      <w:widowControl w:val="0"/>
      <w:numPr>
        <w:ilvl w:val="1"/>
        <w:numId w:val="1"/>
      </w:numPr>
      <w:spacing w:line="416" w:lineRule="auto"/>
      <w:ind w:left="567" w:hanging="567"/>
      <w:outlineLvl w:val="1"/>
    </w:pPr>
    <w:rPr>
      <w:rFonts w:ascii="Calibri Light" w:hAnsi="Calibri Light" w:eastAsia="宋体" w:cs="Times New Roman"/>
      <w:b/>
      <w:bCs/>
      <w:sz w:val="28"/>
      <w:szCs w:val="32"/>
    </w:rPr>
  </w:style>
  <w:style w:type="paragraph" w:styleId="4">
    <w:name w:val="heading 3"/>
    <w:basedOn w:val="1"/>
    <w:next w:val="1"/>
    <w:semiHidden/>
    <w:unhideWhenUsed/>
    <w:qFormat/>
    <w:uiPriority w:val="9"/>
    <w:pPr>
      <w:keepNext/>
      <w:keepLines/>
      <w:numPr>
        <w:ilvl w:val="2"/>
        <w:numId w:val="1"/>
      </w:numPr>
      <w:spacing w:before="50" w:beforeLines="50" w:after="50" w:afterLines="50" w:line="416" w:lineRule="auto"/>
      <w:outlineLvl w:val="2"/>
    </w:pPr>
    <w:rPr>
      <w:rFonts w:ascii="宋体" w:hAnsi="宋体" w:eastAsia="宋体" w:cs="宋体"/>
      <w:b/>
      <w:bCs/>
      <w:sz w:val="32"/>
    </w:rPr>
  </w:style>
  <w:style w:type="paragraph" w:styleId="5">
    <w:name w:val="heading 4"/>
    <w:basedOn w:val="1"/>
    <w:next w:val="1"/>
    <w:semiHidden/>
    <w:unhideWhenUsed/>
    <w:qFormat/>
    <w:uiPriority w:val="9"/>
    <w:pPr>
      <w:keepNext/>
      <w:keepLines/>
      <w:numPr>
        <w:ilvl w:val="3"/>
        <w:numId w:val="1"/>
      </w:numPr>
      <w:spacing w:before="120" w:after="120"/>
      <w:outlineLvl w:val="3"/>
    </w:pPr>
    <w:rPr>
      <w:rFonts w:ascii="Calibri Light" w:hAnsi="Calibri Light" w:eastAsia="宋体" w:cs="Times New Roman"/>
      <w:b/>
      <w:bCs/>
      <w:sz w:val="28"/>
      <w:szCs w:val="28"/>
    </w:rPr>
  </w:style>
  <w:style w:type="character" w:default="1" w:styleId="13">
    <w:name w:val="Default Paragraph Font"/>
    <w:semiHidden/>
    <w:unhideWhenUsed/>
    <w:qFormat/>
    <w:uiPriority w:val="1"/>
  </w:style>
  <w:style w:type="table" w:default="1" w:styleId="11">
    <w:name w:val="Normal Table"/>
    <w:semiHidden/>
    <w:unhideWhenUsed/>
    <w:qFormat/>
    <w:uiPriority w:val="99"/>
    <w:tblPr>
      <w:tblLayout w:type="fixed"/>
      <w:tblCellMar>
        <w:top w:w="0" w:type="dxa"/>
        <w:left w:w="108" w:type="dxa"/>
        <w:bottom w:w="0" w:type="dxa"/>
        <w:right w:w="108" w:type="dxa"/>
      </w:tblCellMar>
    </w:tblPr>
  </w:style>
  <w:style w:type="paragraph" w:styleId="6">
    <w:name w:val="annotation text"/>
    <w:basedOn w:val="1"/>
    <w:semiHidden/>
    <w:unhideWhenUsed/>
    <w:qFormat/>
    <w:uiPriority w:val="99"/>
    <w:pPr>
      <w:jc w:val="left"/>
    </w:pPr>
  </w:style>
  <w:style w:type="paragraph" w:styleId="7">
    <w:name w:val="Balloon Text"/>
    <w:basedOn w:val="1"/>
    <w:link w:val="24"/>
    <w:unhideWhenUsed/>
    <w:qFormat/>
    <w:uiPriority w:val="99"/>
    <w:rPr>
      <w:rFonts w:cstheme="minorBidi"/>
      <w:kern w:val="2"/>
      <w:sz w:val="18"/>
      <w:szCs w:val="18"/>
    </w:rPr>
  </w:style>
  <w:style w:type="paragraph" w:styleId="8">
    <w:name w:val="footer"/>
    <w:basedOn w:val="1"/>
    <w:link w:val="16"/>
    <w:qFormat/>
    <w:uiPriority w:val="99"/>
    <w:pPr>
      <w:tabs>
        <w:tab w:val="center" w:pos="4153"/>
        <w:tab w:val="right" w:pos="8306"/>
      </w:tabs>
      <w:snapToGrid w:val="0"/>
      <w:jc w:val="left"/>
    </w:pPr>
    <w:rPr>
      <w:rFonts w:cstheme="minorBidi"/>
      <w:kern w:val="2"/>
      <w:sz w:val="18"/>
      <w:szCs w:val="18"/>
    </w:rPr>
  </w:style>
  <w:style w:type="paragraph" w:styleId="9">
    <w:name w:val="header"/>
    <w:basedOn w:val="1"/>
    <w:link w:val="17"/>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jc w:val="center"/>
    </w:pPr>
    <w:rPr>
      <w:rFonts w:cstheme="minorBidi"/>
      <w:kern w:val="2"/>
      <w:sz w:val="18"/>
      <w:szCs w:val="18"/>
    </w:rPr>
  </w:style>
  <w:style w:type="paragraph" w:styleId="10">
    <w:name w:val="Normal (Web)"/>
    <w:basedOn w:val="1"/>
    <w:semiHidden/>
    <w:unhideWhenUsed/>
    <w:qFormat/>
    <w:uiPriority w:val="99"/>
    <w:pPr>
      <w:spacing w:before="0" w:beforeAutospacing="1" w:after="0" w:afterAutospacing="1"/>
      <w:ind w:left="0" w:right="0"/>
      <w:jc w:val="left"/>
    </w:pPr>
    <w:rPr>
      <w:kern w:val="0"/>
      <w:sz w:val="24"/>
      <w:lang w:val="en-US" w:eastAsia="zh-CN" w:bidi="ar"/>
    </w:rPr>
  </w:style>
  <w:style w:type="table" w:styleId="12">
    <w:name w:val="Table Grid"/>
    <w:qFormat/>
    <w:uiPriority w:val="0"/>
    <w:rPr>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style>
  <w:style w:type="character" w:styleId="14">
    <w:name w:val="Strong"/>
    <w:basedOn w:val="13"/>
    <w:qFormat/>
    <w:uiPriority w:val="22"/>
    <w:rPr>
      <w:b/>
    </w:rPr>
  </w:style>
  <w:style w:type="character" w:customStyle="1" w:styleId="15">
    <w:name w:val="标题 2 Char"/>
    <w:link w:val="2"/>
    <w:qFormat/>
    <w:uiPriority w:val="0"/>
    <w:rPr>
      <w:rFonts w:ascii="Calibri Light" w:hAnsi="Calibri Light" w:eastAsia="宋体" w:cs="Times New Roman"/>
      <w:b/>
      <w:bCs/>
      <w:sz w:val="28"/>
      <w:szCs w:val="32"/>
    </w:rPr>
  </w:style>
  <w:style w:type="character" w:customStyle="1" w:styleId="16">
    <w:name w:val="页脚 Char"/>
    <w:basedOn w:val="13"/>
    <w:link w:val="8"/>
    <w:qFormat/>
    <w:uiPriority w:val="99"/>
    <w:rPr>
      <w:rFonts w:asciiTheme="minorHAnsi" w:hAnsiTheme="minorHAnsi" w:eastAsiaTheme="minorEastAsia" w:cstheme="minorBidi"/>
      <w:sz w:val="18"/>
      <w:szCs w:val="18"/>
      <w:lang w:val="en-US" w:eastAsia="zh-CN" w:bidi="ar-SA"/>
    </w:rPr>
  </w:style>
  <w:style w:type="character" w:customStyle="1" w:styleId="17">
    <w:name w:val="页眉 Char"/>
    <w:basedOn w:val="13"/>
    <w:link w:val="9"/>
    <w:qFormat/>
    <w:uiPriority w:val="0"/>
    <w:rPr>
      <w:rFonts w:asciiTheme="minorHAnsi" w:hAnsiTheme="minorHAnsi" w:eastAsiaTheme="minorEastAsia" w:cstheme="minorBidi"/>
      <w:sz w:val="18"/>
      <w:szCs w:val="18"/>
      <w:lang w:val="en-US" w:eastAsia="zh-CN" w:bidi="ar-SA"/>
    </w:rPr>
  </w:style>
  <w:style w:type="character" w:customStyle="1" w:styleId="18">
    <w:name w:val="font11"/>
    <w:basedOn w:val="13"/>
    <w:qFormat/>
    <w:uiPriority w:val="0"/>
    <w:rPr>
      <w:rFonts w:hint="eastAsia" w:ascii="宋体" w:hAnsi="宋体" w:eastAsia="宋体" w:cs="宋体"/>
      <w:color w:val="000000"/>
      <w:sz w:val="20"/>
      <w:szCs w:val="20"/>
      <w:u w:val="none"/>
      <w:lang w:val="en-US" w:eastAsia="zh-CN" w:bidi="ar-SA"/>
    </w:rPr>
  </w:style>
  <w:style w:type="character" w:customStyle="1" w:styleId="19">
    <w:name w:val="font01"/>
    <w:basedOn w:val="13"/>
    <w:qFormat/>
    <w:uiPriority w:val="0"/>
    <w:rPr>
      <w:rFonts w:hint="eastAsia" w:ascii="宋体" w:hAnsi="宋体" w:eastAsia="宋体" w:cs="宋体"/>
      <w:color w:val="000000"/>
      <w:sz w:val="22"/>
      <w:szCs w:val="22"/>
      <w:u w:val="none"/>
      <w:lang w:val="en-US" w:eastAsia="zh-CN" w:bidi="ar-SA"/>
    </w:rPr>
  </w:style>
  <w:style w:type="character" w:customStyle="1" w:styleId="20">
    <w:name w:val="font41"/>
    <w:basedOn w:val="13"/>
    <w:qFormat/>
    <w:uiPriority w:val="0"/>
    <w:rPr>
      <w:rFonts w:hint="eastAsia" w:ascii="宋体" w:hAnsi="宋体" w:eastAsia="宋体" w:cs="宋体"/>
      <w:color w:val="000000"/>
      <w:sz w:val="24"/>
      <w:szCs w:val="24"/>
      <w:u w:val="none"/>
      <w:lang w:val="en-US" w:eastAsia="zh-CN" w:bidi="ar-SA"/>
    </w:rPr>
  </w:style>
  <w:style w:type="character" w:customStyle="1" w:styleId="21">
    <w:name w:val="font31"/>
    <w:basedOn w:val="13"/>
    <w:qFormat/>
    <w:uiPriority w:val="0"/>
    <w:rPr>
      <w:rFonts w:hint="eastAsia" w:ascii="华文中宋" w:hAnsi="华文中宋" w:eastAsia="华文中宋" w:cs="华文中宋"/>
      <w:color w:val="000000"/>
      <w:sz w:val="32"/>
      <w:szCs w:val="32"/>
      <w:u w:val="none"/>
      <w:lang w:val="en-US" w:eastAsia="zh-CN" w:bidi="ar-SA"/>
    </w:rPr>
  </w:style>
  <w:style w:type="character" w:customStyle="1" w:styleId="22">
    <w:name w:val="font91"/>
    <w:basedOn w:val="13"/>
    <w:qFormat/>
    <w:uiPriority w:val="0"/>
    <w:rPr>
      <w:rFonts w:hint="eastAsia" w:ascii="华文中宋" w:hAnsi="华文中宋" w:eastAsia="华文中宋" w:cs="华文中宋"/>
      <w:color w:val="000000"/>
      <w:sz w:val="32"/>
      <w:szCs w:val="32"/>
      <w:u w:val="none"/>
      <w:lang w:val="en-US" w:eastAsia="zh-CN" w:bidi="ar-SA"/>
    </w:rPr>
  </w:style>
  <w:style w:type="character" w:customStyle="1" w:styleId="23">
    <w:name w:val="font51"/>
    <w:basedOn w:val="13"/>
    <w:qFormat/>
    <w:uiPriority w:val="0"/>
    <w:rPr>
      <w:rFonts w:hint="eastAsia" w:ascii="宋体" w:hAnsi="宋体" w:eastAsia="宋体" w:cs="宋体"/>
      <w:color w:val="000000"/>
      <w:sz w:val="24"/>
      <w:szCs w:val="24"/>
      <w:u w:val="none"/>
      <w:lang w:val="en-US" w:eastAsia="zh-CN" w:bidi="ar-SA"/>
    </w:rPr>
  </w:style>
  <w:style w:type="character" w:customStyle="1" w:styleId="24">
    <w:name w:val="批注框文本 Char"/>
    <w:basedOn w:val="13"/>
    <w:link w:val="7"/>
    <w:semiHidden/>
    <w:qFormat/>
    <w:uiPriority w:val="99"/>
    <w:rPr>
      <w:rFonts w:asciiTheme="minorHAnsi" w:hAnsiTheme="minorHAnsi" w:eastAsiaTheme="minorEastAsia" w:cstheme="minorBidi"/>
      <w:sz w:val="18"/>
      <w:szCs w:val="18"/>
      <w:lang w:val="en-US" w:eastAsia="zh-CN" w:bidi="ar-SA"/>
    </w:rPr>
  </w:style>
  <w:style w:type="paragraph" w:customStyle="1" w:styleId="25">
    <w:name w:val="插入文本样式-插入部门职责文件"/>
    <w:basedOn w:val="1"/>
    <w:qFormat/>
    <w:uiPriority w:val="0"/>
    <w:pPr>
      <w:spacing w:before="0" w:beforeAutospacing="0" w:after="0" w:afterAutospacing="0" w:line="500" w:lineRule="exact"/>
      <w:ind w:firstLine="560"/>
      <w:jc w:val="left"/>
    </w:pPr>
    <w:rPr>
      <w:rFonts w:hint="default" w:ascii="Times New Roman" w:hAnsi="Times New Roman" w:eastAsia="方正仿宋_GBK" w:cs="Times New Roman"/>
      <w:kern w:val="0"/>
      <w:sz w:val="28"/>
      <w:szCs w:val="28"/>
      <w:lang w:val="en-US" w:eastAsia="zh-CN" w:bidi="ar"/>
    </w:rPr>
  </w:style>
  <w:style w:type="character" w:customStyle="1" w:styleId="26">
    <w:name w:val="font61"/>
    <w:basedOn w:val="13"/>
    <w:qFormat/>
    <w:uiPriority w:val="0"/>
    <w:rPr>
      <w:rFonts w:ascii="Calibri" w:hAnsi="Calibri" w:cs="Calibri"/>
      <w:color w:val="000000"/>
      <w:sz w:val="20"/>
      <w:szCs w:val="20"/>
      <w:u w:val="none"/>
    </w:rPr>
  </w:style>
  <w:style w:type="character" w:customStyle="1" w:styleId="27">
    <w:name w:val="font81"/>
    <w:basedOn w:val="13"/>
    <w:qFormat/>
    <w:uiPriority w:val="0"/>
    <w:rPr>
      <w:rFonts w:hint="eastAsia" w:ascii="宋体" w:hAnsi="宋体" w:eastAsia="宋体" w:cs="宋体"/>
      <w:color w:val="000000"/>
      <w:sz w:val="20"/>
      <w:szCs w:val="20"/>
      <w:u w:val="none"/>
    </w:rPr>
  </w:style>
  <w:style w:type="character" w:customStyle="1" w:styleId="28">
    <w:name w:val="font71"/>
    <w:basedOn w:val="13"/>
    <w:qFormat/>
    <w:uiPriority w:val="0"/>
    <w:rPr>
      <w:rFonts w:hint="eastAsia" w:ascii="宋体" w:hAnsi="宋体" w:eastAsia="宋体" w:cs="宋体"/>
      <w:color w:val="000000"/>
      <w:sz w:val="18"/>
      <w:szCs w:val="18"/>
      <w:u w:val="none"/>
    </w:rPr>
  </w:style>
</w:styles>
</file>

<file path=word/_rels/document.xml.rels><?xml version="1.0" encoding="UTF-8" standalone="yes"?>
<Relationships xmlns="http://schemas.openxmlformats.org/package/2006/relationships"><Relationship Id="rId9" Type="http://schemas.openxmlformats.org/officeDocument/2006/relationships/theme" Target="theme/theme1.xml"/><Relationship Id="rId8" Type="http://schemas.openxmlformats.org/officeDocument/2006/relationships/header" Target="header3.xml"/><Relationship Id="rId7" Type="http://schemas.openxmlformats.org/officeDocument/2006/relationships/footer" Target="footer3.xml"/><Relationship Id="rId6" Type="http://schemas.openxmlformats.org/officeDocument/2006/relationships/footer" Target="footer2.xml"/><Relationship Id="rId5" Type="http://schemas.openxmlformats.org/officeDocument/2006/relationships/header" Target="header2.xml"/><Relationship Id="rId4" Type="http://schemas.openxmlformats.org/officeDocument/2006/relationships/header" Target="header1.xml"/><Relationship Id="rId3" Type="http://schemas.openxmlformats.org/officeDocument/2006/relationships/footer" Target="footer1.xml"/><Relationship Id="rId25" Type="http://schemas.openxmlformats.org/officeDocument/2006/relationships/fontTable" Target="fontTable.xml"/><Relationship Id="rId24" Type="http://schemas.openxmlformats.org/officeDocument/2006/relationships/numbering" Target="numbering.xml"/><Relationship Id="rId23" Type="http://schemas.openxmlformats.org/officeDocument/2006/relationships/customXml" Target="../customXml/item1.xml"/><Relationship Id="rId22" Type="http://schemas.openxmlformats.org/officeDocument/2006/relationships/image" Target="media/image8.png"/><Relationship Id="rId21" Type="http://schemas.openxmlformats.org/officeDocument/2006/relationships/image" Target="media/image7.png"/><Relationship Id="rId20" Type="http://schemas.openxmlformats.org/officeDocument/2006/relationships/image" Target="media/image6.png"/><Relationship Id="rId2" Type="http://schemas.openxmlformats.org/officeDocument/2006/relationships/settings" Target="settings.xml"/><Relationship Id="rId19" Type="http://schemas.openxmlformats.org/officeDocument/2006/relationships/image" Target="media/image5.png"/><Relationship Id="rId18" Type="http://schemas.openxmlformats.org/officeDocument/2006/relationships/image" Target="media/image4.png"/><Relationship Id="rId17" Type="http://schemas.openxmlformats.org/officeDocument/2006/relationships/image" Target="media/image3.png"/><Relationship Id="rId16" Type="http://schemas.openxmlformats.org/officeDocument/2006/relationships/image" Target="media/image2.png"/><Relationship Id="rId15" Type="http://schemas.openxmlformats.org/officeDocument/2006/relationships/chart" Target="charts/chart5.xml"/><Relationship Id="rId14" Type="http://schemas.openxmlformats.org/officeDocument/2006/relationships/chart" Target="charts/chart4.xml"/><Relationship Id="rId13" Type="http://schemas.openxmlformats.org/officeDocument/2006/relationships/chart" Target="charts/chart3.xml"/><Relationship Id="rId12" Type="http://schemas.openxmlformats.org/officeDocument/2006/relationships/chart" Target="charts/chart2.xml"/><Relationship Id="rId11" Type="http://schemas.openxmlformats.org/officeDocument/2006/relationships/chart" Target="charts/chart1.xml"/><Relationship Id="rId10" Type="http://schemas.openxmlformats.org/officeDocument/2006/relationships/image" Target="media/image1.jpeg"/><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9" Type="http://schemas.openxmlformats.org/officeDocument/2006/relationships/font" Target="fonts/font9.odttf"/><Relationship Id="rId8" Type="http://schemas.openxmlformats.org/officeDocument/2006/relationships/font" Target="fonts/font8.odttf"/><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1" Type="http://schemas.openxmlformats.org/officeDocument/2006/relationships/font" Target="fonts/font11.odttf"/><Relationship Id="rId10" Type="http://schemas.openxmlformats.org/officeDocument/2006/relationships/font" Target="fonts/font10.odttf"/><Relationship Id="rId1" Type="http://schemas.openxmlformats.org/officeDocument/2006/relationships/font" Target="fonts/font1.odttf"/></Relationships>
</file>

<file path=word/charts/_rels/chart1.xml.rels><?xml version="1.0" encoding="UTF-8" standalone="yes"?>
<Relationships xmlns="http://schemas.openxmlformats.org/package/2006/relationships"><Relationship Id="rId3" Type="http://schemas.microsoft.com/office/2011/relationships/chartColorStyle" Target="colors1.xml"/><Relationship Id="rId2" Type="http://schemas.microsoft.com/office/2011/relationships/chartStyle" Target="style1.xml"/><Relationship Id="rId1" Type="http://schemas.openxmlformats.org/officeDocument/2006/relationships/package" Target="../embeddings/Workbook1.xlsx"/></Relationships>
</file>

<file path=word/charts/_rels/chart2.xml.rels><?xml version="1.0" encoding="UTF-8" standalone="yes"?>
<Relationships xmlns="http://schemas.openxmlformats.org/package/2006/relationships"><Relationship Id="rId3" Type="http://schemas.microsoft.com/office/2011/relationships/chartColorStyle" Target="colors2.xml"/><Relationship Id="rId2" Type="http://schemas.microsoft.com/office/2011/relationships/chartStyle" Target="style2.xml"/><Relationship Id="rId1" Type="http://schemas.openxmlformats.org/officeDocument/2006/relationships/package" Target="../embeddings/Workbook2.xlsx"/></Relationships>
</file>

<file path=word/charts/_rels/chart3.xml.rels><?xml version="1.0" encoding="UTF-8" standalone="yes"?>
<Relationships xmlns="http://schemas.openxmlformats.org/package/2006/relationships"><Relationship Id="rId3" Type="http://schemas.microsoft.com/office/2011/relationships/chartColorStyle" Target="colors3.xml"/><Relationship Id="rId2" Type="http://schemas.microsoft.com/office/2011/relationships/chartStyle" Target="style3.xml"/><Relationship Id="rId1" Type="http://schemas.openxmlformats.org/officeDocument/2006/relationships/package" Target="../embeddings/Workbook3.xlsx"/></Relationships>
</file>

<file path=word/charts/_rels/chart4.xml.rels><?xml version="1.0" encoding="UTF-8" standalone="yes"?>
<Relationships xmlns="http://schemas.openxmlformats.org/package/2006/relationships"><Relationship Id="rId3" Type="http://schemas.microsoft.com/office/2011/relationships/chartColorStyle" Target="colors4.xml"/><Relationship Id="rId2" Type="http://schemas.microsoft.com/office/2011/relationships/chartStyle" Target="style4.xml"/><Relationship Id="rId1" Type="http://schemas.openxmlformats.org/officeDocument/2006/relationships/package" Target="../embeddings/Workbook4.xlsx"/></Relationships>
</file>

<file path=word/charts/_rels/chart5.xml.rels><?xml version="1.0" encoding="UTF-8" standalone="yes"?>
<Relationships xmlns="http://schemas.openxmlformats.org/package/2006/relationships"><Relationship Id="rId3" Type="http://schemas.microsoft.com/office/2011/relationships/chartColorStyle" Target="colors5.xml"/><Relationship Id="rId2" Type="http://schemas.microsoft.com/office/2011/relationships/chartStyle" Target="style5.xml"/><Relationship Id="rId1" Type="http://schemas.openxmlformats.org/officeDocument/2006/relationships/package" Target="../embeddings/Workbook5.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1 </a:t>
            </a:r>
            <a:r>
              <a:rPr lang="zh-CN" altLang="en-US"/>
              <a:t>： </a:t>
            </a:r>
            <a:r>
              <a:rPr lang="en-US" altLang="zh-CN"/>
              <a:t>2023-2024</a:t>
            </a:r>
            <a:r>
              <a:rPr lang="zh-CN" altLang="en-US"/>
              <a:t>年收支总计对比图（万元）</a:t>
            </a:r>
            <a:endParaRPr lang="zh-CN" altLang="en-US"/>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收支总计</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Sheet1!$A$2:$A$3</c:f>
              <c:strCache>
                <c:ptCount val="2"/>
                <c:pt idx="0">
                  <c:v>2023年</c:v>
                </c:pt>
                <c:pt idx="1">
                  <c:v>2024年</c:v>
                </c:pt>
              </c:strCache>
            </c:strRef>
          </c:cat>
          <c:val>
            <c:numRef>
              <c:f>Sheet1!$B$2:$B$3</c:f>
              <c:numCache>
                <c:formatCode>General</c:formatCode>
                <c:ptCount val="2"/>
                <c:pt idx="0">
                  <c:v>737384.62</c:v>
                </c:pt>
                <c:pt idx="1">
                  <c:v>1246846.75</c:v>
                </c:pt>
              </c:numCache>
            </c:numRef>
          </c:val>
        </c:ser>
        <c:dLbls>
          <c:showLegendKey val="0"/>
          <c:showVal val="1"/>
          <c:showCatName val="0"/>
          <c:showSerName val="0"/>
          <c:showPercent val="0"/>
          <c:showBubbleSize val="0"/>
        </c:dLbls>
        <c:gapWidth val="246"/>
        <c:overlap val="-28"/>
        <c:axId val="817088452"/>
        <c:axId val="587069473"/>
      </c:barChart>
      <c:catAx>
        <c:axId val="817088452"/>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587069473"/>
        <c:crosses val="autoZero"/>
        <c:auto val="1"/>
        <c:lblAlgn val="ctr"/>
        <c:lblOffset val="100"/>
        <c:noMultiLvlLbl val="0"/>
      </c:catAx>
      <c:valAx>
        <c:axId val="587069473"/>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17088452"/>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2 </a:t>
            </a:r>
            <a:r>
              <a:rPr lang="zh-CN" altLang="en-US"/>
              <a:t>：收入决算构成情况图</a:t>
            </a:r>
            <a:endParaRPr lang="zh-CN" altLang="en-US"/>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Pt>
            <c:idx val="5"/>
            <c:bubble3D val="0"/>
            <c:spPr>
              <a:solidFill>
                <a:schemeClr val="accent6"/>
              </a:solidFill>
              <a:ln>
                <a:solidFill>
                  <a:schemeClr val="bg1"/>
                </a:solidFill>
              </a:ln>
              <a:effectLst/>
            </c:spPr>
          </c:dPt>
          <c:dLbls>
            <c:dLbl>
              <c:idx val="0"/>
              <c:layout>
                <c:manualLayout>
                  <c:x val="0.320125539403024"/>
                  <c:y val="0.72690713982147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1"/>
              <c:layout>
                <c:manualLayout>
                  <c:x val="-0.308045516407558"/>
                  <c:y val="0.63914683382912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2"/>
              <c:layout>
                <c:manualLayout>
                  <c:x val="0.405411836540074"/>
                  <c:y val="0.171855078623054"/>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37059073523162"/>
                    </c:manualLayout>
                  </c15:layout>
                </c:ext>
              </c:extLst>
            </c:dLbl>
            <c:dLbl>
              <c:idx val="3"/>
              <c:layout>
                <c:manualLayout>
                  <c:x val="-0.286905148238858"/>
                  <c:y val="0.270250743731381"/>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10709732256694"/>
                    </c:manualLayout>
                  </c15:layout>
                </c:ext>
              </c:extLst>
            </c:dLbl>
            <c:dLbl>
              <c:idx val="4"/>
              <c:layout>
                <c:manualLayout>
                  <c:x val="-0.298985360795255"/>
                  <c:y val="0.44916064598386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211403720706"/>
                      <c:h val="0.154908627284318"/>
                    </c:manualLayout>
                  </c15:layout>
                </c:ext>
              </c:extLst>
            </c:dLbl>
            <c:dLbl>
              <c:idx val="5"/>
              <c:layout>
                <c:manualLayout>
                  <c:x val="-0.288475575878384"/>
                  <c:y val="0.124165958351015"/>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10922226944326"/>
                    </c:manualLayout>
                  </c15:layout>
                </c:ext>
              </c:extLst>
            </c:dLbl>
            <c:numFmt formatCode="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ctr"/>
            <c:showLegendKey val="1"/>
            <c:showVal val="0"/>
            <c:showCatName val="1"/>
            <c:showSerName val="0"/>
            <c:showPercent val="1"/>
            <c:showBubbleSize val="0"/>
            <c:separator> </c:separator>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Sheet1!$A$2:$A$7</c:f>
              <c:strCache>
                <c:ptCount val="6"/>
                <c:pt idx="0">
                  <c:v>财政拨款收入</c:v>
                </c:pt>
                <c:pt idx="1">
                  <c:v>上级补助收入</c:v>
                </c:pt>
                <c:pt idx="2">
                  <c:v>事业收入</c:v>
                </c:pt>
                <c:pt idx="3">
                  <c:v>经营收入</c:v>
                </c:pt>
                <c:pt idx="4">
                  <c:v>附属单位上缴收入</c:v>
                </c:pt>
                <c:pt idx="5">
                  <c:v>其他收入</c:v>
                </c:pt>
              </c:strCache>
            </c:strRef>
          </c:cat>
          <c:val>
            <c:numRef>
              <c:f>Sheet1!$B$2:$B$7</c:f>
              <c:numCache>
                <c:formatCode>General</c:formatCode>
                <c:ptCount val="6"/>
                <c:pt idx="0">
                  <c:v>12389385291.65</c:v>
                </c:pt>
                <c:pt idx="1">
                  <c:v>0</c:v>
                </c:pt>
                <c:pt idx="2">
                  <c:v>0</c:v>
                </c:pt>
                <c:pt idx="3">
                  <c:v>0</c:v>
                </c:pt>
                <c:pt idx="4">
                  <c:v>0</c:v>
                </c:pt>
                <c:pt idx="5">
                  <c:v>26356282.8</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baseline="0">
                <a:solidFill>
                  <a:schemeClr val="tx1">
                    <a:lumMod val="75000"/>
                    <a:lumOff val="25000"/>
                  </a:schemeClr>
                </a:solidFill>
                <a:latin typeface="+mn-lt"/>
                <a:ea typeface="+mn-ea"/>
                <a:cs typeface="+mn-cs"/>
              </a:defRPr>
            </a:pPr>
            <a:r>
              <a:rPr lang="zh-CN" altLang="en-US" b="1"/>
              <a:t>图 </a:t>
            </a:r>
            <a:r>
              <a:rPr lang="en-US" altLang="zh-CN" b="1"/>
              <a:t>3 </a:t>
            </a:r>
            <a:r>
              <a:rPr lang="zh-CN" altLang="en-US" b="1"/>
              <a:t>：支出决算构成情况图</a:t>
            </a:r>
            <a:endParaRPr lang="zh-CN" altLang="en-US" b="1"/>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Lbls>
            <c:dLbl>
              <c:idx val="0"/>
              <c:layout>
                <c:manualLayout>
                  <c:x val="0.346218893452525"/>
                  <c:y val="0.71546961325966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1"/>
              <c:layout>
                <c:manualLayout>
                  <c:x val="0.357095916888137"/>
                  <c:y val="0.097938376540627"/>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2"/>
              <c:layout>
                <c:manualLayout>
                  <c:x val="-0.292703551582508"/>
                  <c:y val="0.26689332766680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3"/>
              <c:layout>
                <c:manualLayout>
                  <c:x val="-0.315235684561946"/>
                  <c:y val="0.468316617084613"/>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4"/>
              <c:layout>
                <c:manualLayout>
                  <c:x val="-0.273558967655045"/>
                  <c:y val="0.71821036974079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numFmt formatCode="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bestFit"/>
            <c:showLegendKey val="1"/>
            <c:showVal val="0"/>
            <c:showCatName val="1"/>
            <c:showSerName val="0"/>
            <c:showPercent val="1"/>
            <c:showBubbleSize val="0"/>
            <c:showLeaderLines val="0"/>
            <c:extLst>
              <c:ext xmlns:c15="http://schemas.microsoft.com/office/drawing/2012/chart" uri="{CE6537A1-D6FC-4f65-9D91-7224C49458BB}">
                <c15:layout/>
                <c15:showLeaderLines val="0"/>
                <c15:leaderLines>
                  <c:spPr>
                    <a:ln w="9525" cap="flat" cmpd="sng" algn="ctr">
                      <a:solidFill>
                        <a:schemeClr val="tx1">
                          <a:lumMod val="35000"/>
                          <a:lumOff val="65000"/>
                        </a:schemeClr>
                      </a:solidFill>
                      <a:round/>
                    </a:ln>
                    <a:effectLst/>
                  </c:spPr>
                </c15:leaderLines>
              </c:ext>
            </c:extLst>
          </c:dLbls>
          <c:cat>
            <c:strRef>
              <c:f>Sheet1!$A$2:$A$6</c:f>
              <c:strCache>
                <c:ptCount val="5"/>
                <c:pt idx="0">
                  <c:v>基本支出</c:v>
                </c:pt>
                <c:pt idx="1">
                  <c:v>项目支出</c:v>
                </c:pt>
                <c:pt idx="2">
                  <c:v>上缴上级支出</c:v>
                </c:pt>
                <c:pt idx="3">
                  <c:v>经营支出</c:v>
                </c:pt>
                <c:pt idx="4">
                  <c:v>对附属单位补助支出</c:v>
                </c:pt>
              </c:strCache>
            </c:strRef>
          </c:cat>
          <c:val>
            <c:numRef>
              <c:f>Sheet1!$B$2:$B$6</c:f>
              <c:numCache>
                <c:formatCode>General</c:formatCode>
                <c:ptCount val="5"/>
                <c:pt idx="0">
                  <c:v>153682245.34</c:v>
                </c:pt>
                <c:pt idx="1">
                  <c:v>12276292019.16</c:v>
                </c:pt>
                <c:pt idx="2">
                  <c:v>0</c:v>
                </c:pt>
                <c:pt idx="3">
                  <c:v>0</c:v>
                </c:pt>
                <c:pt idx="4">
                  <c:v>0</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4 </a:t>
            </a:r>
            <a:r>
              <a:rPr lang="zh-CN" altLang="en-US"/>
              <a:t>：</a:t>
            </a:r>
            <a:r>
              <a:rPr lang="en-US" altLang="zh-CN"/>
              <a:t>2023-2024</a:t>
            </a:r>
            <a:r>
              <a:rPr lang="zh-CN" altLang="en-US"/>
              <a:t>年财政拨款收支对比图（万元）</a:t>
            </a:r>
            <a:endParaRPr lang="zh-CN" altLang="en-US"/>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2023年</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Sheet1!$B$2:$B$9</c:f>
              <c:numCache>
                <c:formatCode>General</c:formatCode>
                <c:ptCount val="8"/>
                <c:pt idx="0">
                  <c:v>725683.23</c:v>
                </c:pt>
                <c:pt idx="1">
                  <c:v>730509.77</c:v>
                </c:pt>
                <c:pt idx="2">
                  <c:v>181281.38</c:v>
                </c:pt>
                <c:pt idx="3">
                  <c:v>186107.93</c:v>
                </c:pt>
                <c:pt idx="4">
                  <c:v>544401.84</c:v>
                </c:pt>
                <c:pt idx="5">
                  <c:v>544401.84</c:v>
                </c:pt>
                <c:pt idx="6">
                  <c:v>0</c:v>
                </c:pt>
                <c:pt idx="7">
                  <c:v>0</c:v>
                </c:pt>
              </c:numCache>
            </c:numRef>
          </c:val>
        </c:ser>
        <c:ser>
          <c:idx val="1"/>
          <c:order val="1"/>
          <c:tx>
            <c:strRef>
              <c:f>Sheet1!$C$1</c:f>
              <c:strCache>
                <c:ptCount val="1"/>
                <c:pt idx="0">
                  <c:v>2024年</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Sheet1!$C$2:$C$9</c:f>
              <c:numCache>
                <c:formatCode>General</c:formatCode>
                <c:ptCount val="8"/>
                <c:pt idx="0">
                  <c:v>1238938.53</c:v>
                </c:pt>
                <c:pt idx="1">
                  <c:v>1240361.8</c:v>
                </c:pt>
                <c:pt idx="2">
                  <c:v>184843.29</c:v>
                </c:pt>
                <c:pt idx="3">
                  <c:v>186266.56</c:v>
                </c:pt>
                <c:pt idx="4">
                  <c:v>1054095.23</c:v>
                </c:pt>
                <c:pt idx="5">
                  <c:v>1054095.23</c:v>
                </c:pt>
                <c:pt idx="6">
                  <c:v>0</c:v>
                </c:pt>
                <c:pt idx="7">
                  <c:v>0</c:v>
                </c:pt>
              </c:numCache>
            </c:numRef>
          </c:val>
        </c:ser>
        <c:dLbls>
          <c:showLegendKey val="0"/>
          <c:showVal val="1"/>
          <c:showCatName val="0"/>
          <c:showSerName val="0"/>
          <c:showPercent val="0"/>
          <c:showBubbleSize val="0"/>
        </c:dLbls>
        <c:gapWidth val="246"/>
        <c:overlap val="-28"/>
        <c:axId val="40225855"/>
        <c:axId val="660958640"/>
      </c:barChart>
      <c:catAx>
        <c:axId val="40225855"/>
        <c:scaling>
          <c:orientation val="minMax"/>
        </c:scaling>
        <c:delete val="0"/>
        <c:axPos val="b"/>
        <c:numFmt formatCode="General" sourceLinked="0"/>
        <c:majorTickMark val="out"/>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660958640"/>
        <c:crosses val="autoZero"/>
        <c:auto val="1"/>
        <c:lblAlgn val="ctr"/>
        <c:lblOffset val="100"/>
        <c:noMultiLvlLbl val="0"/>
      </c:catAx>
      <c:valAx>
        <c:axId val="660958640"/>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out"/>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40225855"/>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dTable>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5 :</a:t>
            </a:r>
            <a:r>
              <a:rPr lang="zh-CN" altLang="en-US"/>
              <a:t>财政拨款收支预算对比图（万元）</a:t>
            </a:r>
            <a:endParaRPr lang="zh-CN" altLang="en-US"/>
          </a:p>
        </c:rich>
      </c:tx>
      <c:layout/>
      <c:overlay val="0"/>
      <c:spPr>
        <a:noFill/>
        <a:ln>
          <a:noFill/>
        </a:ln>
        <a:effectLst/>
      </c:spPr>
    </c:title>
    <c:autoTitleDeleted val="0"/>
    <c:plotArea>
      <c:layout>
        <c:manualLayout>
          <c:layoutTarget val="inner"/>
          <c:xMode val="edge"/>
          <c:yMode val="edge"/>
          <c:x val="0.17641942498188"/>
          <c:y val="0.160433489162771"/>
          <c:w val="0.795796086011114"/>
          <c:h val="0.474330641733957"/>
        </c:manualLayout>
      </c:layout>
      <c:barChart>
        <c:barDir val="col"/>
        <c:grouping val="clustered"/>
        <c:varyColors val="0"/>
        <c:ser>
          <c:idx val="0"/>
          <c:order val="0"/>
          <c:tx>
            <c:strRef>
              <c:f>Sheet1!$B$1</c:f>
              <c:strCache>
                <c:ptCount val="1"/>
                <c:pt idx="0">
                  <c:v>年初预算数</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Sheet1!$B$2:$B$9</c:f>
              <c:numCache>
                <c:formatCode>General</c:formatCode>
                <c:ptCount val="8"/>
                <c:pt idx="0">
                  <c:v>415410.26</c:v>
                </c:pt>
                <c:pt idx="1">
                  <c:v>417366.24</c:v>
                </c:pt>
                <c:pt idx="2">
                  <c:v>192600.49</c:v>
                </c:pt>
                <c:pt idx="3">
                  <c:v>194556.47</c:v>
                </c:pt>
                <c:pt idx="4">
                  <c:v>222809.77</c:v>
                </c:pt>
                <c:pt idx="5">
                  <c:v>222809.77</c:v>
                </c:pt>
                <c:pt idx="6">
                  <c:v>0</c:v>
                </c:pt>
                <c:pt idx="7">
                  <c:v>0</c:v>
                </c:pt>
              </c:numCache>
            </c:numRef>
          </c:val>
        </c:ser>
        <c:ser>
          <c:idx val="1"/>
          <c:order val="1"/>
          <c:tx>
            <c:strRef>
              <c:f>Sheet1!$C$1</c:f>
              <c:strCache>
                <c:ptCount val="1"/>
                <c:pt idx="0">
                  <c:v>决算数</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Sheet1!$C$2:$C$9</c:f>
              <c:numCache>
                <c:formatCode>General</c:formatCode>
                <c:ptCount val="8"/>
                <c:pt idx="0">
                  <c:v>1238938.53</c:v>
                </c:pt>
                <c:pt idx="1">
                  <c:v>1240361.8</c:v>
                </c:pt>
                <c:pt idx="2">
                  <c:v>184843.29</c:v>
                </c:pt>
                <c:pt idx="3">
                  <c:v>186266.56</c:v>
                </c:pt>
                <c:pt idx="4">
                  <c:v>1054095.23</c:v>
                </c:pt>
                <c:pt idx="5">
                  <c:v>1054095.23</c:v>
                </c:pt>
                <c:pt idx="6">
                  <c:v>0</c:v>
                </c:pt>
                <c:pt idx="7">
                  <c:v>0</c:v>
                </c:pt>
              </c:numCache>
            </c:numRef>
          </c:val>
        </c:ser>
        <c:dLbls>
          <c:showLegendKey val="0"/>
          <c:showVal val="1"/>
          <c:showCatName val="0"/>
          <c:showSerName val="0"/>
          <c:showPercent val="0"/>
          <c:showBubbleSize val="0"/>
        </c:dLbls>
        <c:gapWidth val="150"/>
        <c:axId val="136214206"/>
        <c:axId val="897256872"/>
      </c:barChart>
      <c:catAx>
        <c:axId val="136214206"/>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97256872"/>
        <c:crosses val="autoZero"/>
        <c:auto val="1"/>
        <c:lblAlgn val="ctr"/>
        <c:lblOffset val="100"/>
        <c:noMultiLvlLbl val="0"/>
      </c:catAx>
      <c:valAx>
        <c:axId val="897256872"/>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136214206"/>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dTable>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神州网信技术有限公司</Company>
  <Pages>25</Pages>
  <Words>611</Words>
  <Characters>2169</Characters>
  <Lines>86</Lines>
  <Paragraphs>24</Paragraphs>
  <TotalTime>0</TotalTime>
  <ScaleCrop>false</ScaleCrop>
  <LinksUpToDate>false</LinksUpToDate>
  <CharactersWithSpaces>2170</CharactersWithSpaces>
  <Application>WPS Office_11.8.2.8411_F1E327BC-269C-435d-A152-05C5408002CA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2023-08-04T07:55:00Z</dcterms:created>
  <dc:creator>王明新TIAD</dc:creator>
  <cp:lastModifiedBy>lenovo</cp:lastModifiedBy>
  <cp:lastPrinted>2023-08-04T01:00:00Z</cp:lastPrinted>
  <dcterms:modified xsi:type="dcterms:W3CDTF">2025-09-16T09:27:50Z</dcterms:modified>
  <cp:revision>15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2052-11.8.2.8411</vt:lpwstr>
  </property>
  <property fmtid="{D5CDD505-2E9C-101B-9397-08002B2CF9AE}" pid="3" name="ICV">
    <vt:lpwstr>B9D4097774744A28A58B1072CF95DB35_13</vt:lpwstr>
  </property>
  <property fmtid="{D5CDD505-2E9C-101B-9397-08002B2CF9AE}" pid="4" name="KSOTemplateUUID">
    <vt:lpwstr>v1.0_mb_S7ajbG3IpAnL1wSthNCxfw==</vt:lpwstr>
  </property>
  <property fmtid="{D5CDD505-2E9C-101B-9397-08002B2CF9AE}" pid="5" name="KSOTemplateDocerSaveRecord">
    <vt:lpwstr>eyJoZGlkIjoiYjA3YzVjY2RhYzM1OWI4MmYzZjdlYWUzZWM2YTQyNTYiLCJ1c2VySWQiOiIxNTIwMzY1OTkzIn0=</vt:lpwstr>
  </property>
</Properties>
</file>