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mc:AlternateContent>
          <mc:Choice Requires="wps">
            <w:drawing>
              <wp:anchor distT="0" distB="0" distL="114300" distR="114300" simplePos="0" relativeHeight="251660288" behindDoc="0" locked="0" layoutInCell="1" allowOverlap="1">
                <wp:simplePos x="0" y="0"/>
                <wp:positionH relativeFrom="column">
                  <wp:posOffset>-142240</wp:posOffset>
                </wp:positionH>
                <wp:positionV relativeFrom="paragraph">
                  <wp:posOffset>276860</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11.2pt;margin-top:21.8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lang w:eastAsia="zh-CN"/>
                          <w14:textFill>
                            <w14:solidFill>
                              <w14:schemeClr w14:val="tx1">
                                <w14:lumMod w14:val="95000"/>
                                <w14:lumOff w14:val="5000"/>
                              </w14:schemeClr>
                            </w14:solidFill>
                          </w14:textFill>
                        </w:rPr>
                        <w:t>单位</w:t>
                      </w: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决算公开文本</w:t>
                      </w:r>
                    </w:p>
                  </w:txbxContent>
                </v:textbox>
              </v:shape>
            </w:pict>
          </mc:Fallback>
        </mc:AlternateContent>
      </w: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0">
                      <a:lum bright="6000"/>
                    </a:blip>
                    <a:srcRect t="559" b="3637"/>
                    <a:stretch>
                      <a:fillRect/>
                    </a:stretch>
                  </pic:blipFill>
                  <pic:spPr>
                    <a:xfrm>
                      <a:off x="0" y="0"/>
                      <a:ext cx="8646795" cy="11107420"/>
                    </a:xfrm>
                    <a:prstGeom prst="rect">
                      <a:avLst/>
                    </a:prstGeom>
                  </pic:spPr>
                </pic:pic>
              </a:graphicData>
            </a:graphic>
          </wp:anchor>
        </w:drawing>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：石家庄市交通运输局(本级)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pacing w:val="-20"/>
          <w:sz w:val="72"/>
          <w:szCs w:val="72"/>
        </w:rPr>
      </w:pPr>
      <w:r>
        <w:rPr>
          <w:rFonts w:ascii="Times New Roman" w:eastAsia="方正小标宋_GBK"/>
          <w:b w:val="0"/>
          <w:spacing w:val="-20"/>
          <w:sz w:val="72"/>
          <w:szCs w:val="72"/>
        </w:rPr>
        <w:t>石家庄市交通运输局(本级)</w:t>
      </w:r>
    </w:p>
    <w:p>
      <w:pPr>
        <w:widowControl/>
        <w:spacing w:before="0" w:beforeLines="0" w:beforeAutospacing="0" w:after="0" w:afterLines="0" w:afterAutospacing="0" w:line="360" w:lineRule="auto"/>
        <w:jc w:val="center"/>
        <w:rPr>
          <w:rFonts w:ascii="Times New Roman" w:eastAsia="方正小标宋_GBK"/>
          <w:spacing w:val="-34"/>
          <w:sz w:val="72"/>
          <w:szCs w:val="72"/>
        </w:rPr>
      </w:pPr>
      <w:r>
        <w:rPr>
          <w:rFonts w:ascii="Times New Roman" w:eastAsia="仿宋_GB2312"/>
          <w:b w:val="0"/>
          <w:spacing w:val="-34"/>
          <w:sz w:val="72"/>
          <w:szCs w:val="72"/>
        </w:rPr>
        <w:t>2024</w:t>
      </w:r>
      <w:r>
        <w:rPr>
          <w:rFonts w:ascii="Times New Roman" w:eastAsia="方正小标宋_GBK"/>
          <w:b w:val="0"/>
          <w:spacing w:val="-34"/>
          <w:sz w:val="72"/>
          <w:szCs w:val="72"/>
        </w:rPr>
        <w:t>年度</w:t>
      </w:r>
      <w:r>
        <w:rPr>
          <w:rFonts w:hint="eastAsia" w:ascii="Times New Roman" w:eastAsia="方正小标宋_GBK"/>
          <w:b w:val="0"/>
          <w:spacing w:val="-34"/>
          <w:sz w:val="72"/>
          <w:szCs w:val="72"/>
          <w:lang w:eastAsia="zh-CN"/>
        </w:rPr>
        <w:t>单位</w:t>
      </w:r>
      <w:r>
        <w:rPr>
          <w:rFonts w:ascii="Times New Roman" w:eastAsia="方正小标宋_GBK"/>
          <w:b w:val="0"/>
          <w:spacing w:val="-34"/>
          <w:sz w:val="72"/>
          <w:szCs w:val="72"/>
        </w:rPr>
        <w:t>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石家庄市交通运输局(本级)</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九</w:t>
      </w:r>
      <w:r>
        <w:rPr>
          <w:rFonts w:ascii="Times New Roman" w:eastAsia="楷体_GB2312"/>
          <w:b w:val="0"/>
          <w:sz w:val="44"/>
          <w:szCs w:val="44"/>
        </w:rPr>
        <w:t>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1531" w:right="1984" w:bottom="1531" w:left="1984"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第二部分2024年度</w:t>
      </w:r>
      <w:r>
        <w:rPr>
          <w:rFonts w:hint="eastAsia" w:ascii="Times New Roman" w:eastAsia="黑体"/>
          <w:b w:val="0"/>
          <w:sz w:val="32"/>
          <w:szCs w:val="32"/>
          <w:lang w:eastAsia="zh-CN"/>
        </w:rPr>
        <w:t>单位</w:t>
      </w:r>
      <w:r>
        <w:rPr>
          <w:rFonts w:ascii="Times New Roman" w:eastAsia="黑体"/>
          <w:b w:val="0"/>
          <w:sz w:val="32"/>
          <w:szCs w:val="32"/>
        </w:rPr>
        <w:t>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第三部分2024年度</w:t>
      </w:r>
      <w:r>
        <w:rPr>
          <w:rFonts w:hint="eastAsia" w:ascii="Times New Roman" w:eastAsia="黑体"/>
          <w:b w:val="0"/>
          <w:sz w:val="32"/>
          <w:szCs w:val="32"/>
          <w:lang w:eastAsia="zh-CN"/>
        </w:rPr>
        <w:t>单位</w:t>
      </w:r>
      <w:r>
        <w:rPr>
          <w:rFonts w:ascii="Times New Roman" w:eastAsia="黑体"/>
          <w:b w:val="0"/>
          <w:sz w:val="32"/>
          <w:szCs w:val="32"/>
        </w:rPr>
        <w:t>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5" w:type="first"/>
          <w:footerReference r:id="rId7" w:type="first"/>
          <w:headerReference r:id="rId4" w:type="default"/>
          <w:footerReference r:id="rId6"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pStyle w:val="11"/>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eastAsia" w:ascii="仿宋_GB2312" w:hAnsi="仿宋_GB2312" w:eastAsia="仿宋_GB2312" w:cs="仿宋_GB2312"/>
          <w:sz w:val="32"/>
          <w:szCs w:val="32"/>
        </w:rPr>
      </w:pPr>
      <w:r>
        <w:rPr>
          <w:rFonts w:hint="default" w:ascii="Arial" w:hAnsi="Arial" w:eastAsia="Arial" w:cs="Arial"/>
          <w:i w:val="0"/>
          <w:iCs w:val="0"/>
          <w:caps w:val="0"/>
          <w:color w:val="000000"/>
          <w:spacing w:val="0"/>
          <w:sz w:val="18"/>
          <w:szCs w:val="18"/>
          <w:highlight w:val="none"/>
          <w:shd w:val="clear" w:fill="FFFFFF"/>
        </w:rPr>
        <w:t> </w:t>
      </w:r>
      <w:r>
        <w:rPr>
          <w:rFonts w:hint="eastAsia" w:ascii="Arial" w:hAnsi="Arial" w:eastAsia="宋体" w:cs="Arial"/>
          <w:i w:val="0"/>
          <w:iCs w:val="0"/>
          <w:caps w:val="0"/>
          <w:color w:val="000000"/>
          <w:spacing w:val="0"/>
          <w:sz w:val="18"/>
          <w:szCs w:val="18"/>
          <w:highlight w:val="none"/>
          <w:shd w:val="clear" w:fill="FFFFFF"/>
          <w:lang w:val="en-US" w:eastAsia="zh-CN"/>
        </w:rPr>
        <w:t xml:space="preserve">  </w:t>
      </w:r>
      <w:r>
        <w:rPr>
          <w:rFonts w:hint="eastAsia" w:ascii="仿宋_GB2312" w:hAnsi="仿宋_GB2312" w:eastAsia="仿宋_GB2312" w:cs="仿宋_GB2312"/>
          <w:i w:val="0"/>
          <w:iCs w:val="0"/>
          <w:caps w:val="0"/>
          <w:color w:val="000000"/>
          <w:spacing w:val="0"/>
          <w:sz w:val="32"/>
          <w:szCs w:val="32"/>
          <w:highlight w:val="none"/>
          <w:shd w:val="clear" w:fill="FFFFFF"/>
          <w:lang w:val="en-US" w:eastAsia="zh-CN"/>
        </w:rPr>
        <w:t xml:space="preserve">  </w:t>
      </w:r>
      <w:r>
        <w:rPr>
          <w:rFonts w:hint="eastAsia" w:ascii="仿宋_GB2312" w:hAnsi="仿宋_GB2312" w:eastAsia="仿宋_GB2312" w:cs="仿宋_GB2312"/>
          <w:color w:val="000000"/>
          <w:kern w:val="0"/>
          <w:sz w:val="32"/>
          <w:szCs w:val="32"/>
          <w:lang w:val="en-US" w:eastAsia="zh-CN" w:bidi="ar"/>
        </w:rPr>
        <w:t>根据《石家庄市交通运输局职能配置、内设机构和人员编制规定》，石家庄市交通运输局的主要职责是：</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（一）拟订全市交通运输行业发展规划并组织实施；起草交通运输方面地方性法规和政府规章草案；参与拟订有关物流业发展规划并监督实施。</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会同有关部门编制全市综合交通运输体系规划并组织实施；协调规划全市综合交通运输体系建设，组织协调相关运输方式的合理布局和有效衔接;负责建立完善交通运输行业联运服务体系；拟订全市公路建设、城市公共交通（不含轨道交通,下同）建设和道路（含水路，下同）运输中长期发展规划；拟订公路建设与养护年度指令性计划并组织实施；负责交通运输枢纽规划和管理。</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承担全市公路建设市场监管责任。负责全市国省干线公路（含国防公路）的规划、建设、养护、管理，依法维护路产路权、保护公路设施，开发公路用地；依法查处超限超载运输车辆；负责交通运输工程建设、工程质量和安全生产的监管；负责全市交通基本建设项目招投标活动的监督管理；负责全市收费公路管理；配合做好国防交通有关工作。</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承担道路运输市场监管责任。负责道路运输经营、道路运输相关业务和城市公共交通等行业管理工作；负责市内公交站、场、点的规划、建设和管理，依法保护和支持合法经营，取缔非法运输；指导城乡客运及有关设施规划和管理；承担有关物流市场管理。</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（五）承担管辖水域水上交通安全监管责任。负责全市渔船检验和监督管理工作，会同有关部门，依法组织或参与事故调查处理。</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负责提出全市交通运输行业固定资产投资规模和方向、市财政性资金安排意见；负责监督市本级交通运输系统国有资产经营管理工作；负责全市交通运输资金的管理、使用和投资开发工作；指导交通系统内部审计工作；承担交通运输行业财政预算资金的绩效监督和管理工作。</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制订全市交通运输行业科技发展规划，组织行业科技创新应用，推动行业技术进步；负责交通运输行业信息化建设，监测分析交通运输运行情况，开展相关统计工作；指导交通运输行业环境保护和节能减排。</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（八）负责全市交通运输综合行政执法和队伍建设有关工作；统筹协调交通运输综合行政执法工作；负责交通运输行业体制改革工作。</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（九）负责交通运输系统安全生产和应急管理工作；牵头负责铁路沿线环境安全监管职责；按规定组织协调国家、省、市重点物资和紧急客货运输; 负责市内高速公路及国、省重点干线公路网运行监测和应急处置协调工作。</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（十）负责全市交通运输行业的涉外事宜，指导利用外资，开展交通运输经济技术合作与交流。</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（十一）推进京津冀协同发展交通一体化工作。</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 ）指导各县（市、区）交通运输相关工作。</w:t>
      </w:r>
    </w:p>
    <w:p>
      <w:pPr>
        <w:pStyle w:val="27"/>
        <w:keepNext w:val="0"/>
        <w:keepLines w:val="0"/>
        <w:widowControl w:val="0"/>
        <w:suppressLineNumbers w:val="0"/>
        <w:autoSpaceDE w:val="0"/>
        <w:autoSpaceDN/>
        <w:spacing w:line="600" w:lineRule="exact"/>
        <w:ind w:left="0" w:right="0"/>
        <w:jc w:val="both"/>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（十三）完成市委、市政府交办的其他任务。</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w:t>
      </w:r>
      <w:r>
        <w:rPr>
          <w:rFonts w:hint="eastAsia" w:ascii="Times New Roman" w:eastAsia="仿宋_GB2312"/>
          <w:b w:val="0"/>
          <w:sz w:val="32"/>
          <w:szCs w:val="32"/>
          <w:lang w:eastAsia="zh-CN"/>
        </w:rPr>
        <w:t>单位</w:t>
      </w:r>
      <w:r>
        <w:rPr>
          <w:rFonts w:ascii="Times New Roman" w:eastAsia="仿宋_GB2312"/>
          <w:b w:val="0"/>
          <w:sz w:val="32"/>
          <w:szCs w:val="32"/>
        </w:rPr>
        <w:t>决算汇编范围的独立核算单位（以下简称“单位”）共</w:t>
      </w:r>
      <w:r>
        <w:rPr>
          <w:rFonts w:hint="eastAsia" w:ascii="Times New Roman" w:eastAsia="仿宋_GB2312"/>
          <w:b w:val="0"/>
          <w:sz w:val="32"/>
          <w:szCs w:val="32"/>
          <w:lang w:val="en-US" w:eastAsia="zh-CN"/>
        </w:rPr>
        <w:t>1</w:t>
      </w:r>
      <w:r>
        <w:rPr>
          <w:rFonts w:ascii="Times New Roman" w:eastAsia="仿宋_GB2312"/>
          <w:b w:val="0"/>
          <w:sz w:val="32"/>
          <w:szCs w:val="32"/>
        </w:rPr>
        <w:t>个，具体情况如下：</w:t>
      </w:r>
    </w:p>
    <w:tbl>
      <w:tblPr>
        <w:tblStyle w:val="13"/>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899"/>
        <w:gridCol w:w="2031"/>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89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031"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899"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石家庄市交通运输局(本级)</w:t>
            </w:r>
          </w:p>
        </w:tc>
        <w:tc>
          <w:tcPr>
            <w:tcW w:w="2031"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行政单位</w:t>
            </w:r>
          </w:p>
        </w:tc>
        <w:tc>
          <w:tcPr>
            <w:tcW w:w="2665" w:type="dxa"/>
            <w:vAlign w:val="center"/>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决算表</w:t>
      </w:r>
    </w:p>
    <w:tbl>
      <w:tblPr>
        <w:tblStyle w:val="13"/>
        <w:tblW w:w="10941" w:type="dxa"/>
        <w:tblInd w:w="-109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628"/>
        <w:gridCol w:w="624"/>
        <w:gridCol w:w="611"/>
        <w:gridCol w:w="1317"/>
        <w:gridCol w:w="1628"/>
        <w:gridCol w:w="1547"/>
        <w:gridCol w:w="624"/>
        <w:gridCol w:w="1071"/>
        <w:gridCol w:w="8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361" w:hRule="atLeast"/>
        </w:trPr>
        <w:tc>
          <w:tcPr>
            <w:tcW w:w="10050" w:type="dxa"/>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357" w:hRule="atLeast"/>
        </w:trPr>
        <w:tc>
          <w:tcPr>
            <w:tcW w:w="10050" w:type="dxa"/>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351" w:hRule="atLeast"/>
        </w:trPr>
        <w:tc>
          <w:tcPr>
            <w:tcW w:w="3863" w:type="dxa"/>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单位：石家庄市交通运输局(本级)</w:t>
            </w:r>
          </w:p>
        </w:tc>
        <w:tc>
          <w:tcPr>
            <w:tcW w:w="2945" w:type="dxa"/>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544" w:hRule="atLeast"/>
        </w:trPr>
        <w:tc>
          <w:tcPr>
            <w:tcW w:w="5180" w:type="dxa"/>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4870" w:type="dxa"/>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308"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07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071"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105,482.62</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1,041,304.98</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549.03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125,400.00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374,795.69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071"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07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07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07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07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07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071"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071"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476"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gridAfter w:val="1"/>
          <w:wAfter w:w="891" w:type="dxa"/>
          <w:trHeight w:val="308" w:hRule="atLeast"/>
        </w:trPr>
        <w:tc>
          <w:tcPr>
            <w:tcW w:w="2628"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317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071"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941"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230"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单位：石家庄市交通运输局(本级)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1,146,787.61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1,146,787.61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549.03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549.03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549.03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549.03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行政单位离退休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428.67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98.03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22.32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83.89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45.43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公务员医疗补助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38.46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125,400.00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125,400.00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国有土地使用权出让收入安排的支出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2120803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城市建设支出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43,400.00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2129999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其他城乡社区支出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82,000.00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374,795.69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374,795.69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公路水路运输</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5,321.71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1,263.22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1,263.22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488.17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488.17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公路建设</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1,200.00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2140109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交通运输信息化建设</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46.96</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2140199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其他公路水路运输支出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2,323.35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2,323.35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车辆通行费安排的支出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352,080.47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352,080.47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公路还贷</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320,141.00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320,141.00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2146299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其他车辆通行费安排的支出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31,939.47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31,939.47</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其他交通运输支出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17,393.51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17,393.51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公共交通运营补助</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16,593.51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16,593.51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2149999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其他交通运输支出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800.00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资源勘探工业信息等支出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超长期特别国债安排的支出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2159802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制造业</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210.15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134.49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其他政府性基金及对应专项债务收入安排的支出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2290402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其他地方自行试点项目收益专项债券收入安排的支出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632,016.72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地方政府专项债务付息支出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13,597.64</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2320432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政府收费公路专项债券付息支出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9,392.89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9,392.89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2320498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其他地方自行试点项目收益专项债券付息支出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4,204.75</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346" w:type="dxa"/>
        <w:jc w:val="center"/>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2,026.63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1,144,760.98</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98.03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98.03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125,400.00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125,400.00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43,400.00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374,795.69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373,536.47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5,321.71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4,062.49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1,263.22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公路建设</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交通运输信息化建设</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2,323.35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2,323.35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车辆通行费安排的支出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352,080.47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352,080.47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公路还贷</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320,141.00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320,141.00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其他车辆通行费安排的支出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31,939.47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31,939.47</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17,393.51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17,393.51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公共交通运营补助</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16,593.51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16,593.51</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2149999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210.15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632,016.72</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13,597.64</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2320432</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政府收费公路专项债券付息支出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9,392.89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9,392.89</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187"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128"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4,204.75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4,204.75</w:t>
            </w:r>
          </w:p>
        </w:tc>
        <w:tc>
          <w:tcPr>
            <w:tcW w:w="1126"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10669" w:type="dxa"/>
        <w:tblInd w:w="-126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395"/>
        <w:gridCol w:w="624"/>
        <w:gridCol w:w="1427"/>
        <w:gridCol w:w="1659"/>
        <w:gridCol w:w="439"/>
        <w:gridCol w:w="624"/>
        <w:gridCol w:w="458"/>
        <w:gridCol w:w="837"/>
        <w:gridCol w:w="1219"/>
        <w:gridCol w:w="1219"/>
        <w:gridCol w:w="7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66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066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5105" w:type="dxa"/>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43"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3446" w:type="dxa"/>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223" w:type="dxa"/>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395"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768" w:type="dxa"/>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395"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768" w:type="dxa"/>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768" w:type="dxa"/>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105,482.62</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1,041,304.98</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549.03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549.03</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83.89</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83.89</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125,400.00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82,000.00</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43,400.00</w:t>
            </w: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374,795.69</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22,715.22</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352,080.47</w:t>
            </w:r>
          </w:p>
        </w:tc>
        <w:tc>
          <w:tcPr>
            <w:tcW w:w="76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210.15</w:t>
            </w:r>
          </w:p>
        </w:tc>
        <w:tc>
          <w:tcPr>
            <w:tcW w:w="76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134.49</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134.49</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632,016.72</w:t>
            </w:r>
          </w:p>
        </w:tc>
        <w:tc>
          <w:tcPr>
            <w:tcW w:w="768"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13,597.64</w:t>
            </w: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105,482.62</w:t>
            </w: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1,041,304.98</w:t>
            </w:r>
          </w:p>
        </w:tc>
        <w:tc>
          <w:tcPr>
            <w:tcW w:w="768" w:type="dxa"/>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68" w:type="dxa"/>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395" w:type="dxa"/>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2098" w:type="dxa"/>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1,146,787.61</w:t>
            </w: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105,482.62</w:t>
            </w:r>
          </w:p>
          <w:p>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1,041,304.98</w:t>
            </w:r>
          </w:p>
        </w:tc>
        <w:tc>
          <w:tcPr>
            <w:tcW w:w="768" w:type="dxa"/>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669" w:type="dxa"/>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862" w:type="dxa"/>
        <w:tblInd w:w="-87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56"/>
        <w:gridCol w:w="1329"/>
        <w:gridCol w:w="705"/>
        <w:gridCol w:w="1305"/>
        <w:gridCol w:w="1366"/>
        <w:gridCol w:w="645"/>
        <w:gridCol w:w="30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57" w:hRule="atLeast"/>
        </w:trPr>
        <w:tc>
          <w:tcPr>
            <w:tcW w:w="9862" w:type="dxa"/>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9862" w:type="dxa"/>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9" w:hRule="atLeast"/>
        </w:trPr>
        <w:tc>
          <w:tcPr>
            <w:tcW w:w="349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编制单位：石家庄市交通运输局(本级)</w:t>
            </w:r>
          </w:p>
        </w:tc>
        <w:tc>
          <w:tcPr>
            <w:tcW w:w="2671" w:type="dxa"/>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701" w:type="dxa"/>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78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7077" w:type="dxa"/>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4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1329"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2010"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2011"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3056" w:type="dxa"/>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46" w:hRule="atLeast"/>
        </w:trPr>
        <w:tc>
          <w:tcPr>
            <w:tcW w:w="145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305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145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329"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0"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2011" w:type="dxa"/>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3056" w:type="dxa"/>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78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3056"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69" w:hRule="atLeast"/>
        </w:trPr>
        <w:tc>
          <w:tcPr>
            <w:tcW w:w="2785"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105,482.62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2,026.63</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103,456.00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549.03</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行政单位离退休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428.67</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98.03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98.03</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2080506</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22.32</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83.89</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45.43</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2101103</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公务员医疗补助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38.46</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其他城乡社区支出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82,000.00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22,715.22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21,456.00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公路水路运输</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5,321.71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4,062.49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1,263.22</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1,259.22</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488.17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2140104</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公路建设</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2140109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交通运输信息化建设</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46.96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2140199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其他公路水路运输支出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2,323.35</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2,323.35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17,393.51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17,393.51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公共交通运营补助</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16,593.51</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16,593.51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2149999</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其他交通运输支出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1456"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1329"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2010"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2011"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134.49</w:t>
            </w:r>
          </w:p>
        </w:tc>
        <w:tc>
          <w:tcPr>
            <w:tcW w:w="3056"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61" w:hRule="atLeast"/>
        </w:trPr>
        <w:tc>
          <w:tcPr>
            <w:tcW w:w="9862" w:type="dxa"/>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10669" w:type="dxa"/>
        <w:tblInd w:w="-136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09"/>
        <w:gridCol w:w="1814"/>
        <w:gridCol w:w="1020"/>
        <w:gridCol w:w="964"/>
        <w:gridCol w:w="438"/>
        <w:gridCol w:w="1376"/>
        <w:gridCol w:w="587"/>
        <w:gridCol w:w="377"/>
        <w:gridCol w:w="964"/>
        <w:gridCol w:w="1595"/>
        <w:gridCol w:w="8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624" w:hRule="atLeast"/>
        </w:trPr>
        <w:tc>
          <w:tcPr>
            <w:tcW w:w="10669" w:type="dxa"/>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10669" w:type="dxa"/>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4945" w:type="dxa"/>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单位：石家庄市交通运输局(本级)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3761" w:type="dxa"/>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3543" w:type="dxa"/>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126" w:type="dxa"/>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82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1,287.86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236.27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328.57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8.69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268.12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302.13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98.03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6.27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22.32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45.43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45.43</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36.42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38.46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18.90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134.49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12.25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50.31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502.50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27.89</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1.35</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400.78</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69.51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4.32</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10.77</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7.71</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9.84</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51.90</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24.56</w:t>
            </w: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709" w:type="dxa"/>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595" w:type="dxa"/>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2523" w:type="dxa"/>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1,790.36</w:t>
            </w:r>
          </w:p>
        </w:tc>
        <w:tc>
          <w:tcPr>
            <w:tcW w:w="6301" w:type="dxa"/>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825" w:type="dxa"/>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236.27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10" w:hRule="atLeast"/>
        </w:trPr>
        <w:tc>
          <w:tcPr>
            <w:tcW w:w="10669" w:type="dxa"/>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单位：石家庄市交通运输局(本级)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1,041,304.98</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1,041,304.98</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1,041,304.98</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城乡社区支出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国有土地使用权出让收入安排的支出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2120803</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城市建设支出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43,400.00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交通运输支出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车辆通行费安排的支出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352,080.47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2146201</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公路还贷</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320,141.00</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2146299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其他车辆通行费安排的支出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31,939.47</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资源勘探工业信息等支出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超长期特别国债安排的支出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2159802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制造业</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210.15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其他政府性基金及对应专项债务收入安排的支出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2290402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其他地方自行试点项目收益专项债券收入安排的支出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632,016.72</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地方政府专项债务付息支出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13,597.64</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2320432</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政府收费公路专项债券付息支出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9,392.89</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26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2320498</w:t>
            </w:r>
          </w:p>
        </w:tc>
        <w:tc>
          <w:tcPr>
            <w:tcW w:w="1474"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其他地方自行试点项目收益专项债券付息支出</w:t>
            </w:r>
          </w:p>
        </w:tc>
        <w:tc>
          <w:tcPr>
            <w:tcW w:w="130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110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112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spacing w:val="-2"/>
                <w:sz w:val="20"/>
                <w:szCs w:val="20"/>
                <w:highlight w:val="none"/>
                <w:lang w:val="en-US" w:eastAsia="zh-CN"/>
              </w:rPr>
              <w:t>4,204.75</w:t>
            </w:r>
          </w:p>
        </w:tc>
        <w:tc>
          <w:tcPr>
            <w:tcW w:w="20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W w:w="9428" w:type="dxa"/>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9428" w:type="dxa"/>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9428" w:type="dxa"/>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0" w:hRule="atLeast"/>
        </w:trPr>
        <w:tc>
          <w:tcPr>
            <w:tcW w:w="3724" w:type="dxa"/>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单位：石家庄市交通运输局(本级)</w:t>
            </w:r>
          </w:p>
        </w:tc>
        <w:tc>
          <w:tcPr>
            <w:tcW w:w="2680" w:type="dxa"/>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024" w:type="dxa"/>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4408" w:type="dxa"/>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5020" w:type="dxa"/>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4408" w:type="dxa"/>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338" w:type="dxa"/>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1733" w:type="dxa"/>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2" w:hRule="atLeast"/>
        </w:trPr>
        <w:tc>
          <w:tcPr>
            <w:tcW w:w="2993" w:type="dxa"/>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8" w:type="dxa"/>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733" w:type="dxa"/>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33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174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5020" w:type="dxa"/>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33" w:type="dxa"/>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743" w:type="dxa"/>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08" w:hRule="atLeast"/>
        </w:trPr>
        <w:tc>
          <w:tcPr>
            <w:tcW w:w="9428" w:type="dxa"/>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3"/>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单位：石家庄市交通运输局(本级)</w:t>
            </w:r>
          </w:p>
        </w:tc>
        <w:tc>
          <w:tcPr>
            <w:tcW w:w="2166" w:type="dxa"/>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10.00</w:t>
            </w:r>
          </w:p>
        </w:tc>
        <w:tc>
          <w:tcPr>
            <w:tcW w:w="122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10.00</w:t>
            </w: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1063"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10.00</w:t>
            </w:r>
          </w:p>
        </w:tc>
        <w:tc>
          <w:tcPr>
            <w:tcW w:w="77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850"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9.84</w:t>
            </w:r>
          </w:p>
        </w:tc>
        <w:tc>
          <w:tcPr>
            <w:tcW w:w="1133"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9.84</w:t>
            </w: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946"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9.84</w:t>
            </w:r>
          </w:p>
        </w:tc>
        <w:tc>
          <w:tcPr>
            <w:tcW w:w="118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sectPr>
          <w:headerReference r:id="rId8"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r>
        <w:rPr>
          <w:rFonts w:hint="eastAsia" w:ascii="仿宋_GB2312" w:hAnsi="宋体" w:eastAsia="仿宋_GB2312"/>
          <w:b/>
          <w:color w:val="auto"/>
          <w:kern w:val="0"/>
          <w:sz w:val="32"/>
          <w:szCs w:val="32"/>
          <w:highlight w:val="none"/>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w:t>
      </w:r>
      <w:r>
        <w:rPr>
          <w:rFonts w:ascii="Times New Roman" w:eastAsia="仿宋_GB2312"/>
          <w:b w:val="0"/>
          <w:sz w:val="44"/>
          <w:szCs w:val="44"/>
        </w:rPr>
        <w:t>2024</w:t>
      </w:r>
      <w:r>
        <w:rPr>
          <w:rFonts w:ascii="Times New Roman" w:eastAsia="黑体"/>
          <w:b w:val="0"/>
          <w:sz w:val="44"/>
          <w:szCs w:val="44"/>
        </w:rPr>
        <w:t>年度</w:t>
      </w:r>
      <w:r>
        <w:rPr>
          <w:rFonts w:hint="eastAsia" w:ascii="Times New Roman" w:eastAsia="黑体"/>
          <w:b w:val="0"/>
          <w:sz w:val="44"/>
          <w:szCs w:val="44"/>
          <w:lang w:eastAsia="zh-CN"/>
        </w:rPr>
        <w:t>单位</w:t>
      </w:r>
      <w:r>
        <w:rPr>
          <w:rFonts w:ascii="Times New Roman" w:eastAsia="黑体"/>
          <w:b w:val="0"/>
          <w:sz w:val="44"/>
          <w:szCs w:val="44"/>
        </w:rPr>
        <w:t>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本单位2024年度收、支总计（含结转和结余）均为1,146,787.61万元。与2023年度决算相比，收支各增加517,748.01万元，增长82.3%，主要原因是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w:t>
      </w:r>
      <w:r>
        <w:rPr>
          <w:rFonts w:ascii="Times New Roman" w:eastAsia="仿宋_GB2312"/>
          <w:b w:val="0"/>
          <w:sz w:val="32"/>
          <w:szCs w:val="32"/>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1,146,787.61万元，其中：财政拨款收入1,146,787.61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本单位2024年度本年支出合计1,146,787.61万元，其中：基本支出2,026.63万元，占0.2%；项目支出1,144,760.98万元，占99.8%；上缴上级支出0.00万元，占0.0%；经营支出0.00万元，占0.0%；对附属单位补助支出0.00万元，占0.0%。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本单位2024年度财政拨款收、支总计（含结转和结余）均为1,146,787.61万元。与2023年度相比，财政拨款收支各增加517,748.01万元，增长82.3%，主要原因是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本单位2024年度财政拨款本年收入1,146,787.61万元,比上年增加518,092.82万元，增长82.4%，主要原因是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增加石家庄市城区基础设施提升、石家庄市北部片区基础设施提升专项债券项目资金及再融资专项债券资金收入</w:t>
      </w:r>
      <w:r>
        <w:rPr>
          <w:rFonts w:ascii="Times New Roman" w:eastAsia="仿宋_GB2312"/>
          <w:b w:val="0"/>
          <w:sz w:val="32"/>
          <w:szCs w:val="32"/>
        </w:rPr>
        <w:t>；本年支出1,146,787.61万元，比上年增加517,748.01万元，增长82.3%，主要原因是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1.一般公共预算财政拨款本年收入105,482.62万元,比上年减少435.80万元，降低0.4%，主要原因是</w:t>
      </w:r>
      <w:r>
        <w:rPr>
          <w:rFonts w:hint="eastAsia" w:ascii="Times New Roman" w:eastAsia="仿宋_GB2312"/>
          <w:b w:val="0"/>
          <w:sz w:val="32"/>
          <w:szCs w:val="32"/>
          <w:lang w:eastAsia="zh-CN"/>
        </w:rPr>
        <w:t>一般公用预算安排的项目资金减少，收入减少</w:t>
      </w:r>
      <w:r>
        <w:rPr>
          <w:rFonts w:ascii="Times New Roman" w:eastAsia="仿宋_GB2312"/>
          <w:b w:val="0"/>
          <w:sz w:val="32"/>
          <w:szCs w:val="32"/>
        </w:rPr>
        <w:t>；本年支出105,482.62万元，比上年减少780.61万元，降低0.7%，主要原因是</w:t>
      </w:r>
      <w:r>
        <w:rPr>
          <w:rFonts w:hint="eastAsia" w:ascii="Times New Roman" w:eastAsia="仿宋_GB2312"/>
          <w:b w:val="0"/>
          <w:sz w:val="32"/>
          <w:szCs w:val="32"/>
          <w:lang w:eastAsia="zh-CN"/>
        </w:rPr>
        <w:t>一般公用预算安排的项目资金减少，支出减少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2.政府性基金预算财政拨款本年收入1,041,304.98万元，比上年增加518,528.61万元，增长99.2%，主要原因是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增加石家庄市城区基础设施提升、石家庄市北部片区基础设施提升专项债券项目资金及再融资专项债券资金收入</w:t>
      </w:r>
      <w:r>
        <w:rPr>
          <w:rFonts w:ascii="Times New Roman" w:eastAsia="仿宋_GB2312"/>
          <w:b w:val="0"/>
          <w:sz w:val="32"/>
          <w:szCs w:val="32"/>
        </w:rPr>
        <w:t>；本年支出1,041,304.98万元，比上年增加518,528.61万元，增长99.2%，主要原因是</w:t>
      </w:r>
      <w:r>
        <w:rPr>
          <w:rFonts w:hint="eastAsia" w:ascii="Times New Roman" w:eastAsia="仿宋_GB2312"/>
          <w:b w:val="0"/>
          <w:sz w:val="32"/>
          <w:szCs w:val="32"/>
          <w:lang w:eastAsia="zh-CN"/>
        </w:rPr>
        <w:t>增加石家庄市城区基础设施提升、石家庄市北部片区基础设施提升专项债券项目资金及再融资专项债券资金支出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3.国有资本经营预算财政拨款本年收入0.00万元，比上年增加0.00万元，增长0.00%，主要原因是</w:t>
      </w:r>
      <w:r>
        <w:rPr>
          <w:rFonts w:hint="eastAsia" w:ascii="Times New Roman" w:eastAsia="仿宋_GB2312"/>
          <w:b w:val="0"/>
          <w:sz w:val="32"/>
          <w:szCs w:val="32"/>
          <w:lang w:eastAsia="zh-CN"/>
        </w:rPr>
        <w:t>本年度无国有资本经营预算</w:t>
      </w:r>
      <w:r>
        <w:rPr>
          <w:rFonts w:ascii="Times New Roman" w:eastAsia="仿宋_GB2312"/>
          <w:b w:val="0"/>
          <w:sz w:val="32"/>
          <w:szCs w:val="32"/>
        </w:rPr>
        <w:t>；本年支出0.00万元，比上年增加0.00万元，增长0.00%，主要原因是</w:t>
      </w:r>
      <w:r>
        <w:rPr>
          <w:rFonts w:hint="eastAsia" w:ascii="Times New Roman" w:eastAsia="仿宋_GB2312"/>
          <w:b w:val="0"/>
          <w:sz w:val="32"/>
          <w:szCs w:val="32"/>
          <w:lang w:eastAsia="zh-CN"/>
        </w:rPr>
        <w:t>本年度无国有资本经营预算</w:t>
      </w:r>
      <w:r>
        <w:rPr>
          <w:rFonts w:ascii="Times New Roman" w:eastAsia="仿宋_GB2312"/>
          <w:b w:val="0"/>
          <w:sz w:val="32"/>
          <w:szCs w:val="32"/>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本单位2024年度财政拨款本年收入1,146,787.61万元，完成年初预算的372.9%，比年初预算增加839,255.74万元，决算数大于预算数主要原因是</w:t>
      </w:r>
      <w:r>
        <w:rPr>
          <w:rFonts w:hint="eastAsia" w:ascii="Times New Roman" w:eastAsia="仿宋_GB2312"/>
          <w:b w:val="0"/>
          <w:sz w:val="32"/>
          <w:szCs w:val="32"/>
          <w:lang w:eastAsia="zh-CN"/>
        </w:rPr>
        <w:t>追加石家庄市城区基础设施提升、石家庄市北部片区基础设施提升专项债券项目资金及再融资专项债券资金预算</w:t>
      </w:r>
      <w:r>
        <w:rPr>
          <w:rFonts w:ascii="Times New Roman" w:eastAsia="仿宋_GB2312"/>
          <w:b w:val="0"/>
          <w:sz w:val="32"/>
          <w:szCs w:val="32"/>
        </w:rPr>
        <w:t>；本年支出1,146,787.61万元，完成年初预算的372.9%，比年初预算增加839,255.74万元，决算数大于预算数主要原因是</w:t>
      </w:r>
      <w:r>
        <w:rPr>
          <w:rFonts w:hint="eastAsia" w:ascii="Times New Roman" w:eastAsia="仿宋_GB2312"/>
          <w:b w:val="0"/>
          <w:sz w:val="32"/>
          <w:szCs w:val="32"/>
          <w:lang w:eastAsia="zh-CN"/>
        </w:rPr>
        <w:t>追加石家庄市城区基础设施提升、石家庄市北部片区基础设施提升专项债券项目资金及再融资专项债券资金预算</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1.一般公共预算财政拨款本年收入完成年初预算的98.8%，比年初预算减少1,301.49万元，主要原因是</w:t>
      </w:r>
      <w:r>
        <w:rPr>
          <w:rFonts w:hint="eastAsia" w:ascii="Times New Roman" w:eastAsia="仿宋_GB2312"/>
          <w:b w:val="0"/>
          <w:sz w:val="32"/>
          <w:szCs w:val="32"/>
          <w:lang w:eastAsia="zh-CN"/>
        </w:rPr>
        <w:t>根据财政</w:t>
      </w:r>
      <w:r>
        <w:rPr>
          <w:rFonts w:hint="eastAsia" w:ascii="Times New Roman" w:eastAsia="仿宋_GB2312"/>
          <w:b w:val="0"/>
          <w:sz w:val="32"/>
          <w:szCs w:val="32"/>
          <w:lang w:eastAsia="zh-CN"/>
        </w:rPr>
        <w:t>“</w:t>
      </w:r>
      <w:r>
        <w:rPr>
          <w:rFonts w:hint="eastAsia" w:ascii="Times New Roman" w:eastAsia="仿宋_GB2312"/>
          <w:b w:val="0"/>
          <w:sz w:val="32"/>
          <w:szCs w:val="32"/>
          <w:lang w:eastAsia="zh-CN"/>
        </w:rPr>
        <w:t>过紧日子”要求，压减一般项目预算</w:t>
      </w:r>
      <w:r>
        <w:rPr>
          <w:rFonts w:ascii="Times New Roman" w:eastAsia="仿宋_GB2312"/>
          <w:b w:val="0"/>
          <w:sz w:val="32"/>
          <w:szCs w:val="32"/>
        </w:rPr>
        <w:t>；支出完成年初预算的98.8%，比年初预算减少1,301.49万元，主要原因是</w:t>
      </w:r>
      <w:r>
        <w:rPr>
          <w:rFonts w:ascii="Times New Roman" w:eastAsia="仿宋_GB2312"/>
          <w:b w:val="0"/>
          <w:sz w:val="32"/>
          <w:szCs w:val="32"/>
        </w:rPr>
        <w:t>是</w:t>
      </w:r>
      <w:r>
        <w:rPr>
          <w:rFonts w:hint="eastAsia" w:ascii="Times New Roman" w:eastAsia="仿宋_GB2312"/>
          <w:b w:val="0"/>
          <w:sz w:val="32"/>
          <w:szCs w:val="32"/>
          <w:lang w:eastAsia="zh-CN"/>
        </w:rPr>
        <w:t>根据财政“过紧日子”要求，压减一般项目预算，支出减少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2.政府性基金预算财政拨款本年收入完成年初预算的518.7%，比年初预算增加840,557.22万元，主要原因是</w:t>
      </w:r>
      <w:r>
        <w:rPr>
          <w:rFonts w:hint="eastAsia" w:ascii="Times New Roman" w:eastAsia="仿宋_GB2312"/>
          <w:b w:val="0"/>
          <w:sz w:val="32"/>
          <w:szCs w:val="32"/>
          <w:lang w:eastAsia="zh-CN"/>
        </w:rPr>
        <w:t>追加石家庄市城区基础设施提升、石家庄市北部片区基础设施提升专项债券项目资金及再融资专项债券资金预算</w:t>
      </w:r>
      <w:r>
        <w:rPr>
          <w:rFonts w:ascii="Times New Roman" w:eastAsia="仿宋_GB2312"/>
          <w:b w:val="0"/>
          <w:sz w:val="32"/>
          <w:szCs w:val="32"/>
        </w:rPr>
        <w:t>；支出完成年初预算的518.7%，比年初预算增加840,557.22万元，主要原因是</w:t>
      </w:r>
      <w:r>
        <w:rPr>
          <w:rFonts w:hint="eastAsia" w:ascii="Times New Roman" w:eastAsia="仿宋_GB2312"/>
          <w:b w:val="0"/>
          <w:sz w:val="32"/>
          <w:szCs w:val="32"/>
          <w:lang w:eastAsia="zh-CN"/>
        </w:rPr>
        <w:t>追加石家庄市城区基础设施提升、石家庄市北部片区基础设施提升专项债券项目资金及再融资专项债券资金预算，支出增加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3.国有资本经营预算财政拨款本年收入完成年初预算的0.0%，比年初预算增加0.00万元，主要原因是</w:t>
      </w:r>
      <w:r>
        <w:rPr>
          <w:rFonts w:hint="eastAsia" w:ascii="Times New Roman" w:eastAsia="仿宋_GB2312"/>
          <w:b w:val="0"/>
          <w:sz w:val="32"/>
          <w:szCs w:val="32"/>
          <w:lang w:eastAsia="zh-CN"/>
        </w:rPr>
        <w:t>本年度无国有资本经营预算</w:t>
      </w:r>
      <w:r>
        <w:rPr>
          <w:rFonts w:ascii="Times New Roman" w:eastAsia="仿宋_GB2312"/>
          <w:b w:val="0"/>
          <w:sz w:val="32"/>
          <w:szCs w:val="32"/>
        </w:rPr>
        <w:t>；支出完成年初预算的0.0%，比年初预算增加0.00万元，主要原因是</w:t>
      </w:r>
      <w:r>
        <w:rPr>
          <w:rFonts w:hint="eastAsia" w:ascii="Times New Roman" w:eastAsia="仿宋_GB2312"/>
          <w:b w:val="0"/>
          <w:sz w:val="32"/>
          <w:szCs w:val="32"/>
          <w:lang w:eastAsia="zh-CN"/>
        </w:rPr>
        <w:t>本年度无国有资本经营预算</w:t>
      </w:r>
      <w:r>
        <w:rPr>
          <w:rFonts w:ascii="Times New Roman" w:eastAsia="仿宋_GB2312"/>
          <w:b w:val="0"/>
          <w:sz w:val="32"/>
          <w:szCs w:val="32"/>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2024年度财政拨款支出1,146,787.61万元，主要用于以下方面：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社会保障和就业（类）支出549.03万元，占0.0%，主要用于</w:t>
      </w:r>
      <w:bookmarkStart w:id="0" w:name="OLE_LINK3"/>
      <w:r>
        <w:rPr>
          <w:rFonts w:ascii="仿宋" w:hAnsi="仿宋" w:eastAsia="仿宋"/>
          <w:sz w:val="32"/>
          <w:szCs w:val="32"/>
        </w:rPr>
        <w:t>交纳职工养老保险、失业保险、工伤保险及发放退休人员生活补贴、取暖费</w:t>
      </w:r>
      <w:bookmarkEnd w:id="0"/>
      <w:r>
        <w:rPr>
          <w:rFonts w:ascii="Times New Roman" w:eastAsia="仿宋_GB2312"/>
          <w:b w:val="0"/>
          <w:sz w:val="32"/>
          <w:szCs w:val="32"/>
        </w:rPr>
        <w:t>等支出；卫生健康（类）支出83.89万元，占0.0%，主要用于</w:t>
      </w:r>
      <w:r>
        <w:rPr>
          <w:rFonts w:ascii="仿宋" w:hAnsi="仿宋" w:eastAsia="仿宋"/>
          <w:sz w:val="32"/>
          <w:szCs w:val="32"/>
        </w:rPr>
        <w:t>交纳职工医疗保险</w:t>
      </w:r>
      <w:r>
        <w:rPr>
          <w:rFonts w:ascii="Times New Roman" w:eastAsia="仿宋_GB2312"/>
          <w:b w:val="0"/>
          <w:sz w:val="32"/>
          <w:szCs w:val="32"/>
        </w:rPr>
        <w:t>等支出；城乡社区（类）支出82,000.00万元，占7.2%，主要用于</w:t>
      </w:r>
      <w:r>
        <w:rPr>
          <w:rFonts w:hint="eastAsia" w:ascii="Times New Roman" w:eastAsia="仿宋_GB2312"/>
          <w:b w:val="0"/>
          <w:sz w:val="32"/>
          <w:szCs w:val="32"/>
          <w:lang w:eastAsia="zh-CN"/>
        </w:rPr>
        <w:t>公交运营补贴、三环路道路维护费</w:t>
      </w:r>
      <w:r>
        <w:rPr>
          <w:rFonts w:ascii="Times New Roman" w:eastAsia="仿宋_GB2312"/>
          <w:b w:val="0"/>
          <w:sz w:val="32"/>
          <w:szCs w:val="32"/>
        </w:rPr>
        <w:t>等支出；交通运输（类）支出22,715.22万元，占2.0%，主要用于</w:t>
      </w:r>
      <w:r>
        <w:rPr>
          <w:rFonts w:hint="eastAsia" w:ascii="Times New Roman" w:eastAsia="仿宋_GB2312"/>
          <w:b w:val="0"/>
          <w:sz w:val="32"/>
          <w:szCs w:val="32"/>
          <w:lang w:eastAsia="zh-CN"/>
        </w:rPr>
        <w:t>农村道路客运补贴及城市发展奖励资金、老旧营运货车报废更新补贴</w:t>
      </w:r>
      <w:r>
        <w:rPr>
          <w:rFonts w:ascii="Times New Roman" w:eastAsia="仿宋_GB2312"/>
          <w:b w:val="0"/>
          <w:sz w:val="32"/>
          <w:szCs w:val="32"/>
        </w:rPr>
        <w:t>等支出；住房保障（类）支出134.49万元，占0.0%，主要用于</w:t>
      </w:r>
      <w:r>
        <w:rPr>
          <w:rFonts w:hint="eastAsia" w:ascii="Times New Roman" w:eastAsia="仿宋_GB2312"/>
          <w:b w:val="0"/>
          <w:sz w:val="32"/>
          <w:szCs w:val="32"/>
          <w:lang w:eastAsia="zh-CN"/>
        </w:rPr>
        <w:t>缴纳住房公积金</w:t>
      </w:r>
      <w:r>
        <w:rPr>
          <w:rFonts w:ascii="Times New Roman" w:eastAsia="仿宋_GB2312"/>
          <w:b w:val="0"/>
          <w:sz w:val="32"/>
          <w:szCs w:val="32"/>
        </w:rPr>
        <w:t>等支出</w:t>
      </w:r>
      <w:r>
        <w:rPr>
          <w:rFonts w:hint="eastAsia" w:ascii="Times New Roman" w:eastAsia="仿宋_GB2312"/>
          <w:b w:val="0"/>
          <w:sz w:val="32"/>
          <w:szCs w:val="32"/>
          <w:lang w:eastAsia="zh-CN"/>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城乡社区（类）支出43,400.00万元，占3.8%，主要用于</w:t>
      </w:r>
      <w:r>
        <w:rPr>
          <w:rFonts w:hint="eastAsia" w:ascii="Times New Roman" w:eastAsia="仿宋_GB2312"/>
          <w:b w:val="0"/>
          <w:sz w:val="32"/>
          <w:szCs w:val="32"/>
          <w:lang w:eastAsia="zh-CN"/>
        </w:rPr>
        <w:t>北三环、复兴大街市政化改造、公路工程项目</w:t>
      </w:r>
      <w:r>
        <w:rPr>
          <w:rFonts w:ascii="Times New Roman" w:eastAsia="仿宋_GB2312"/>
          <w:b w:val="0"/>
          <w:sz w:val="32"/>
          <w:szCs w:val="32"/>
        </w:rPr>
        <w:t>等支出；交通运输（类）支出352,080.47万元，占30.7%，主要用于</w:t>
      </w:r>
      <w:r>
        <w:rPr>
          <w:rFonts w:hint="eastAsia" w:ascii="Times New Roman" w:eastAsia="仿宋_GB2312"/>
          <w:b w:val="0"/>
          <w:sz w:val="32"/>
          <w:szCs w:val="32"/>
          <w:lang w:eastAsia="zh-CN"/>
        </w:rPr>
        <w:t>政府还贷高速公路运营养护资金、还贷资金</w:t>
      </w:r>
      <w:r>
        <w:rPr>
          <w:rFonts w:ascii="Times New Roman" w:eastAsia="仿宋_GB2312"/>
          <w:b w:val="0"/>
          <w:sz w:val="32"/>
          <w:szCs w:val="32"/>
        </w:rPr>
        <w:t>等支出；资源勘探信息等（类）支出210.15万元，占0.0%，主要用于</w:t>
      </w:r>
      <w:r>
        <w:rPr>
          <w:rFonts w:hint="eastAsia" w:ascii="Times New Roman" w:eastAsia="仿宋_GB2312"/>
          <w:b w:val="0"/>
          <w:sz w:val="32"/>
          <w:szCs w:val="32"/>
          <w:lang w:eastAsia="zh-CN"/>
        </w:rPr>
        <w:t>老旧营运货车更新超长期特别国债资金</w:t>
      </w:r>
      <w:r>
        <w:rPr>
          <w:rFonts w:ascii="Times New Roman" w:eastAsia="仿宋_GB2312"/>
          <w:b w:val="0"/>
          <w:sz w:val="32"/>
          <w:szCs w:val="32"/>
        </w:rPr>
        <w:t>等支出；其他（类）支出632,016.72万元，占55.1%，主要用于</w:t>
      </w:r>
      <w:r>
        <w:rPr>
          <w:rFonts w:hint="eastAsia" w:ascii="Times New Roman" w:eastAsia="仿宋_GB2312"/>
          <w:b w:val="0"/>
          <w:sz w:val="32"/>
          <w:szCs w:val="32"/>
          <w:lang w:eastAsia="zh-CN"/>
        </w:rPr>
        <w:t>石家庄市城区基础社区提升工程、石家庄市北部片区基础设施提升工程专项债券资金</w:t>
      </w:r>
      <w:r>
        <w:rPr>
          <w:rFonts w:ascii="Times New Roman" w:eastAsia="仿宋_GB2312"/>
          <w:b w:val="0"/>
          <w:sz w:val="32"/>
          <w:szCs w:val="32"/>
        </w:rPr>
        <w:t>等支出；债务付息（类）支出13,597.64万元，占1.2%，主要用于</w:t>
      </w:r>
      <w:r>
        <w:rPr>
          <w:rFonts w:hint="eastAsia" w:ascii="Times New Roman" w:eastAsia="仿宋_GB2312"/>
          <w:b w:val="0"/>
          <w:sz w:val="32"/>
          <w:szCs w:val="32"/>
          <w:lang w:eastAsia="zh-CN"/>
        </w:rPr>
        <w:t>专项债券利息、兑付兑息费</w:t>
      </w:r>
      <w:r>
        <w:rPr>
          <w:rFonts w:ascii="Times New Roman" w:eastAsia="仿宋_GB2312"/>
          <w:b w:val="0"/>
          <w:sz w:val="32"/>
          <w:szCs w:val="32"/>
        </w:rPr>
        <w:t>等支出。</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2024年度财政拨款基本支出2,026.63万元，其中：</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人员经费1,790.36万元，主要包括</w:t>
      </w:r>
      <w:r>
        <w:rPr>
          <w:rFonts w:ascii="Times New Roman" w:eastAsia="仿宋_GB2312"/>
          <w:b w:val="0"/>
          <w:sz w:val="32"/>
          <w:szCs w:val="32"/>
        </w:rPr>
        <w:t>基本工资、津贴补贴、奖金、绩效工资、机关基本养老保险缴费、职业年金缴费、职工基本医疗保险缴费、公务员医疗补助缴费、住房公积金</w:t>
      </w:r>
      <w:r>
        <w:rPr>
          <w:rFonts w:hint="eastAsia" w:ascii="Times New Roman" w:eastAsia="仿宋_GB2312"/>
          <w:b w:val="0"/>
          <w:sz w:val="32"/>
          <w:szCs w:val="32"/>
          <w:lang w:eastAsia="zh-CN"/>
        </w:rPr>
        <w:t>、</w:t>
      </w:r>
      <w:r>
        <w:rPr>
          <w:rFonts w:ascii="Times New Roman" w:eastAsia="仿宋_GB2312"/>
          <w:b w:val="0"/>
          <w:sz w:val="32"/>
          <w:szCs w:val="32"/>
        </w:rPr>
        <w:t>其他社会保障缴费、其他工资福利支出、离休费、退休费、抚恤金、生活补助、奖励金、其他对个人和家庭的补助支出。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公用经费236.27万元，主要包括</w:t>
      </w:r>
      <w:r>
        <w:rPr>
          <w:rFonts w:ascii="Times New Roman" w:eastAsia="仿宋_GB2312"/>
          <w:b w:val="0"/>
          <w:sz w:val="32"/>
          <w:szCs w:val="32"/>
        </w:rPr>
        <w:t>办公费、水费、电费、邮电费、取暖费、差旅费、维修（护）费、会议费、培训费、公务接待费、工会经费、福利费、公务用车运行维护费</w:t>
      </w:r>
      <w:r>
        <w:rPr>
          <w:rFonts w:hint="eastAsia" w:ascii="Times New Roman" w:eastAsia="仿宋_GB2312"/>
          <w:b w:val="0"/>
          <w:sz w:val="32"/>
          <w:szCs w:val="32"/>
          <w:lang w:eastAsia="zh-CN"/>
        </w:rPr>
        <w:t>、</w:t>
      </w:r>
      <w:r>
        <w:rPr>
          <w:rFonts w:ascii="Times New Roman" w:eastAsia="仿宋_GB2312"/>
          <w:b w:val="0"/>
          <w:sz w:val="32"/>
          <w:szCs w:val="32"/>
        </w:rPr>
        <w:t>其他商品和服务支出</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本单位2024年度“三公”经费财政拨款支出预算为10.00万元，支出决算为9.84万元，完成预算的98.4%，较预算减少0.16万元，降低1.6%，主要原因是</w:t>
      </w:r>
      <w:r>
        <w:rPr>
          <w:rFonts w:hint="eastAsia" w:ascii="Times New Roman" w:eastAsia="仿宋_GB2312"/>
          <w:b w:val="0"/>
          <w:sz w:val="32"/>
          <w:szCs w:val="32"/>
          <w:lang w:eastAsia="zh-CN"/>
        </w:rPr>
        <w:t>根据财政“过紧日子”要求，压减“三公”经费支出</w:t>
      </w:r>
      <w:r>
        <w:rPr>
          <w:rFonts w:ascii="Times New Roman" w:eastAsia="仿宋_GB2312"/>
          <w:b w:val="0"/>
          <w:sz w:val="32"/>
          <w:szCs w:val="32"/>
        </w:rPr>
        <w:t>；较2023年度决算增加2.36万元，增长31.6%，主要原因是</w:t>
      </w:r>
      <w:r>
        <w:rPr>
          <w:rFonts w:hint="eastAsia" w:ascii="Times New Roman" w:eastAsia="仿宋_GB2312"/>
          <w:b w:val="0"/>
          <w:sz w:val="32"/>
          <w:szCs w:val="32"/>
          <w:lang w:eastAsia="zh-CN"/>
        </w:rPr>
        <w:t>根据工作需要，单位外出活动较上年增加，支出增加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w:t>
      </w:r>
      <w:r>
        <w:rPr>
          <w:rFonts w:ascii="仿宋" w:hAnsi="仿宋" w:eastAsia="仿宋"/>
          <w:sz w:val="32"/>
          <w:szCs w:val="32"/>
        </w:rPr>
        <w:t>我</w:t>
      </w:r>
      <w:r>
        <w:rPr>
          <w:rFonts w:hint="eastAsia" w:ascii="仿宋" w:hAnsi="仿宋" w:eastAsia="仿宋"/>
          <w:sz w:val="32"/>
          <w:szCs w:val="32"/>
          <w:lang w:eastAsia="zh-CN"/>
        </w:rPr>
        <w:t>单位</w:t>
      </w:r>
      <w:r>
        <w:rPr>
          <w:rFonts w:ascii="仿宋" w:hAnsi="仿宋" w:eastAsia="仿宋"/>
          <w:sz w:val="32"/>
          <w:szCs w:val="32"/>
        </w:rPr>
        <w:t>无因公出国（</w:t>
      </w:r>
      <w:r>
        <w:rPr>
          <w:rFonts w:hint="eastAsia" w:ascii="仿宋" w:hAnsi="仿宋" w:eastAsia="仿宋"/>
          <w:sz w:val="32"/>
          <w:szCs w:val="32"/>
        </w:rPr>
        <w:t>境）支出</w:t>
      </w:r>
      <w:r>
        <w:rPr>
          <w:rFonts w:ascii="Times New Roman" w:eastAsia="仿宋_GB2312"/>
          <w:b w:val="0"/>
          <w:sz w:val="32"/>
          <w:szCs w:val="32"/>
        </w:rPr>
        <w:t>；较上年增加0.00万元，增长0.00%,主要原因是</w:t>
      </w:r>
      <w:r>
        <w:rPr>
          <w:rFonts w:ascii="仿宋" w:hAnsi="仿宋" w:eastAsia="仿宋"/>
          <w:sz w:val="32"/>
          <w:szCs w:val="32"/>
        </w:rPr>
        <w:t>我</w:t>
      </w:r>
      <w:r>
        <w:rPr>
          <w:rFonts w:hint="eastAsia" w:ascii="仿宋" w:hAnsi="仿宋" w:eastAsia="仿宋"/>
          <w:sz w:val="32"/>
          <w:szCs w:val="32"/>
          <w:lang w:eastAsia="zh-CN"/>
        </w:rPr>
        <w:t>单位</w:t>
      </w:r>
      <w:r>
        <w:rPr>
          <w:rFonts w:ascii="仿宋" w:hAnsi="仿宋" w:eastAsia="仿宋"/>
          <w:sz w:val="32"/>
          <w:szCs w:val="32"/>
        </w:rPr>
        <w:t>无因公出国（</w:t>
      </w:r>
      <w:r>
        <w:rPr>
          <w:rFonts w:hint="eastAsia" w:ascii="仿宋" w:hAnsi="仿宋" w:eastAsia="仿宋"/>
          <w:sz w:val="32"/>
          <w:szCs w:val="32"/>
        </w:rPr>
        <w:t>境）支出</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个、共</w:t>
      </w:r>
      <w:r>
        <w:rPr>
          <w:rFonts w:hint="eastAsia" w:ascii="Times New Roman" w:eastAsia="仿宋_GB2312"/>
          <w:b w:val="0"/>
          <w:sz w:val="32"/>
          <w:szCs w:val="32"/>
          <w:lang w:val="en-US" w:eastAsia="zh-CN"/>
        </w:rPr>
        <w:t>0</w:t>
      </w:r>
      <w:r>
        <w:rPr>
          <w:rFonts w:ascii="Times New Roman" w:eastAsia="仿宋_GB2312"/>
          <w:b w:val="0"/>
          <w:sz w:val="32"/>
          <w:szCs w:val="32"/>
        </w:rPr>
        <w:t>人</w:t>
      </w:r>
      <w:r>
        <w:rPr>
          <w:rFonts w:hint="eastAsia" w:ascii="Times New Roman" w:eastAsia="仿宋_GB2312"/>
          <w:b w:val="0"/>
          <w:sz w:val="32"/>
          <w:szCs w:val="32"/>
          <w:lang w:eastAsia="zh-CN"/>
        </w:rPr>
        <w:t>。</w:t>
      </w:r>
      <w:r>
        <w:rPr>
          <w:rFonts w:ascii="Times New Roman" w:eastAsia="仿宋_GB2312"/>
          <w:b w:val="0"/>
          <w:sz w:val="32"/>
          <w:szCs w:val="32"/>
        </w:rPr>
        <w:t>无本</w:t>
      </w:r>
      <w:r>
        <w:rPr>
          <w:rFonts w:hint="eastAsia" w:ascii="Times New Roman" w:eastAsia="仿宋_GB2312"/>
          <w:b w:val="0"/>
          <w:sz w:val="32"/>
          <w:szCs w:val="32"/>
          <w:lang w:eastAsia="zh-CN"/>
        </w:rPr>
        <w:t>单位</w:t>
      </w:r>
      <w:r>
        <w:rPr>
          <w:rFonts w:ascii="Times New Roman" w:eastAsia="仿宋_GB2312"/>
          <w:b w:val="0"/>
          <w:sz w:val="32"/>
          <w:szCs w:val="32"/>
        </w:rPr>
        <w:t>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2.公务用车购置及运行维护费支出情况。</w:t>
      </w:r>
      <w:r>
        <w:rPr>
          <w:rFonts w:ascii="Times New Roman" w:eastAsia="仿宋_GB2312"/>
          <w:b w:val="0"/>
          <w:sz w:val="32"/>
          <w:szCs w:val="32"/>
        </w:rPr>
        <w:t>本单位2024年度公务用车购置及运行维护费预算为10.00万元，支出决算9.84万元，完成预算的98.4%,较预算减少0.16万元，降低1.6%,主要原因是</w:t>
      </w:r>
      <w:r>
        <w:rPr>
          <w:rFonts w:hint="eastAsia" w:ascii="Times New Roman" w:eastAsia="仿宋_GB2312"/>
          <w:b w:val="0"/>
          <w:sz w:val="32"/>
          <w:szCs w:val="32"/>
          <w:lang w:eastAsia="zh-CN"/>
        </w:rPr>
        <w:t>根据财政“过紧日子”要求，压减“三公”经费支出</w:t>
      </w:r>
      <w:r>
        <w:rPr>
          <w:rFonts w:ascii="Times New Roman" w:eastAsia="仿宋_GB2312"/>
          <w:b w:val="0"/>
          <w:sz w:val="32"/>
          <w:szCs w:val="32"/>
        </w:rPr>
        <w:t>；较上年增加2.36万元，增长31.6%,主要原因是</w:t>
      </w:r>
      <w:r>
        <w:rPr>
          <w:rFonts w:hint="eastAsia" w:ascii="Times New Roman" w:eastAsia="仿宋_GB2312"/>
          <w:b w:val="0"/>
          <w:sz w:val="32"/>
          <w:szCs w:val="32"/>
          <w:lang w:eastAsia="zh-CN"/>
        </w:rPr>
        <w:t>根据工作需要，单位外出活动较上年增加，支出增加</w:t>
      </w:r>
      <w:r>
        <w:rPr>
          <w:rFonts w:ascii="Times New Roman" w:eastAsia="仿宋_GB2312"/>
          <w:b w:val="0"/>
          <w:sz w:val="32"/>
          <w:szCs w:val="32"/>
        </w:rPr>
        <w:t>。其中：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本单位2024年度公务用车购置量0辆，发生“公务用车购置”经费支出0.00万元。公务用车购置费支出较预算增加0.00万元，增长0.0%,主要原因是</w:t>
      </w:r>
      <w:r>
        <w:rPr>
          <w:rFonts w:hint="eastAsia" w:ascii="Times New Roman" w:eastAsia="仿宋_GB2312"/>
          <w:b w:val="0"/>
          <w:sz w:val="32"/>
          <w:szCs w:val="32"/>
          <w:lang w:eastAsia="zh-CN"/>
        </w:rPr>
        <w:t>我单位本年度无公务用车购置支出</w:t>
      </w:r>
      <w:r>
        <w:rPr>
          <w:rFonts w:ascii="Times New Roman" w:eastAsia="仿宋_GB2312"/>
          <w:b w:val="0"/>
          <w:sz w:val="32"/>
          <w:szCs w:val="32"/>
        </w:rPr>
        <w:t>；较上年增加0.00万元，增长0.00%,主要原因是</w:t>
      </w:r>
      <w:r>
        <w:rPr>
          <w:rFonts w:hint="eastAsia" w:ascii="Times New Roman" w:eastAsia="仿宋_GB2312"/>
          <w:b w:val="0"/>
          <w:sz w:val="32"/>
          <w:szCs w:val="32"/>
          <w:lang w:eastAsia="zh-CN"/>
        </w:rPr>
        <w:t>我单位本年度及上年度均无</w:t>
      </w:r>
      <w:r>
        <w:rPr>
          <w:rFonts w:hint="eastAsia" w:ascii="Times New Roman" w:eastAsia="仿宋_GB2312"/>
          <w:b w:val="0"/>
          <w:sz w:val="32"/>
          <w:szCs w:val="32"/>
          <w:lang w:eastAsia="zh-CN"/>
        </w:rPr>
        <w:t>公务用车购置支出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公务用车运行维护费支出9.84万元：</w:t>
      </w:r>
      <w:r>
        <w:rPr>
          <w:rFonts w:ascii="Times New Roman" w:eastAsia="仿宋_GB2312"/>
          <w:b w:val="0"/>
          <w:sz w:val="32"/>
          <w:szCs w:val="32"/>
        </w:rPr>
        <w:t>本单位2024年度单位公务用车保有量4辆，发生运行维护费支出9.84万元。公车运行维护费支出较预算减少0.16万元，降低1.6%,主要原因是</w:t>
      </w:r>
      <w:r>
        <w:rPr>
          <w:rFonts w:hint="eastAsia" w:ascii="Times New Roman" w:eastAsia="仿宋_GB2312"/>
          <w:b w:val="0"/>
          <w:sz w:val="32"/>
          <w:szCs w:val="32"/>
          <w:lang w:eastAsia="zh-CN"/>
        </w:rPr>
        <w:t>根据财政“过紧日子”要求，压减“三公”经费支出</w:t>
      </w:r>
      <w:r>
        <w:rPr>
          <w:rFonts w:ascii="Times New Roman" w:eastAsia="仿宋_GB2312"/>
          <w:b w:val="0"/>
          <w:sz w:val="32"/>
          <w:szCs w:val="32"/>
        </w:rPr>
        <w:t>；较上年增加2.36万元，增长31.6%，主要原因是</w:t>
      </w:r>
      <w:r>
        <w:rPr>
          <w:rFonts w:hint="eastAsia" w:ascii="Times New Roman" w:eastAsia="仿宋_GB2312"/>
          <w:b w:val="0"/>
          <w:sz w:val="32"/>
          <w:szCs w:val="32"/>
          <w:lang w:eastAsia="zh-CN"/>
        </w:rPr>
        <w:t>根据工作需要，单位外出活动较上年增加，支出增加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w:t>
      </w:r>
      <w:r>
        <w:rPr>
          <w:rFonts w:ascii="仿宋" w:hAnsi="仿宋" w:eastAsia="仿宋"/>
          <w:sz w:val="32"/>
          <w:szCs w:val="32"/>
        </w:rPr>
        <w:t>我</w:t>
      </w:r>
      <w:r>
        <w:rPr>
          <w:rFonts w:hint="eastAsia" w:ascii="仿宋" w:hAnsi="仿宋" w:eastAsia="仿宋"/>
          <w:sz w:val="32"/>
          <w:szCs w:val="32"/>
          <w:lang w:eastAsia="zh-CN"/>
        </w:rPr>
        <w:t>单位本年度</w:t>
      </w:r>
      <w:r>
        <w:rPr>
          <w:rFonts w:ascii="仿宋" w:hAnsi="仿宋" w:eastAsia="仿宋"/>
          <w:sz w:val="32"/>
          <w:szCs w:val="32"/>
        </w:rPr>
        <w:t>无</w:t>
      </w:r>
      <w:r>
        <w:rPr>
          <w:rFonts w:hint="eastAsia" w:ascii="仿宋" w:hAnsi="仿宋" w:eastAsia="仿宋"/>
          <w:sz w:val="32"/>
          <w:szCs w:val="32"/>
          <w:lang w:eastAsia="zh-CN"/>
        </w:rPr>
        <w:t>接待费</w:t>
      </w:r>
      <w:r>
        <w:rPr>
          <w:rFonts w:hint="eastAsia" w:ascii="仿宋" w:hAnsi="仿宋" w:eastAsia="仿宋"/>
          <w:sz w:val="32"/>
          <w:szCs w:val="32"/>
        </w:rPr>
        <w:t>支出</w:t>
      </w:r>
      <w:r>
        <w:rPr>
          <w:rFonts w:ascii="Times New Roman" w:eastAsia="仿宋_GB2312"/>
          <w:b w:val="0"/>
          <w:sz w:val="32"/>
          <w:szCs w:val="32"/>
        </w:rPr>
        <w:t>；较上年度增加0.00万元，增长0.00%,主要原因是</w:t>
      </w:r>
      <w:r>
        <w:rPr>
          <w:rFonts w:ascii="仿宋" w:hAnsi="仿宋" w:eastAsia="仿宋"/>
          <w:sz w:val="32"/>
          <w:szCs w:val="32"/>
        </w:rPr>
        <w:t>我</w:t>
      </w:r>
      <w:r>
        <w:rPr>
          <w:rFonts w:hint="eastAsia" w:ascii="仿宋" w:hAnsi="仿宋" w:eastAsia="仿宋"/>
          <w:sz w:val="32"/>
          <w:szCs w:val="32"/>
          <w:lang w:eastAsia="zh-CN"/>
        </w:rPr>
        <w:t>单位本年度、上年度均</w:t>
      </w:r>
      <w:r>
        <w:rPr>
          <w:rFonts w:ascii="仿宋" w:hAnsi="仿宋" w:eastAsia="仿宋"/>
          <w:sz w:val="32"/>
          <w:szCs w:val="32"/>
        </w:rPr>
        <w:t>无</w:t>
      </w:r>
      <w:r>
        <w:rPr>
          <w:rFonts w:hint="eastAsia" w:ascii="仿宋" w:hAnsi="仿宋" w:eastAsia="仿宋"/>
          <w:sz w:val="32"/>
          <w:szCs w:val="32"/>
          <w:lang w:eastAsia="zh-CN"/>
        </w:rPr>
        <w:t>接待费</w:t>
      </w:r>
      <w:r>
        <w:rPr>
          <w:rFonts w:hint="eastAsia" w:ascii="仿宋" w:hAnsi="仿宋" w:eastAsia="仿宋"/>
          <w:sz w:val="32"/>
          <w:szCs w:val="32"/>
        </w:rPr>
        <w:t>支出</w:t>
      </w:r>
      <w:r>
        <w:rPr>
          <w:rFonts w:ascii="Times New Roman" w:eastAsia="仿宋_GB2312"/>
          <w:b w:val="0"/>
          <w:sz w:val="32"/>
          <w:szCs w:val="32"/>
        </w:rPr>
        <w:t>。本年度共发生公务接待0批次、0人次。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本单位2024年度机关运行经费支出236.27万元，较2023年度增加5.79万元，增长2.5%。主要原因是</w:t>
      </w:r>
      <w:r>
        <w:rPr>
          <w:rFonts w:hint="eastAsia" w:ascii="Times New Roman" w:eastAsia="仿宋_GB2312"/>
          <w:b w:val="0"/>
          <w:sz w:val="32"/>
          <w:szCs w:val="32"/>
          <w:lang w:eastAsia="zh-CN"/>
        </w:rPr>
        <w:t>实有在编人员增加，机关运行经费支出增加</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164.09万元，从采购类型来看，政府采购货物支出25.14万元、政府采购工程支出0.00万元、政府采购服务支出138.95万元。授予中小企业合同金额147.77万元，占政府采购支出总额的90.1%，其中授予小微企业合同金额147.77万元，占政府采购支出总额的90.1%。</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截至2024年12月31日，本单位共有车辆8辆，</w:t>
      </w:r>
      <w:r>
        <w:rPr>
          <w:rFonts w:hint="eastAsia" w:ascii="Times New Roman" w:eastAsia="仿宋_GB2312"/>
          <w:b w:val="0"/>
          <w:sz w:val="32"/>
          <w:szCs w:val="32"/>
          <w:lang w:eastAsia="zh-CN"/>
        </w:rPr>
        <w:t>与上年持平</w:t>
      </w:r>
      <w:r>
        <w:rPr>
          <w:rFonts w:ascii="Times New Roman" w:eastAsia="仿宋_GB2312"/>
          <w:b w:val="0"/>
          <w:sz w:val="32"/>
          <w:szCs w:val="32"/>
        </w:rPr>
        <w:t>。其中，副部（省）级及以上领导用车0辆，主要负责人用车0辆，机要通信用车1辆，应急保障用车1辆，执法执勤用车0辆，特种专业技术用车0辆，离退休干部用车2辆，其他用车4辆，其他用车主要是。单位价值100万元（含）以上设备（不含车辆）1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w:t>
      </w:r>
      <w:r>
        <w:rPr>
          <w:rFonts w:ascii="Times New Roman" w:eastAsia="仿宋_GB2312" w:cs="宋体"/>
          <w:b w:val="0"/>
          <w:sz w:val="32"/>
          <w:szCs w:val="32"/>
        </w:rPr>
        <w:t>共涉及资金</w:t>
      </w:r>
      <w:r>
        <w:rPr>
          <w:rFonts w:hint="eastAsia" w:ascii="Times New Roman" w:eastAsia="仿宋_GB2312" w:cs="宋体"/>
          <w:b w:val="0"/>
          <w:sz w:val="32"/>
          <w:szCs w:val="32"/>
        </w:rPr>
        <w:t>1144760</w:t>
      </w:r>
      <w:r>
        <w:rPr>
          <w:rFonts w:hint="eastAsia" w:ascii="Times New Roman" w:eastAsia="仿宋_GB2312" w:cs="宋体"/>
          <w:b w:val="0"/>
          <w:sz w:val="32"/>
          <w:szCs w:val="32"/>
          <w:lang w:val="en-US" w:eastAsia="zh-CN"/>
        </w:rPr>
        <w:t>.98</w:t>
      </w:r>
      <w:r>
        <w:rPr>
          <w:rFonts w:ascii="Times New Roman" w:eastAsia="仿宋_GB2312" w:cs="宋体"/>
          <w:b w:val="0"/>
          <w:sz w:val="32"/>
          <w:szCs w:val="32"/>
        </w:rPr>
        <w:t>万元。</w:t>
      </w:r>
      <w:r>
        <w:rPr>
          <w:rFonts w:ascii="Times New Roman" w:eastAsia="仿宋_GB2312"/>
          <w:b w:val="0"/>
          <w:sz w:val="32"/>
          <w:szCs w:val="32"/>
        </w:rPr>
        <w:t>其中，一般公共预算项目</w:t>
      </w:r>
      <w:r>
        <w:rPr>
          <w:rFonts w:hint="eastAsia" w:ascii="Times New Roman" w:eastAsia="仿宋_GB2312"/>
          <w:b w:val="0"/>
          <w:sz w:val="32"/>
          <w:szCs w:val="32"/>
          <w:lang w:val="en-US" w:eastAsia="zh-CN"/>
        </w:rPr>
        <w:t>25</w:t>
      </w:r>
      <w:r>
        <w:rPr>
          <w:rFonts w:ascii="Times New Roman" w:eastAsia="仿宋_GB2312"/>
          <w:b w:val="0"/>
          <w:sz w:val="32"/>
          <w:szCs w:val="32"/>
        </w:rPr>
        <w:t>个，涉及资金</w:t>
      </w:r>
      <w:r>
        <w:rPr>
          <w:rFonts w:hint="eastAsia" w:ascii="Times New Roman" w:eastAsia="仿宋_GB2312"/>
          <w:b w:val="0"/>
          <w:sz w:val="32"/>
          <w:szCs w:val="32"/>
        </w:rPr>
        <w:t>10345</w:t>
      </w:r>
      <w:r>
        <w:rPr>
          <w:rFonts w:hint="eastAsia" w:ascii="Times New Roman" w:eastAsia="仿宋_GB2312"/>
          <w:b w:val="0"/>
          <w:sz w:val="32"/>
          <w:szCs w:val="32"/>
          <w:lang w:val="en-US" w:eastAsia="zh-CN"/>
        </w:rPr>
        <w:t>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23</w:t>
      </w:r>
      <w:r>
        <w:rPr>
          <w:rFonts w:ascii="Times New Roman" w:eastAsia="仿宋_GB2312"/>
          <w:b w:val="0"/>
          <w:sz w:val="32"/>
          <w:szCs w:val="32"/>
        </w:rPr>
        <w:t>个，涉及资金</w:t>
      </w:r>
      <w:r>
        <w:rPr>
          <w:rFonts w:hint="eastAsia" w:ascii="Times New Roman" w:eastAsia="仿宋_GB2312"/>
          <w:b w:val="0"/>
          <w:sz w:val="32"/>
          <w:szCs w:val="32"/>
        </w:rPr>
        <w:t>1041304</w:t>
      </w:r>
      <w:r>
        <w:rPr>
          <w:rFonts w:hint="eastAsia" w:ascii="Times New Roman" w:eastAsia="仿宋_GB2312"/>
          <w:b w:val="0"/>
          <w:sz w:val="32"/>
          <w:szCs w:val="32"/>
          <w:lang w:val="en-US" w:eastAsia="zh-CN"/>
        </w:rPr>
        <w:t>.98</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w:t>
      </w:r>
      <w:r>
        <w:rPr>
          <w:rFonts w:hint="eastAsia" w:ascii="Times New Roman" w:eastAsia="仿宋_GB2312"/>
          <w:b/>
          <w:sz w:val="32"/>
          <w:szCs w:val="32"/>
          <w:lang w:eastAsia="zh-CN"/>
        </w:rPr>
        <w:t>单位</w:t>
      </w:r>
      <w:r>
        <w:rPr>
          <w:rFonts w:ascii="Times New Roman" w:eastAsia="仿宋_GB2312"/>
          <w:b/>
          <w:sz w:val="32"/>
          <w:szCs w:val="32"/>
        </w:rPr>
        <w:t>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w:t>
      </w:r>
      <w:r>
        <w:rPr>
          <w:rFonts w:hint="eastAsia" w:ascii="Times New Roman" w:eastAsia="仿宋_GB2312"/>
          <w:b w:val="0"/>
          <w:sz w:val="32"/>
          <w:szCs w:val="32"/>
          <w:lang w:eastAsia="zh-CN"/>
        </w:rPr>
        <w:t>单位</w:t>
      </w:r>
      <w:r>
        <w:rPr>
          <w:rFonts w:ascii="Times New Roman" w:eastAsia="仿宋_GB2312"/>
          <w:b w:val="0"/>
          <w:sz w:val="32"/>
          <w:szCs w:val="32"/>
        </w:rPr>
        <w:t>决算公开中反映</w:t>
      </w:r>
      <w:r>
        <w:rPr>
          <w:rFonts w:hint="eastAsia" w:ascii="Times New Roman" w:eastAsia="仿宋_GB2312"/>
          <w:b w:val="0"/>
          <w:sz w:val="32"/>
          <w:szCs w:val="32"/>
        </w:rPr>
        <w:t>冷链物流城市集配中心项目（一期）</w:t>
      </w:r>
      <w:r>
        <w:rPr>
          <w:rFonts w:ascii="Times New Roman" w:eastAsia="仿宋_GB2312"/>
          <w:b w:val="0"/>
          <w:sz w:val="32"/>
          <w:szCs w:val="32"/>
        </w:rPr>
        <w:t>等</w:t>
      </w:r>
      <w:r>
        <w:rPr>
          <w:rFonts w:hint="eastAsia" w:ascii="Times New Roman" w:eastAsia="仿宋_GB2312"/>
          <w:b w:val="0"/>
          <w:sz w:val="32"/>
          <w:szCs w:val="32"/>
          <w:lang w:val="en-US" w:eastAsia="zh-CN"/>
        </w:rPr>
        <w:t>10</w:t>
      </w:r>
      <w:r>
        <w:rPr>
          <w:rFonts w:ascii="Times New Roman" w:eastAsia="仿宋_GB2312"/>
          <w:b w:val="0"/>
          <w:sz w:val="32"/>
          <w:szCs w:val="32"/>
        </w:rPr>
        <w:t>个项目绩效自评结果。</w:t>
      </w:r>
    </w:p>
    <w:p>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eastAsia="zh-CN"/>
        </w:rPr>
      </w:pPr>
      <w:r>
        <w:rPr>
          <w:rFonts w:hint="eastAsia" w:ascii="Times New Roman" w:eastAsia="仿宋_GB2312"/>
          <w:b w:val="0"/>
          <w:sz w:val="32"/>
          <w:szCs w:val="32"/>
          <w:lang w:val="en-US" w:eastAsia="zh-CN"/>
        </w:rPr>
        <w:t>1.</w:t>
      </w:r>
      <w:r>
        <w:rPr>
          <w:rFonts w:hint="eastAsia" w:ascii="Times New Roman" w:eastAsia="仿宋_GB2312"/>
          <w:b w:val="0"/>
          <w:sz w:val="32"/>
          <w:szCs w:val="32"/>
        </w:rPr>
        <w:t>冷链物流城市集配中心项目（一期）</w:t>
      </w:r>
      <w:r>
        <w:rPr>
          <w:rFonts w:ascii="Times New Roman" w:eastAsia="仿宋_GB2312"/>
          <w:b w:val="0"/>
          <w:sz w:val="32"/>
          <w:szCs w:val="32"/>
        </w:rPr>
        <w:t>项目绩效自评情况：根据年初设定的绩效目标，项目绩效自评得分为</w:t>
      </w:r>
      <w:r>
        <w:rPr>
          <w:rFonts w:hint="eastAsia" w:ascii="Times New Roman" w:eastAsia="仿宋_GB2312"/>
          <w:b w:val="0"/>
          <w:sz w:val="32"/>
          <w:szCs w:val="32"/>
          <w:lang w:val="en-US" w:eastAsia="zh-CN"/>
        </w:rPr>
        <w:t>92</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1200</w:t>
      </w:r>
      <w:r>
        <w:rPr>
          <w:rFonts w:ascii="Times New Roman" w:eastAsia="仿宋_GB2312"/>
          <w:b w:val="0"/>
          <w:sz w:val="32"/>
          <w:szCs w:val="32"/>
        </w:rPr>
        <w:t>万元，执行数为</w:t>
      </w:r>
      <w:r>
        <w:rPr>
          <w:rFonts w:hint="eastAsia" w:ascii="Times New Roman" w:eastAsia="仿宋_GB2312"/>
          <w:b w:val="0"/>
          <w:sz w:val="32"/>
          <w:szCs w:val="32"/>
          <w:lang w:val="en-US" w:eastAsia="zh-CN"/>
        </w:rPr>
        <w:t>1200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楷体" w:hAnsi="楷体" w:eastAsia="楷体" w:cs="楷体"/>
          <w:b/>
          <w:bCs/>
          <w:sz w:val="32"/>
          <w:szCs w:val="32"/>
          <w:lang w:eastAsia="zh-CN"/>
        </w:rPr>
        <w:t>：</w:t>
      </w:r>
      <w:r>
        <w:rPr>
          <w:rFonts w:hint="default" w:ascii="Times New Roman" w:hAnsi="Times New Roman" w:eastAsia="仿宋_GB2312" w:cs="Times New Roman"/>
          <w:sz w:val="32"/>
          <w:szCs w:val="32"/>
          <w:lang w:val="en-US" w:eastAsia="zh-CN"/>
        </w:rPr>
        <w:t>完成建筑面积205684.61平方米</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实际质量标准符合行业标准，已完成项目竣工验收</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实际投资数11.7亿元</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促进当地经济发展</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目前项目仍处于过渡期，尚未完全达产，纳税额为660.23万元。项目建设符合环保相关政策</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对石家庄市冷链物流产业产生积极长远影响</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lang w:val="en-US" w:eastAsia="zh-CN"/>
        </w:rPr>
        <w:t>促进石家庄市冷链物流产业再上新台阶。园区各个入驻商户对项目表示积极肯定</w:t>
      </w:r>
      <w:r>
        <w:rPr>
          <w:rFonts w:hint="eastAsia" w:ascii="Times New Roman" w:hAnsi="Times New Roman" w:eastAsia="仿宋_GB2312" w:cs="Times New Roman"/>
          <w:sz w:val="32"/>
          <w:szCs w:val="32"/>
          <w:lang w:val="en-US" w:eastAsia="zh-CN"/>
        </w:rPr>
        <w:t>。未发现问题。</w:t>
      </w:r>
    </w:p>
    <w:p>
      <w:pPr>
        <w:pStyle w:val="28"/>
        <w:keepNext w:val="0"/>
        <w:keepLines w:val="0"/>
        <w:pageBreakBefore w:val="0"/>
        <w:widowControl w:val="0"/>
        <w:kinsoku/>
        <w:wordWrap/>
        <w:overflowPunct/>
        <w:topLinePunct w:val="0"/>
        <w:autoSpaceDE/>
        <w:autoSpaceDN/>
        <w:bidi w:val="0"/>
        <w:spacing w:line="560" w:lineRule="exact"/>
        <w:ind w:firstLine="640" w:firstLineChars="200"/>
        <w:rPr>
          <w:rFonts w:hint="default" w:ascii="Times New Roman" w:hAnsi="Times New Roman" w:eastAsia="仿宋_GB2312" w:cs="Times New Roman"/>
          <w:kern w:val="2"/>
          <w:sz w:val="32"/>
          <w:szCs w:val="32"/>
        </w:rPr>
      </w:pPr>
      <w:r>
        <w:rPr>
          <w:rFonts w:hint="eastAsia" w:ascii="Times New Roman" w:eastAsia="仿宋_GB2312" w:cs="宋体"/>
          <w:b w:val="0"/>
          <w:sz w:val="32"/>
          <w:szCs w:val="32"/>
          <w:lang w:val="en-US" w:eastAsia="zh-CN"/>
        </w:rPr>
        <w:t>2.农村道路客运补贴</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884.39</w:t>
      </w:r>
      <w:r>
        <w:rPr>
          <w:rFonts w:ascii="Times New Roman" w:eastAsia="仿宋_GB2312"/>
          <w:b w:val="0"/>
          <w:sz w:val="32"/>
          <w:szCs w:val="32"/>
        </w:rPr>
        <w:t>万元，执行数</w:t>
      </w:r>
      <w:r>
        <w:rPr>
          <w:rFonts w:hint="eastAsia" w:ascii="Times New Roman" w:eastAsia="仿宋_GB2312"/>
          <w:b w:val="0"/>
          <w:sz w:val="32"/>
          <w:szCs w:val="32"/>
          <w:lang w:val="en-US" w:eastAsia="zh-CN"/>
        </w:rPr>
        <w:t>884.39</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楷体" w:hAnsi="楷体" w:eastAsia="楷体" w:cs="楷体"/>
          <w:b/>
          <w:bCs/>
          <w:sz w:val="32"/>
          <w:szCs w:val="32"/>
          <w:lang w:eastAsia="zh-CN"/>
        </w:rPr>
        <w:t>：</w:t>
      </w:r>
      <w:r>
        <w:rPr>
          <w:rFonts w:hint="default" w:ascii="Times New Roman" w:hAnsi="Times New Roman" w:eastAsia="仿宋_GB2312" w:cs="Times New Roman"/>
          <w:sz w:val="32"/>
          <w:szCs w:val="32"/>
        </w:rPr>
        <w:t>2023年运行延伸至农村的城市公交车1457辆，运营天数合计355859天</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补贴</w:t>
      </w:r>
      <w:r>
        <w:rPr>
          <w:rFonts w:hint="default" w:ascii="Times New Roman" w:hAnsi="Times New Roman" w:eastAsia="仿宋_GB2312" w:cs="Times New Roman"/>
          <w:kern w:val="2"/>
          <w:sz w:val="32"/>
          <w:szCs w:val="32"/>
        </w:rPr>
        <w:t>主要用于</w:t>
      </w:r>
      <w:r>
        <w:rPr>
          <w:rFonts w:hint="default" w:ascii="Times New Roman" w:hAnsi="Times New Roman" w:eastAsia="仿宋_GB2312" w:cs="Times New Roman"/>
          <w:sz w:val="32"/>
          <w:szCs w:val="32"/>
          <w:lang w:val="en-US" w:eastAsia="zh-CN"/>
        </w:rPr>
        <w:t>车辆燃料</w:t>
      </w:r>
      <w:r>
        <w:rPr>
          <w:rFonts w:hint="default" w:ascii="Times New Roman" w:hAnsi="Times New Roman" w:eastAsia="仿宋_GB2312" w:cs="Times New Roman"/>
          <w:kern w:val="2"/>
          <w:sz w:val="32"/>
          <w:szCs w:val="32"/>
        </w:rPr>
        <w:t>、设备更新、场站车辆信息化建等经营支出，</w:t>
      </w:r>
      <w:r>
        <w:rPr>
          <w:rFonts w:hint="default" w:ascii="Times New Roman" w:hAnsi="Times New Roman" w:eastAsia="仿宋_GB2312" w:cs="Times New Roman"/>
          <w:kern w:val="2"/>
          <w:sz w:val="32"/>
          <w:szCs w:val="32"/>
          <w:lang w:bidi="ar-SA"/>
        </w:rPr>
        <w:t>截至2025年2月，通过线网优化的努力，已经成功实施了155条线路的优化调整，其中优化86条、新开通40条、暂停29条。</w:t>
      </w:r>
      <w:r>
        <w:rPr>
          <w:rFonts w:hint="default" w:ascii="Times New Roman" w:hAnsi="Times New Roman" w:eastAsia="仿宋_GB2312" w:cs="Times New Roman"/>
          <w:b w:val="0"/>
          <w:bCs w:val="0"/>
          <w:kern w:val="2"/>
          <w:sz w:val="32"/>
          <w:szCs w:val="32"/>
          <w:lang w:val="en-US" w:eastAsia="zh-CN" w:bidi="ar-SA"/>
        </w:rPr>
        <w:t>为城市的可持续发展贡献力量</w:t>
      </w:r>
      <w:r>
        <w:rPr>
          <w:rFonts w:hint="eastAsia" w:ascii="Times New Roman" w:hAnsi="Times New Roman" w:eastAsia="仿宋_GB2312" w:cs="Times New Roman"/>
          <w:b w:val="0"/>
          <w:bCs w:val="0"/>
          <w:kern w:val="2"/>
          <w:sz w:val="32"/>
          <w:szCs w:val="32"/>
          <w:lang w:val="en-US" w:eastAsia="zh-CN" w:bidi="ar-SA"/>
        </w:rPr>
        <w:t>，</w:t>
      </w:r>
      <w:r>
        <w:rPr>
          <w:rFonts w:hint="default" w:ascii="Times New Roman" w:hAnsi="Times New Roman" w:eastAsia="仿宋_GB2312" w:cs="Times New Roman"/>
          <w:sz w:val="32"/>
          <w:szCs w:val="32"/>
        </w:rPr>
        <w:t>服务对象满意度为94%</w:t>
      </w:r>
      <w:r>
        <w:rPr>
          <w:rFonts w:hint="eastAsia" w:ascii="Times New Roman" w:hAnsi="Times New Roman" w:eastAsia="仿宋_GB2312" w:cs="Times New Roman"/>
          <w:sz w:val="32"/>
          <w:szCs w:val="32"/>
          <w:lang w:eastAsia="zh-CN"/>
        </w:rPr>
        <w:t>，未发现问题</w:t>
      </w:r>
      <w:r>
        <w:rPr>
          <w:rFonts w:hint="default" w:ascii="Times New Roman" w:hAnsi="Times New Roman" w:eastAsia="仿宋_GB2312" w:cs="Times New Roman"/>
          <w:sz w:val="32"/>
          <w:szCs w:val="32"/>
        </w:rPr>
        <w:t>。</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eastAsia="仿宋_GB2312"/>
          <w:b w:val="0"/>
          <w:sz w:val="32"/>
          <w:szCs w:val="32"/>
          <w:lang w:val="en-US" w:eastAsia="zh-CN"/>
        </w:rPr>
        <w:t>3.市区至机场惠民免费项目</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2300</w:t>
      </w:r>
      <w:r>
        <w:rPr>
          <w:rFonts w:ascii="Times New Roman" w:eastAsia="仿宋_GB2312"/>
          <w:b w:val="0"/>
          <w:sz w:val="32"/>
          <w:szCs w:val="32"/>
        </w:rPr>
        <w:t>万元，执行数</w:t>
      </w:r>
      <w:r>
        <w:rPr>
          <w:rFonts w:hint="eastAsia" w:ascii="Times New Roman" w:eastAsia="仿宋_GB2312"/>
          <w:b w:val="0"/>
          <w:sz w:val="32"/>
          <w:szCs w:val="32"/>
          <w:lang w:val="en-US" w:eastAsia="zh-CN"/>
        </w:rPr>
        <w:t>2300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楷体" w:hAnsi="楷体" w:eastAsia="楷体" w:cs="楷体"/>
          <w:b/>
          <w:bCs/>
          <w:sz w:val="32"/>
          <w:szCs w:val="32"/>
          <w:lang w:eastAsia="zh-CN"/>
        </w:rPr>
        <w:t>：</w:t>
      </w:r>
      <w:r>
        <w:rPr>
          <w:rFonts w:hint="default" w:ascii="Times New Roman" w:hAnsi="Times New Roman" w:eastAsia="仿宋_GB2312" w:cs="Times New Roman"/>
          <w:sz w:val="32"/>
          <w:szCs w:val="32"/>
          <w:lang w:val="en-US" w:eastAsia="zh-CN"/>
        </w:rPr>
        <w:t>保障免费通行路段为21.48公里，</w:t>
      </w:r>
      <w:r>
        <w:rPr>
          <w:rFonts w:hint="default" w:ascii="Times New Roman" w:hAnsi="Times New Roman" w:eastAsia="仿宋_GB2312" w:cs="Times New Roman"/>
          <w:sz w:val="32"/>
          <w:szCs w:val="32"/>
          <w:lang w:eastAsia="zh-CN"/>
        </w:rPr>
        <w:t>资金按时支付率≥90%</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实际保障2024年7月至2025年9月</w:t>
      </w:r>
      <w:r>
        <w:rPr>
          <w:rFonts w:hint="default" w:ascii="Times New Roman" w:hAnsi="Times New Roman" w:eastAsia="仿宋_GB2312" w:cs="Times New Roman"/>
          <w:sz w:val="32"/>
          <w:szCs w:val="32"/>
          <w:lang w:val="en-US" w:eastAsia="zh-CN"/>
        </w:rPr>
        <w:t>免费通行</w:t>
      </w:r>
      <w:r>
        <w:rPr>
          <w:rFonts w:hint="default"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进一步支持</w:t>
      </w:r>
      <w:r>
        <w:rPr>
          <w:rFonts w:hint="default" w:ascii="Times New Roman" w:hAnsi="Times New Roman" w:eastAsia="仿宋_GB2312" w:cs="Times New Roman"/>
          <w:sz w:val="32"/>
          <w:szCs w:val="32"/>
          <w:lang w:eastAsia="zh-CN"/>
        </w:rPr>
        <w:t>了</w:t>
      </w:r>
      <w:r>
        <w:rPr>
          <w:rFonts w:hint="default" w:ascii="Times New Roman" w:hAnsi="Times New Roman" w:eastAsia="仿宋_GB2312" w:cs="Times New Roman"/>
          <w:sz w:val="32"/>
          <w:szCs w:val="32"/>
        </w:rPr>
        <w:t>机场建设发展、优化</w:t>
      </w:r>
      <w:r>
        <w:rPr>
          <w:rFonts w:hint="default" w:ascii="Times New Roman" w:hAnsi="Times New Roman" w:eastAsia="仿宋_GB2312" w:cs="Times New Roman"/>
          <w:sz w:val="32"/>
          <w:szCs w:val="32"/>
          <w:lang w:eastAsia="zh-CN"/>
        </w:rPr>
        <w:t>了</w:t>
      </w:r>
      <w:r>
        <w:rPr>
          <w:rFonts w:hint="default" w:ascii="Times New Roman" w:hAnsi="Times New Roman" w:eastAsia="仿宋_GB2312" w:cs="Times New Roman"/>
          <w:sz w:val="32"/>
          <w:szCs w:val="32"/>
        </w:rPr>
        <w:t>营商环境、降低</w:t>
      </w:r>
      <w:r>
        <w:rPr>
          <w:rFonts w:hint="default" w:ascii="Times New Roman" w:hAnsi="Times New Roman" w:eastAsia="仿宋_GB2312" w:cs="Times New Roman"/>
          <w:sz w:val="32"/>
          <w:szCs w:val="32"/>
          <w:lang w:eastAsia="zh-CN"/>
        </w:rPr>
        <w:t>了</w:t>
      </w:r>
      <w:r>
        <w:rPr>
          <w:rFonts w:hint="default" w:ascii="Times New Roman" w:hAnsi="Times New Roman" w:eastAsia="仿宋_GB2312" w:cs="Times New Roman"/>
          <w:sz w:val="32"/>
          <w:szCs w:val="32"/>
        </w:rPr>
        <w:t>物流成本</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服务对象满意度为9</w:t>
      </w: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。未发现问题。</w:t>
      </w:r>
    </w:p>
    <w:p>
      <w:pPr>
        <w:widowControl/>
        <w:spacing w:before="0" w:beforeLines="0" w:beforeAutospacing="0" w:after="0" w:afterLines="0" w:afterAutospacing="0" w:line="360" w:lineRule="auto"/>
        <w:ind w:firstLine="640" w:firstLineChars="200"/>
        <w:jc w:val="left"/>
        <w:rPr>
          <w:rFonts w:hint="eastAsia" w:ascii="Times New Roman" w:hAnsi="Times New Roman" w:eastAsia="仿宋_GB2312" w:cs="Times New Roman"/>
          <w:sz w:val="32"/>
          <w:szCs w:val="32"/>
          <w:lang w:val="en-US" w:eastAsia="zh-CN"/>
        </w:rPr>
      </w:pPr>
      <w:r>
        <w:rPr>
          <w:rFonts w:hint="eastAsia" w:ascii="Times New Roman" w:eastAsia="仿宋_GB2312"/>
          <w:b w:val="0"/>
          <w:sz w:val="32"/>
          <w:szCs w:val="32"/>
          <w:lang w:val="en-US" w:eastAsia="zh-CN"/>
        </w:rPr>
        <w:t>4.公交运营补贴项目</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92000</w:t>
      </w:r>
      <w:r>
        <w:rPr>
          <w:rFonts w:ascii="Times New Roman" w:eastAsia="仿宋_GB2312"/>
          <w:b w:val="0"/>
          <w:sz w:val="32"/>
          <w:szCs w:val="32"/>
        </w:rPr>
        <w:t>万元，执行数</w:t>
      </w:r>
      <w:r>
        <w:rPr>
          <w:rFonts w:hint="eastAsia" w:ascii="Times New Roman" w:eastAsia="仿宋_GB2312"/>
          <w:b w:val="0"/>
          <w:sz w:val="32"/>
          <w:szCs w:val="32"/>
          <w:lang w:val="en-US" w:eastAsia="zh-CN"/>
        </w:rPr>
        <w:t>92000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楷体" w:hAnsi="楷体" w:eastAsia="楷体" w:cs="楷体"/>
          <w:b/>
          <w:bCs/>
          <w:sz w:val="32"/>
          <w:szCs w:val="32"/>
          <w:lang w:eastAsia="zh-CN"/>
        </w:rPr>
        <w:t>：</w:t>
      </w:r>
      <w:r>
        <w:rPr>
          <w:rFonts w:ascii="Times New Roman" w:eastAsia="仿宋_GB2312"/>
          <w:b w:val="0"/>
          <w:color w:val="auto"/>
          <w:sz w:val="32"/>
          <w:szCs w:val="32"/>
        </w:rPr>
        <w:t>一是</w:t>
      </w:r>
      <w:r>
        <w:rPr>
          <w:rFonts w:hint="default" w:ascii="Times New Roman" w:hAnsi="Times New Roman" w:eastAsia="仿宋_GB2312" w:cs="Times New Roman"/>
          <w:color w:val="auto"/>
          <w:sz w:val="32"/>
          <w:szCs w:val="32"/>
          <w:lang w:val="en-US" w:eastAsia="zh-CN"/>
        </w:rPr>
        <w:t>2024年公交运营线路实际达到254条，运客人次完成率和年运营里程完成率都超预期指标值完成，百万公里事故率0.33起/百万公里，百公里燃料消耗也较预期指标值有所提升。</w:t>
      </w:r>
      <w:r>
        <w:rPr>
          <w:rFonts w:hint="eastAsia" w:ascii="Times New Roman" w:hAnsi="Times New Roman" w:eastAsia="仿宋_GB2312" w:cs="Times New Roman"/>
          <w:color w:val="auto"/>
          <w:sz w:val="32"/>
          <w:szCs w:val="32"/>
          <w:lang w:val="en-US" w:eastAsia="zh-CN"/>
        </w:rPr>
        <w:t>二是</w:t>
      </w:r>
      <w:r>
        <w:rPr>
          <w:rFonts w:hint="default" w:ascii="Times New Roman" w:hAnsi="Times New Roman" w:eastAsia="仿宋_GB2312" w:cs="Times New Roman"/>
          <w:color w:val="auto"/>
          <w:sz w:val="32"/>
          <w:szCs w:val="32"/>
          <w:lang w:val="en-US" w:eastAsia="zh-CN"/>
        </w:rPr>
        <w:t>运营补贴保障城市公交正常运营，同时新能源车的广泛使用，有助于节约能耗，减少燃油消费</w:t>
      </w:r>
      <w:r>
        <w:rPr>
          <w:rFonts w:hint="default" w:ascii="Times New Roman" w:hAnsi="Times New Roman" w:eastAsia="仿宋_GB2312" w:cs="Times New Roman"/>
          <w:sz w:val="32"/>
          <w:szCs w:val="32"/>
          <w:lang w:val="en-US" w:eastAsia="zh-CN"/>
        </w:rPr>
        <w:t>，为市民提供低碳、绿色的出行服务。</w:t>
      </w:r>
      <w:r>
        <w:rPr>
          <w:rFonts w:hint="eastAsia" w:ascii="Times New Roman" w:hAnsi="Times New Roman" w:eastAsia="仿宋_GB2312" w:cs="Times New Roman"/>
          <w:sz w:val="32"/>
          <w:szCs w:val="32"/>
          <w:lang w:val="en-US" w:eastAsia="zh-CN"/>
        </w:rPr>
        <w:t>三是</w:t>
      </w:r>
      <w:r>
        <w:rPr>
          <w:rFonts w:hint="default" w:ascii="Times New Roman" w:hAnsi="Times New Roman" w:eastAsia="仿宋_GB2312" w:cs="Times New Roman"/>
          <w:sz w:val="32"/>
          <w:szCs w:val="32"/>
          <w:lang w:val="en-US" w:eastAsia="zh-CN"/>
        </w:rPr>
        <w:t>根据公交集团车厢服务合格率99.83%，完成预期指标值。</w:t>
      </w:r>
      <w:r>
        <w:rPr>
          <w:rFonts w:hint="eastAsia" w:ascii="Times New Roman" w:hAnsi="Times New Roman" w:eastAsia="仿宋_GB2312" w:cs="Times New Roman"/>
          <w:sz w:val="32"/>
          <w:szCs w:val="32"/>
          <w:lang w:val="en-US" w:eastAsia="zh-CN"/>
        </w:rPr>
        <w:t>项目执行中未发现问题。</w:t>
      </w:r>
    </w:p>
    <w:p>
      <w:pPr>
        <w:keepNext w:val="0"/>
        <w:keepLines w:val="0"/>
        <w:pageBreakBefore w:val="0"/>
        <w:widowControl w:val="0"/>
        <w:numPr>
          <w:ilvl w:val="0"/>
          <w:numId w:val="0"/>
        </w:numPr>
        <w:kinsoku/>
        <w:wordWrap/>
        <w:overflowPunct/>
        <w:topLinePunct w:val="0"/>
        <w:autoSpaceDE/>
        <w:autoSpaceDN/>
        <w:bidi w:val="0"/>
        <w:spacing w:line="560" w:lineRule="exact"/>
        <w:ind w:left="0" w:leftChars="0" w:firstLine="640" w:firstLineChars="200"/>
        <w:textAlignment w:val="auto"/>
        <w:rPr>
          <w:rFonts w:hint="eastAsia" w:ascii="Times New Roman" w:hAnsi="Times New Roman" w:eastAsia="仿宋_GB2312" w:cs="Times New Roman"/>
          <w:sz w:val="32"/>
          <w:szCs w:val="32"/>
          <w:lang w:val="en-US" w:eastAsia="zh-CN"/>
        </w:rPr>
      </w:pPr>
      <w:r>
        <w:rPr>
          <w:rFonts w:hint="eastAsia" w:ascii="Times New Roman" w:eastAsia="仿宋_GB2312"/>
          <w:b w:val="0"/>
          <w:sz w:val="32"/>
          <w:szCs w:val="32"/>
          <w:lang w:val="en-US" w:eastAsia="zh-CN"/>
        </w:rPr>
        <w:t>5.复兴大街、北三环市政化改造项目资金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Times New Roman" w:eastAsia="仿宋_GB2312"/>
          <w:b w:val="0"/>
          <w:sz w:val="32"/>
          <w:szCs w:val="32"/>
          <w:lang w:val="en-US" w:eastAsia="zh-CN"/>
        </w:rPr>
        <w:t>43400</w:t>
      </w:r>
      <w:r>
        <w:rPr>
          <w:rFonts w:ascii="Times New Roman" w:eastAsia="仿宋_GB2312"/>
          <w:b w:val="0"/>
          <w:sz w:val="32"/>
          <w:szCs w:val="32"/>
        </w:rPr>
        <w:t>万元，执行数</w:t>
      </w:r>
      <w:r>
        <w:rPr>
          <w:rFonts w:hint="eastAsia" w:ascii="Times New Roman" w:eastAsia="仿宋_GB2312"/>
          <w:b w:val="0"/>
          <w:sz w:val="32"/>
          <w:szCs w:val="32"/>
          <w:lang w:val="en-US" w:eastAsia="zh-CN"/>
        </w:rPr>
        <w:t>43400</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楷体" w:hAnsi="楷体" w:eastAsia="楷体" w:cs="楷体"/>
          <w:b/>
          <w:bCs/>
          <w:sz w:val="32"/>
          <w:szCs w:val="32"/>
          <w:lang w:eastAsia="zh-CN"/>
        </w:rPr>
        <w:t>：</w:t>
      </w:r>
      <w:r>
        <w:rPr>
          <w:rFonts w:hint="default" w:ascii="Times New Roman" w:hAnsi="Times New Roman" w:eastAsia="仿宋_GB2312" w:cs="Times New Roman"/>
          <w:sz w:val="32"/>
          <w:szCs w:val="32"/>
          <w:lang w:val="en-US" w:eastAsia="zh-CN"/>
        </w:rPr>
        <w:t>2024年按时足额支付</w:t>
      </w:r>
      <w:r>
        <w:rPr>
          <w:rFonts w:hint="eastAsia" w:ascii="Times New Roman" w:hAnsi="Times New Roman" w:eastAsia="仿宋_GB2312" w:cs="Times New Roman"/>
          <w:sz w:val="32"/>
          <w:szCs w:val="32"/>
          <w:lang w:val="en-US" w:eastAsia="zh-CN"/>
        </w:rPr>
        <w:t>项目资金，</w:t>
      </w:r>
      <w:r>
        <w:rPr>
          <w:rFonts w:hint="default" w:ascii="Times New Roman" w:hAnsi="Times New Roman" w:eastAsia="仿宋_GB2312" w:cs="Times New Roman"/>
          <w:sz w:val="32"/>
          <w:szCs w:val="32"/>
          <w:lang w:val="en-US" w:eastAsia="zh-CN"/>
        </w:rPr>
        <w:t>违约率为0%。</w:t>
      </w:r>
      <w:r>
        <w:rPr>
          <w:rFonts w:hint="eastAsia" w:ascii="楷体" w:hAnsi="楷体" w:eastAsia="楷体" w:cs="楷体"/>
          <w:bCs/>
          <w:sz w:val="32"/>
          <w:szCs w:val="32"/>
          <w:lang w:eastAsia="zh-CN"/>
        </w:rPr>
        <w:t>发现的</w:t>
      </w:r>
      <w:r>
        <w:rPr>
          <w:rFonts w:hint="eastAsia" w:ascii="楷体" w:hAnsi="楷体" w:eastAsia="楷体" w:cs="楷体"/>
          <w:bCs/>
          <w:sz w:val="32"/>
          <w:szCs w:val="32"/>
        </w:rPr>
        <w:t>主要问题</w:t>
      </w:r>
      <w:r>
        <w:rPr>
          <w:rFonts w:hint="eastAsia" w:ascii="楷体" w:hAnsi="楷体" w:eastAsia="楷体" w:cs="楷体"/>
          <w:bCs/>
          <w:sz w:val="32"/>
          <w:szCs w:val="32"/>
          <w:lang w:eastAsia="zh-CN"/>
        </w:rPr>
        <w:t>：</w:t>
      </w:r>
      <w:r>
        <w:rPr>
          <w:rFonts w:hint="default" w:ascii="Times New Roman" w:hAnsi="Times New Roman" w:eastAsia="仿宋_GB2312" w:cs="Times New Roman"/>
          <w:bCs/>
          <w:sz w:val="32"/>
          <w:szCs w:val="32"/>
          <w:lang w:val="en-US" w:eastAsia="zh-CN"/>
        </w:rPr>
        <w:t>部分合同缺失签订日期</w:t>
      </w:r>
      <w:r>
        <w:rPr>
          <w:rFonts w:hint="eastAsia" w:ascii="Times New Roman" w:hAnsi="Times New Roman" w:eastAsia="仿宋_GB2312" w:cs="Times New Roman"/>
          <w:bCs/>
          <w:sz w:val="32"/>
          <w:szCs w:val="32"/>
          <w:lang w:val="en-US" w:eastAsia="zh-CN"/>
        </w:rPr>
        <w:t>。下一步改进措施：</w:t>
      </w:r>
      <w:r>
        <w:rPr>
          <w:rFonts w:hint="default" w:ascii="Times New Roman" w:hAnsi="Times New Roman" w:eastAsia="仿宋_GB2312" w:cs="Times New Roman"/>
          <w:b w:val="0"/>
          <w:bCs w:val="0"/>
          <w:sz w:val="32"/>
          <w:szCs w:val="32"/>
          <w:lang w:val="en-US" w:eastAsia="zh-CN"/>
        </w:rPr>
        <w:t>加强内部审查机制，确保未来所有合同均符合法律要求和项目管理标准。</w:t>
      </w:r>
    </w:p>
    <w:p>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val="en-US" w:eastAsia="zh-CN"/>
        </w:rPr>
      </w:pPr>
      <w:r>
        <w:rPr>
          <w:rFonts w:hint="eastAsia" w:ascii="Times New Roman" w:eastAsia="仿宋_GB2312"/>
          <w:b w:val="0"/>
          <w:sz w:val="32"/>
          <w:szCs w:val="32"/>
          <w:lang w:val="en-US" w:eastAsia="zh-CN"/>
        </w:rPr>
        <w:t>6.京昆高速公路石太段偿债资金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w:t>
      </w:r>
      <w:r>
        <w:rPr>
          <w:rFonts w:hint="eastAsia" w:ascii="Times New Roman" w:eastAsia="仿宋_GB2312" w:cs="宋体"/>
          <w:b w:val="0"/>
          <w:sz w:val="32"/>
          <w:szCs w:val="32"/>
          <w:lang w:val="en-US" w:eastAsia="zh-CN"/>
        </w:rPr>
        <w:t>数为28800万元，执行数28800万元，完成预算的100%。项目绩效目标完成情况：按时足额支付偿债资金，违约率0。未发现问题。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val="en-US" w:eastAsia="zh-CN"/>
        </w:rPr>
      </w:pPr>
      <w:r>
        <w:rPr>
          <w:rFonts w:hint="eastAsia" w:ascii="Times New Roman" w:eastAsia="仿宋_GB2312" w:cs="宋体" w:hAnsiTheme="minorHAnsi"/>
          <w:b w:val="0"/>
          <w:bCs w:val="0"/>
          <w:color w:val="auto"/>
          <w:kern w:val="0"/>
          <w:sz w:val="32"/>
          <w:szCs w:val="32"/>
          <w:lang w:val="en-US" w:eastAsia="zh-CN" w:bidi="ar-SA"/>
        </w:rPr>
        <w:t>7.</w:t>
      </w:r>
      <w:r>
        <w:rPr>
          <w:rFonts w:hint="eastAsia" w:ascii="Times New Roman" w:eastAsia="仿宋_GB2312"/>
          <w:b w:val="0"/>
          <w:sz w:val="32"/>
          <w:szCs w:val="32"/>
          <w:lang w:val="en-US" w:eastAsia="zh-CN"/>
        </w:rPr>
        <w:t>京昆高速公路京石段偿债资金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w:t>
      </w:r>
      <w:r>
        <w:rPr>
          <w:rFonts w:hint="eastAsia" w:ascii="Times New Roman" w:eastAsia="仿宋_GB2312" w:cs="宋体"/>
          <w:b w:val="0"/>
          <w:sz w:val="32"/>
          <w:szCs w:val="32"/>
          <w:lang w:val="en-US" w:eastAsia="zh-CN"/>
        </w:rPr>
        <w:t>数为9490万元，执行数9490万元，完成预算的100%。项目绩效目标完成情况：按时足额支付偿债资金，违约率0。未发现问题。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val="en-US" w:eastAsia="zh-CN"/>
        </w:rPr>
      </w:pPr>
      <w:r>
        <w:rPr>
          <w:rFonts w:hint="eastAsia" w:ascii="Times New Roman" w:eastAsia="仿宋_GB2312" w:cs="宋体" w:hAnsiTheme="minorHAnsi"/>
          <w:b w:val="0"/>
          <w:bCs w:val="0"/>
          <w:color w:val="auto"/>
          <w:kern w:val="0"/>
          <w:sz w:val="32"/>
          <w:szCs w:val="32"/>
          <w:lang w:val="en-US" w:eastAsia="zh-CN" w:bidi="ar-SA"/>
        </w:rPr>
        <w:t>8.南绕城高速公路专项债付息资金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w:t>
      </w:r>
      <w:r>
        <w:rPr>
          <w:rFonts w:hint="eastAsia" w:ascii="Times New Roman" w:eastAsia="仿宋_GB2312" w:cs="宋体"/>
          <w:b w:val="0"/>
          <w:sz w:val="32"/>
          <w:szCs w:val="32"/>
          <w:lang w:val="en-US" w:eastAsia="zh-CN"/>
        </w:rPr>
        <w:t>数为8985.58万元，执行数8985.58万元，完成预算的100%。项目绩效目标完成情况：按时足额支付利息资金，违约率0。未发现问题。</w:t>
      </w:r>
    </w:p>
    <w:p>
      <w:pPr>
        <w:widowControl/>
        <w:spacing w:before="0" w:beforeLines="0" w:beforeAutospacing="0" w:after="0" w:afterLines="0" w:afterAutospacing="0" w:line="360" w:lineRule="auto"/>
        <w:ind w:firstLine="640" w:firstLineChars="200"/>
        <w:jc w:val="left"/>
        <w:rPr>
          <w:rFonts w:hint="eastAsia" w:ascii="Times New Roman" w:eastAsia="仿宋_GB2312" w:cs="宋体"/>
          <w:b w:val="0"/>
          <w:sz w:val="32"/>
          <w:szCs w:val="32"/>
          <w:lang w:val="en-US" w:eastAsia="zh-CN"/>
        </w:rPr>
      </w:pPr>
      <w:r>
        <w:rPr>
          <w:rFonts w:hint="eastAsia" w:ascii="Times New Roman" w:eastAsia="仿宋_GB2312" w:cs="宋体" w:hAnsiTheme="minorHAnsi"/>
          <w:b w:val="0"/>
          <w:bCs w:val="0"/>
          <w:color w:val="auto"/>
          <w:kern w:val="0"/>
          <w:sz w:val="32"/>
          <w:szCs w:val="32"/>
          <w:lang w:val="en-US" w:eastAsia="zh-CN" w:bidi="ar-SA"/>
        </w:rPr>
        <w:t>9.政府还贷高速公路偿债资金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w:t>
      </w:r>
      <w:r>
        <w:rPr>
          <w:rFonts w:hint="eastAsia" w:ascii="Times New Roman" w:eastAsia="仿宋_GB2312" w:cs="宋体"/>
          <w:b w:val="0"/>
          <w:sz w:val="32"/>
          <w:szCs w:val="32"/>
          <w:lang w:val="en-US" w:eastAsia="zh-CN"/>
        </w:rPr>
        <w:t>数为16543万元，执行数16543万元，完成预算的100%。项目绩效目标完成情况：按时足额支付偿债资金，违约率0。未发现问题。</w:t>
      </w:r>
    </w:p>
    <w:p>
      <w:pPr>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Times New Roman" w:hAnsi="Times New Roman" w:eastAsia="仿宋_GB2312" w:cs="Times New Roman"/>
          <w:sz w:val="32"/>
          <w:szCs w:val="32"/>
        </w:rPr>
      </w:pPr>
      <w:r>
        <w:rPr>
          <w:rFonts w:hint="eastAsia" w:ascii="Times New Roman" w:eastAsia="仿宋_GB2312" w:cs="宋体" w:hAnsiTheme="minorHAnsi"/>
          <w:b w:val="0"/>
          <w:bCs w:val="0"/>
          <w:color w:val="auto"/>
          <w:kern w:val="0"/>
          <w:sz w:val="32"/>
          <w:szCs w:val="32"/>
          <w:lang w:val="en-US" w:eastAsia="zh-CN" w:bidi="ar-SA"/>
        </w:rPr>
        <w:t>10.政府还贷高速公路运营养护等资金</w:t>
      </w:r>
      <w:r>
        <w:rPr>
          <w:rFonts w:hint="eastAsia" w:ascii="Times New Roman" w:eastAsia="仿宋_GB2312" w:cs="宋体"/>
          <w:b w:val="0"/>
          <w:sz w:val="32"/>
          <w:szCs w:val="32"/>
        </w:rPr>
        <w:t>绩效自评情</w:t>
      </w:r>
      <w:r>
        <w:rPr>
          <w:rFonts w:ascii="Times New Roman" w:eastAsia="仿宋_GB2312"/>
          <w:b w:val="0"/>
          <w:sz w:val="32"/>
          <w:szCs w:val="32"/>
        </w:rPr>
        <w:t>况</w:t>
      </w:r>
      <w:r>
        <w:rPr>
          <w:rFonts w:hint="eastAsia" w:ascii="Times New Roman" w:eastAsia="仿宋_GB2312"/>
          <w:b w:val="0"/>
          <w:sz w:val="32"/>
          <w:szCs w:val="32"/>
          <w:lang w:eastAsia="zh-CN"/>
        </w:rPr>
        <w:t>：</w:t>
      </w:r>
      <w:r>
        <w:rPr>
          <w:rFonts w:ascii="Times New Roman" w:eastAsia="仿宋_GB2312"/>
          <w:b w:val="0"/>
          <w:sz w:val="32"/>
          <w:szCs w:val="32"/>
        </w:rPr>
        <w:t>根据年初设定的绩效目标，项目绩效自评得分为</w:t>
      </w:r>
      <w:r>
        <w:rPr>
          <w:rFonts w:hint="eastAsia" w:ascii="Times New Roman" w:eastAsia="仿宋_GB2312"/>
          <w:b w:val="0"/>
          <w:sz w:val="32"/>
          <w:szCs w:val="32"/>
          <w:lang w:val="en-US" w:eastAsia="zh-CN"/>
        </w:rPr>
        <w:t>99</w:t>
      </w:r>
      <w:r>
        <w:rPr>
          <w:rFonts w:ascii="Times New Roman" w:eastAsia="仿宋_GB2312"/>
          <w:b w:val="0"/>
          <w:sz w:val="32"/>
          <w:szCs w:val="32"/>
        </w:rPr>
        <w:t>分（绩效自评表附后）。全年预算</w:t>
      </w:r>
      <w:r>
        <w:rPr>
          <w:rFonts w:hint="eastAsia" w:ascii="Times New Roman" w:eastAsia="仿宋_GB2312" w:cs="宋体"/>
          <w:b w:val="0"/>
          <w:sz w:val="32"/>
          <w:szCs w:val="32"/>
          <w:lang w:val="en-US" w:eastAsia="zh-CN"/>
        </w:rPr>
        <w:t>数为43405.9万元，执行数31939.47万元，完成预算的74%。项目绩效目标完成情况：</w:t>
      </w:r>
      <w:r>
        <w:rPr>
          <w:rFonts w:hint="default" w:ascii="Times New Roman" w:hAnsi="Times New Roman" w:eastAsia="仿宋_GB2312" w:cs="Times New Roman"/>
          <w:sz w:val="32"/>
          <w:szCs w:val="32"/>
          <w:highlight w:val="none"/>
          <w:lang w:val="en-US" w:eastAsia="zh-CN"/>
        </w:rPr>
        <w:t>由于通行费收入不达预期，2024年该项目收入完成率74%</w:t>
      </w:r>
      <w:r>
        <w:rPr>
          <w:rFonts w:hint="eastAsia" w:ascii="Times New Roman" w:hAnsi="Times New Roman" w:eastAsia="仿宋_GB2312" w:cs="Times New Roman"/>
          <w:sz w:val="32"/>
          <w:szCs w:val="32"/>
          <w:highlight w:val="none"/>
          <w:lang w:val="en-US" w:eastAsia="zh-CN"/>
        </w:rPr>
        <w:t>，</w:t>
      </w:r>
      <w:r>
        <w:rPr>
          <w:rFonts w:hint="default" w:ascii="Times New Roman" w:hAnsi="Times New Roman" w:eastAsia="仿宋_GB2312" w:cs="Times New Roman"/>
          <w:sz w:val="32"/>
          <w:szCs w:val="32"/>
          <w:lang w:val="en-US" w:eastAsia="zh-CN"/>
        </w:rPr>
        <w:t>社会效益指标符合预期。</w:t>
      </w:r>
      <w:r>
        <w:rPr>
          <w:rFonts w:hint="eastAsia" w:ascii="楷体" w:hAnsi="楷体" w:eastAsia="楷体" w:cs="楷体"/>
          <w:bCs/>
          <w:sz w:val="32"/>
          <w:szCs w:val="32"/>
          <w:lang w:eastAsia="zh-CN"/>
        </w:rPr>
        <w:t>发现的主要问题及原因：</w:t>
      </w:r>
      <w:r>
        <w:rPr>
          <w:rFonts w:hint="default" w:ascii="Times New Roman" w:hAnsi="Times New Roman" w:eastAsia="仿宋_GB2312" w:cs="Times New Roman"/>
          <w:bCs/>
          <w:sz w:val="32"/>
          <w:szCs w:val="32"/>
          <w:lang w:val="en-US" w:eastAsia="zh-CN"/>
        </w:rPr>
        <w:t>由于</w:t>
      </w:r>
      <w:r>
        <w:rPr>
          <w:rFonts w:hint="default" w:ascii="Times New Roman" w:hAnsi="Times New Roman" w:eastAsia="仿宋_GB2312" w:cs="Times New Roman"/>
          <w:bCs/>
          <w:sz w:val="32"/>
          <w:szCs w:val="32"/>
          <w:lang w:eastAsia="zh-CN"/>
        </w:rPr>
        <w:t>实际车流量达不到可行性研究报告预期车流量，</w:t>
      </w:r>
      <w:r>
        <w:rPr>
          <w:rFonts w:hint="default" w:ascii="Times New Roman" w:hAnsi="Times New Roman" w:eastAsia="仿宋_GB2312" w:cs="Times New Roman"/>
          <w:bCs/>
          <w:sz w:val="32"/>
          <w:szCs w:val="32"/>
          <w:lang w:val="en-US" w:eastAsia="zh-CN"/>
        </w:rPr>
        <w:t>导致</w:t>
      </w:r>
      <w:r>
        <w:rPr>
          <w:rFonts w:hint="default" w:ascii="Times New Roman" w:hAnsi="Times New Roman" w:eastAsia="仿宋_GB2312" w:cs="Times New Roman"/>
          <w:bCs/>
          <w:sz w:val="32"/>
          <w:szCs w:val="32"/>
          <w:lang w:eastAsia="zh-CN"/>
        </w:rPr>
        <w:t>已通车高速公路通行费收入</w:t>
      </w:r>
      <w:r>
        <w:rPr>
          <w:rFonts w:hint="eastAsia" w:ascii="Times New Roman" w:hAnsi="Times New Roman" w:eastAsia="仿宋_GB2312" w:cs="Times New Roman"/>
          <w:bCs/>
          <w:sz w:val="32"/>
          <w:szCs w:val="32"/>
          <w:lang w:eastAsia="zh-CN"/>
        </w:rPr>
        <w:t>未达到预期</w:t>
      </w:r>
      <w:r>
        <w:rPr>
          <w:rFonts w:hint="default" w:ascii="Times New Roman" w:hAnsi="Times New Roman" w:eastAsia="仿宋_GB2312" w:cs="Times New Roman"/>
          <w:bCs/>
          <w:sz w:val="32"/>
          <w:szCs w:val="32"/>
          <w:lang w:eastAsia="zh-CN"/>
        </w:rPr>
        <w:t>。</w:t>
      </w:r>
      <w:r>
        <w:rPr>
          <w:rFonts w:hint="eastAsia" w:ascii="Times New Roman" w:hAnsi="Times New Roman" w:eastAsia="仿宋_GB2312" w:cs="Times New Roman"/>
          <w:bCs/>
          <w:sz w:val="32"/>
          <w:szCs w:val="32"/>
          <w:lang w:eastAsia="zh-CN"/>
        </w:rPr>
        <w:t>下一步改进措施：</w:t>
      </w:r>
      <w:r>
        <w:rPr>
          <w:rFonts w:hint="default" w:ascii="Times New Roman" w:hAnsi="Times New Roman" w:eastAsia="仿宋_GB2312" w:cs="Times New Roman"/>
          <w:sz w:val="32"/>
          <w:szCs w:val="32"/>
        </w:rPr>
        <w:t>建立防范重大风险应急预案</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当出现</w:t>
      </w:r>
      <w:r>
        <w:rPr>
          <w:rFonts w:hint="eastAsia" w:ascii="Times New Roman" w:hAnsi="Times New Roman" w:eastAsia="仿宋_GB2312" w:cs="Times New Roman"/>
          <w:sz w:val="32"/>
          <w:szCs w:val="32"/>
          <w:lang w:eastAsia="zh-CN"/>
        </w:rPr>
        <w:t>相关风险时</w:t>
      </w:r>
      <w:r>
        <w:rPr>
          <w:rFonts w:hint="default" w:ascii="Times New Roman" w:hAnsi="Times New Roman" w:eastAsia="仿宋_GB2312" w:cs="Times New Roman"/>
          <w:sz w:val="32"/>
          <w:szCs w:val="32"/>
        </w:rPr>
        <w:t>，及时上级部门报告债务风险情况，启动债务风险应急处置预案。</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pStyle w:val="2"/>
        <w:numPr>
          <w:numId w:val="0"/>
        </w:numPr>
        <w:ind w:leftChars="0"/>
        <w:rPr>
          <w:rFonts w:hint="default"/>
          <w:lang w:val="en-US" w:eastAsia="zh-CN"/>
        </w:rPr>
      </w:pPr>
      <w:r>
        <w:rPr>
          <w:rFonts w:hint="eastAsia"/>
          <w:lang w:val="en-US" w:eastAsia="zh-CN"/>
        </w:rPr>
        <w:t>附自评表：</w:t>
      </w:r>
    </w:p>
    <w:p>
      <w:pPr>
        <w:widowControl/>
        <w:spacing w:before="0" w:beforeLines="0" w:beforeAutospacing="0" w:after="0" w:afterLines="0" w:afterAutospacing="0" w:line="360" w:lineRule="auto"/>
        <w:ind w:firstLine="480" w:firstLineChars="200"/>
        <w:jc w:val="left"/>
      </w:pPr>
      <w:r>
        <w:drawing>
          <wp:inline distT="0" distB="0" distL="114300" distR="114300">
            <wp:extent cx="5626735" cy="7350760"/>
            <wp:effectExtent l="0" t="0" r="12065" b="2540"/>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17"/>
                    <a:stretch>
                      <a:fillRect/>
                    </a:stretch>
                  </pic:blipFill>
                  <pic:spPr>
                    <a:xfrm>
                      <a:off x="0" y="0"/>
                      <a:ext cx="5626735" cy="735076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r>
        <w:drawing>
          <wp:inline distT="0" distB="0" distL="114300" distR="114300">
            <wp:extent cx="5948680" cy="7153910"/>
            <wp:effectExtent l="0" t="0" r="13970" b="8890"/>
            <wp:docPr id="6"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2"/>
                    <pic:cNvPicPr>
                      <a:picLocks noChangeAspect="1"/>
                    </pic:cNvPicPr>
                  </pic:nvPicPr>
                  <pic:blipFill>
                    <a:blip r:embed="rId18"/>
                    <a:stretch>
                      <a:fillRect/>
                    </a:stretch>
                  </pic:blipFill>
                  <pic:spPr>
                    <a:xfrm>
                      <a:off x="0" y="0"/>
                      <a:ext cx="5948680" cy="715391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p>
    <w:p>
      <w:pPr>
        <w:widowControl/>
        <w:spacing w:before="0" w:beforeLines="0" w:beforeAutospacing="0" w:after="0" w:afterLines="0" w:afterAutospacing="0" w:line="360" w:lineRule="auto"/>
        <w:ind w:firstLine="480" w:firstLineChars="200"/>
        <w:jc w:val="left"/>
      </w:pPr>
    </w:p>
    <w:p>
      <w:pPr>
        <w:widowControl/>
        <w:spacing w:before="0" w:beforeLines="0" w:beforeAutospacing="0" w:after="0" w:afterLines="0" w:afterAutospacing="0" w:line="360" w:lineRule="auto"/>
        <w:ind w:firstLine="480" w:firstLineChars="200"/>
        <w:jc w:val="left"/>
        <w:rPr>
          <w:rFonts w:ascii="Times New Roman" w:eastAsia="黑体"/>
          <w:b w:val="0"/>
          <w:sz w:val="32"/>
          <w:szCs w:val="32"/>
        </w:rPr>
      </w:pPr>
      <w:r>
        <w:drawing>
          <wp:inline distT="0" distB="0" distL="114300" distR="114300">
            <wp:extent cx="5935980" cy="7285355"/>
            <wp:effectExtent l="0" t="0" r="7620" b="10795"/>
            <wp:docPr id="23"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14"/>
                    <pic:cNvPicPr>
                      <a:picLocks noChangeAspect="1"/>
                    </pic:cNvPicPr>
                  </pic:nvPicPr>
                  <pic:blipFill>
                    <a:blip r:embed="rId19"/>
                    <a:stretch>
                      <a:fillRect/>
                    </a:stretch>
                  </pic:blipFill>
                  <pic:spPr>
                    <a:xfrm>
                      <a:off x="0" y="0"/>
                      <a:ext cx="5935980" cy="7285355"/>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p>
    <w:p>
      <w:pPr>
        <w:widowControl/>
        <w:spacing w:before="0" w:beforeLines="0" w:beforeAutospacing="0" w:after="0" w:afterLines="0" w:afterAutospacing="0" w:line="360" w:lineRule="auto"/>
        <w:ind w:firstLine="640" w:firstLineChars="200"/>
        <w:jc w:val="left"/>
        <w:rPr>
          <w:rFonts w:ascii="Times New Roman" w:eastAsia="黑体"/>
          <w:b w:val="0"/>
          <w:sz w:val="32"/>
          <w:szCs w:val="32"/>
        </w:rPr>
      </w:pPr>
    </w:p>
    <w:p>
      <w:pPr>
        <w:widowControl/>
        <w:spacing w:before="0" w:beforeLines="0" w:beforeAutospacing="0" w:after="0" w:afterLines="0" w:afterAutospacing="0" w:line="360" w:lineRule="auto"/>
        <w:ind w:firstLine="480" w:firstLineChars="200"/>
        <w:jc w:val="left"/>
      </w:pPr>
      <w:r>
        <w:drawing>
          <wp:inline distT="0" distB="0" distL="114300" distR="114300">
            <wp:extent cx="5948045" cy="7289165"/>
            <wp:effectExtent l="0" t="0" r="14605" b="6985"/>
            <wp:docPr id="12"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5"/>
                    <pic:cNvPicPr>
                      <a:picLocks noChangeAspect="1"/>
                    </pic:cNvPicPr>
                  </pic:nvPicPr>
                  <pic:blipFill>
                    <a:blip r:embed="rId20"/>
                    <a:stretch>
                      <a:fillRect/>
                    </a:stretch>
                  </pic:blipFill>
                  <pic:spPr>
                    <a:xfrm>
                      <a:off x="0" y="0"/>
                      <a:ext cx="5948045" cy="7289165"/>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p>
    <w:p>
      <w:pPr>
        <w:widowControl/>
        <w:spacing w:before="0" w:beforeLines="0" w:beforeAutospacing="0" w:after="0" w:afterLines="0" w:afterAutospacing="0" w:line="360" w:lineRule="auto"/>
        <w:ind w:firstLine="480" w:firstLineChars="200"/>
        <w:jc w:val="left"/>
      </w:pPr>
    </w:p>
    <w:p>
      <w:pPr>
        <w:widowControl/>
        <w:spacing w:before="0" w:beforeLines="0" w:beforeAutospacing="0" w:after="0" w:afterLines="0" w:afterAutospacing="0" w:line="360" w:lineRule="auto"/>
        <w:ind w:firstLine="480" w:firstLineChars="200"/>
        <w:jc w:val="left"/>
      </w:pPr>
      <w:r>
        <w:drawing>
          <wp:inline distT="0" distB="0" distL="114300" distR="114300">
            <wp:extent cx="5757545" cy="7441565"/>
            <wp:effectExtent l="0" t="0" r="14605" b="6985"/>
            <wp:docPr id="14"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6"/>
                    <pic:cNvPicPr>
                      <a:picLocks noChangeAspect="1"/>
                    </pic:cNvPicPr>
                  </pic:nvPicPr>
                  <pic:blipFill>
                    <a:blip r:embed="rId21"/>
                    <a:stretch>
                      <a:fillRect/>
                    </a:stretch>
                  </pic:blipFill>
                  <pic:spPr>
                    <a:xfrm>
                      <a:off x="0" y="0"/>
                      <a:ext cx="5757545" cy="7441565"/>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p>
    <w:p>
      <w:pPr>
        <w:widowControl/>
        <w:spacing w:before="0" w:beforeLines="0" w:beforeAutospacing="0" w:after="0" w:afterLines="0" w:afterAutospacing="0" w:line="360" w:lineRule="auto"/>
        <w:ind w:firstLine="480" w:firstLineChars="200"/>
        <w:jc w:val="left"/>
      </w:pPr>
      <w:r>
        <w:drawing>
          <wp:inline distT="0" distB="0" distL="114300" distR="114300">
            <wp:extent cx="5902960" cy="8241030"/>
            <wp:effectExtent l="0" t="0" r="2540" b="7620"/>
            <wp:docPr id="16"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7"/>
                    <pic:cNvPicPr>
                      <a:picLocks noChangeAspect="1"/>
                    </pic:cNvPicPr>
                  </pic:nvPicPr>
                  <pic:blipFill>
                    <a:blip r:embed="rId22"/>
                    <a:stretch>
                      <a:fillRect/>
                    </a:stretch>
                  </pic:blipFill>
                  <pic:spPr>
                    <a:xfrm>
                      <a:off x="0" y="0"/>
                      <a:ext cx="5902960" cy="824103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r>
        <w:drawing>
          <wp:inline distT="0" distB="0" distL="114300" distR="114300">
            <wp:extent cx="6021705" cy="7703820"/>
            <wp:effectExtent l="0" t="0" r="17145" b="11430"/>
            <wp:docPr id="18"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9"/>
                    <pic:cNvPicPr>
                      <a:picLocks noChangeAspect="1"/>
                    </pic:cNvPicPr>
                  </pic:nvPicPr>
                  <pic:blipFill>
                    <a:blip r:embed="rId23"/>
                    <a:stretch>
                      <a:fillRect/>
                    </a:stretch>
                  </pic:blipFill>
                  <pic:spPr>
                    <a:xfrm>
                      <a:off x="0" y="0"/>
                      <a:ext cx="6021705" cy="770382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p>
    <w:p>
      <w:pPr>
        <w:widowControl/>
        <w:spacing w:before="0" w:beforeLines="0" w:beforeAutospacing="0" w:after="0" w:afterLines="0" w:afterAutospacing="0" w:line="360" w:lineRule="auto"/>
        <w:ind w:firstLine="480" w:firstLineChars="200"/>
        <w:jc w:val="left"/>
      </w:pPr>
      <w:r>
        <w:drawing>
          <wp:inline distT="0" distB="0" distL="114300" distR="114300">
            <wp:extent cx="5927090" cy="7804150"/>
            <wp:effectExtent l="0" t="0" r="16510" b="6350"/>
            <wp:docPr id="19"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0"/>
                    <pic:cNvPicPr>
                      <a:picLocks noChangeAspect="1"/>
                    </pic:cNvPicPr>
                  </pic:nvPicPr>
                  <pic:blipFill>
                    <a:blip r:embed="rId24"/>
                    <a:stretch>
                      <a:fillRect/>
                    </a:stretch>
                  </pic:blipFill>
                  <pic:spPr>
                    <a:xfrm>
                      <a:off x="0" y="0"/>
                      <a:ext cx="5927090" cy="780415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r>
        <w:drawing>
          <wp:inline distT="0" distB="0" distL="114300" distR="114300">
            <wp:extent cx="6010910" cy="7665085"/>
            <wp:effectExtent l="0" t="0" r="8890" b="12065"/>
            <wp:docPr id="2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12"/>
                    <pic:cNvPicPr>
                      <a:picLocks noChangeAspect="1"/>
                    </pic:cNvPicPr>
                  </pic:nvPicPr>
                  <pic:blipFill>
                    <a:blip r:embed="rId25"/>
                    <a:stretch>
                      <a:fillRect/>
                    </a:stretch>
                  </pic:blipFill>
                  <pic:spPr>
                    <a:xfrm>
                      <a:off x="0" y="0"/>
                      <a:ext cx="6010910" cy="7665085"/>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480" w:firstLineChars="200"/>
        <w:jc w:val="left"/>
      </w:pPr>
    </w:p>
    <w:p>
      <w:pPr>
        <w:widowControl/>
        <w:spacing w:before="0" w:beforeLines="0" w:beforeAutospacing="0" w:after="0" w:afterLines="0" w:afterAutospacing="0" w:line="360" w:lineRule="auto"/>
        <w:ind w:firstLine="480" w:firstLineChars="200"/>
        <w:jc w:val="left"/>
      </w:pPr>
      <w:r>
        <w:drawing>
          <wp:inline distT="0" distB="0" distL="114300" distR="114300">
            <wp:extent cx="6003925" cy="7907020"/>
            <wp:effectExtent l="0" t="0" r="15875" b="17780"/>
            <wp:docPr id="22"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3"/>
                    <pic:cNvPicPr>
                      <a:picLocks noChangeAspect="1"/>
                    </pic:cNvPicPr>
                  </pic:nvPicPr>
                  <pic:blipFill>
                    <a:blip r:embed="rId26"/>
                    <a:stretch>
                      <a:fillRect/>
                    </a:stretch>
                  </pic:blipFill>
                  <pic:spPr>
                    <a:xfrm>
                      <a:off x="0" y="0"/>
                      <a:ext cx="6003925" cy="7907020"/>
                    </a:xfrm>
                    <a:prstGeom prst="rect">
                      <a:avLst/>
                    </a:prstGeom>
                    <a:noFill/>
                    <a:ln>
                      <a:noFill/>
                    </a:ln>
                  </pic:spPr>
                </pic:pic>
              </a:graphicData>
            </a:graphic>
          </wp:inline>
        </w:drawing>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1.本单位2024年度国有资本经营预算财政拨款支出决算表（公开08表）无相应收支，故空表列示。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w:t>
      </w:r>
      <w:r>
        <w:rPr>
          <w:rFonts w:hint="eastAsia" w:ascii="Times New Roman" w:eastAsia="仿宋_GB2312"/>
          <w:b w:val="0"/>
          <w:sz w:val="32"/>
          <w:szCs w:val="32"/>
          <w:lang w:eastAsia="zh-CN"/>
        </w:rPr>
        <w:t>单位</w:t>
      </w:r>
      <w:r>
        <w:rPr>
          <w:rFonts w:ascii="Times New Roman" w:eastAsia="仿宋_GB2312"/>
          <w:b w:val="0"/>
          <w:sz w:val="32"/>
          <w:szCs w:val="32"/>
        </w:rPr>
        <w:t>用财政拨款安排的因公出国（境）费、公务用车购置及运行费和公务接待费。其中，因公出国（境）费反映单位公务出国（境）的国际旅费、国外城市间交通费、住宿费、培训费、公杂费等支出；公务用车购置及运行费反映单位公务用车购置支出（含车辆购置税、牌照费）及按规定保留的公务用车燃料费、维修费、过桥过路费、保险费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费、邮电费、差旅费、会议费、福利费、日常维修费、办公用房水电费、办公用房取暖费、公务用车运行维护费以及其他费用。</w:t>
      </w:r>
      <w:bookmarkStart w:id="1" w:name="_GoBack"/>
      <w:bookmarkEnd w:id="1"/>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34"/>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3D63FFBE-B898-45B1-B6F1-59903AF86BA9}"/>
  </w:font>
  <w:font w:name="黑体">
    <w:panose1 w:val="02010609060101010101"/>
    <w:charset w:val="86"/>
    <w:family w:val="auto"/>
    <w:pitch w:val="default"/>
    <w:sig w:usb0="800002BF" w:usb1="38CF7CFA" w:usb2="00000016" w:usb3="00000000" w:csb0="00040001" w:csb1="00000000"/>
    <w:embedRegular r:id="rId2" w:fontKey="{39551F51-BE48-43F3-8EE7-1E3F30F78ED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72B3CCFC-E1B3-441E-A3B5-2B80CA65260A}"/>
  </w:font>
  <w:font w:name="仿宋">
    <w:panose1 w:val="02010609060101010101"/>
    <w:charset w:val="86"/>
    <w:family w:val="modern"/>
    <w:pitch w:val="default"/>
    <w:sig w:usb0="800002BF" w:usb1="38CF7CFA" w:usb2="00000016" w:usb3="00000000" w:csb0="00040001" w:csb1="00000000"/>
    <w:embedRegular r:id="rId4" w:fontKey="{716FDE0D-D314-4E0E-9A5F-484683CD5E7E}"/>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9F68ED33-D666-48A4-BFCA-F6617FA0584A}"/>
  </w:font>
  <w:font w:name="方正小标宋_GBK">
    <w:panose1 w:val="02000000000000000000"/>
    <w:charset w:val="86"/>
    <w:family w:val="script"/>
    <w:pitch w:val="default"/>
    <w:sig w:usb0="A00002BF" w:usb1="38CF7CFA" w:usb2="00082016" w:usb3="00000000" w:csb0="00040001" w:csb1="00000000"/>
    <w:embedRegular r:id="rId6" w:fontKey="{BC1A88E2-1708-4241-8913-E7FBB8A8010F}"/>
  </w:font>
  <w:font w:name="仿宋_GB2312">
    <w:panose1 w:val="02010609030101010101"/>
    <w:charset w:val="86"/>
    <w:family w:val="auto"/>
    <w:pitch w:val="default"/>
    <w:sig w:usb0="00000001" w:usb1="080E0000" w:usb2="00000000" w:usb3="00000000" w:csb0="00040000" w:csb1="00000000"/>
    <w:embedRegular r:id="rId7" w:fontKey="{848A9160-5B5F-48B9-B066-CA64A71BC246}"/>
  </w:font>
  <w:font w:name="ArialUnicodeMS">
    <w:altName w:val="Malgun Gothic"/>
    <w:panose1 w:val="00000000000000000000"/>
    <w:charset w:val="81"/>
    <w:family w:val="auto"/>
    <w:pitch w:val="default"/>
    <w:sig w:usb0="00000000" w:usb1="00000000" w:usb2="00000010" w:usb3="00000000" w:csb0="00080001" w:csb1="00000000"/>
    <w:embedRegular r:id="rId8" w:fontKey="{FF114F28-59DC-47E0-8F77-02FB4E5573CF}"/>
  </w:font>
  <w:font w:name="方正仿宋_GB2312">
    <w:altName w:val="仿宋"/>
    <w:panose1 w:val="02000000000000000000"/>
    <w:charset w:val="86"/>
    <w:family w:val="auto"/>
    <w:pitch w:val="default"/>
    <w:sig w:usb0="00000000" w:usb1="00000000" w:usb2="00000012" w:usb3="00000000" w:csb0="00040001" w:csb1="00000000"/>
    <w:embedRegular r:id="rId9" w:fontKey="{FE4AF094-D1C9-48DC-B64F-E3FDEDF5BB7D}"/>
  </w:font>
  <w:font w:name="Malgun Gothic">
    <w:panose1 w:val="020B0503020000020004"/>
    <w:charset w:val="81"/>
    <w:family w:val="auto"/>
    <w:pitch w:val="default"/>
    <w:sig w:usb0="900002AF" w:usb1="01D77CFB" w:usb2="00000012" w:usb3="00000000" w:csb0="00080001" w:csb1="00000000"/>
  </w:font>
  <w:font w:name="方正仿宋_GBK">
    <w:panose1 w:val="02000000000000000000"/>
    <w:charset w:val="86"/>
    <w:family w:val="auto"/>
    <w:pitch w:val="default"/>
    <w:sig w:usb0="A00002BF" w:usb1="38CF7CFA" w:usb2="00082016" w:usb3="00000000" w:csb0="00040001" w:csb1="00000000"/>
  </w:font>
  <w:font w:name="楷体">
    <w:panose1 w:val="02010609060101010101"/>
    <w:charset w:val="86"/>
    <w:family w:val="modern"/>
    <w:pitch w:val="default"/>
    <w:sig w:usb0="800002BF" w:usb1="38CF7CFA" w:usb2="00000016" w:usb3="00000000" w:csb0="00040001" w:csb1="00000000"/>
    <w:embedRegular r:id="rId10" w:fontKey="{E00E44E6-80EF-43D2-86BD-2D51C3D8B77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2"/>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043FE"/>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2">
    <w:name w:val="heading 2"/>
    <w:basedOn w:val="1"/>
    <w:next w:val="1"/>
    <w:link w:val="17"/>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Layout w:type="fixed"/>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ody Text Indent"/>
    <w:basedOn w:val="1"/>
    <w:next w:val="1"/>
    <w:qFormat/>
    <w:uiPriority w:val="0"/>
    <w:pPr>
      <w:ind w:firstLine="538" w:firstLineChars="192"/>
    </w:pPr>
    <w:rPr>
      <w:rFonts w:ascii="宋体" w:hAnsi="Calibri" w:eastAsia="宋体" w:cs="Times New Roman"/>
      <w:sz w:val="28"/>
    </w:rPr>
  </w:style>
  <w:style w:type="paragraph" w:styleId="8">
    <w:name w:val="Balloon Text"/>
    <w:basedOn w:val="1"/>
    <w:link w:val="26"/>
    <w:unhideWhenUsed/>
    <w:qFormat/>
    <w:uiPriority w:val="99"/>
    <w:rPr>
      <w:rFonts w:cstheme="minorBidi"/>
      <w:kern w:val="2"/>
      <w:sz w:val="18"/>
      <w:szCs w:val="18"/>
    </w:rPr>
  </w:style>
  <w:style w:type="paragraph" w:styleId="9">
    <w:name w:val="footer"/>
    <w:basedOn w:val="1"/>
    <w:link w:val="18"/>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9"/>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paragraph" w:styleId="12">
    <w:name w:val="Body Text First Indent 2"/>
    <w:basedOn w:val="7"/>
    <w:next w:val="1"/>
    <w:qFormat/>
    <w:uiPriority w:val="0"/>
    <w:pPr>
      <w:ind w:firstLine="420" w:firstLineChars="200"/>
    </w:pPr>
  </w:style>
  <w:style w:type="table" w:styleId="14">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styleId="16">
    <w:name w:val="Strong"/>
    <w:basedOn w:val="15"/>
    <w:qFormat/>
    <w:uiPriority w:val="22"/>
    <w:rPr>
      <w:b/>
    </w:rPr>
  </w:style>
  <w:style w:type="character" w:customStyle="1" w:styleId="17">
    <w:name w:val="标题 2 Char"/>
    <w:link w:val="2"/>
    <w:qFormat/>
    <w:uiPriority w:val="0"/>
    <w:rPr>
      <w:rFonts w:ascii="Calibri Light" w:hAnsi="Calibri Light" w:eastAsia="宋体" w:cs="Times New Roman"/>
      <w:b/>
      <w:bCs/>
      <w:sz w:val="28"/>
      <w:szCs w:val="32"/>
    </w:rPr>
  </w:style>
  <w:style w:type="character" w:customStyle="1" w:styleId="18">
    <w:name w:val="页脚 Char"/>
    <w:basedOn w:val="15"/>
    <w:link w:val="9"/>
    <w:qFormat/>
    <w:uiPriority w:val="99"/>
    <w:rPr>
      <w:rFonts w:asciiTheme="minorHAnsi" w:hAnsiTheme="minorHAnsi" w:eastAsiaTheme="minorEastAsia" w:cstheme="minorBidi"/>
      <w:sz w:val="18"/>
      <w:szCs w:val="18"/>
      <w:lang w:val="en-US" w:eastAsia="zh-CN" w:bidi="ar-SA"/>
    </w:rPr>
  </w:style>
  <w:style w:type="character" w:customStyle="1" w:styleId="19">
    <w:name w:val="页眉 Char"/>
    <w:basedOn w:val="15"/>
    <w:link w:val="10"/>
    <w:qFormat/>
    <w:uiPriority w:val="0"/>
    <w:rPr>
      <w:rFonts w:asciiTheme="minorHAnsi" w:hAnsiTheme="minorHAnsi" w:eastAsiaTheme="minorEastAsia" w:cstheme="minorBidi"/>
      <w:sz w:val="18"/>
      <w:szCs w:val="18"/>
      <w:lang w:val="en-US" w:eastAsia="zh-CN" w:bidi="ar-SA"/>
    </w:rPr>
  </w:style>
  <w:style w:type="character" w:customStyle="1" w:styleId="20">
    <w:name w:val="font11"/>
    <w:basedOn w:val="15"/>
    <w:qFormat/>
    <w:uiPriority w:val="0"/>
    <w:rPr>
      <w:rFonts w:hint="eastAsia" w:ascii="宋体" w:hAnsi="宋体" w:eastAsia="宋体" w:cs="宋体"/>
      <w:color w:val="000000"/>
      <w:sz w:val="20"/>
      <w:szCs w:val="20"/>
      <w:u w:val="none"/>
      <w:lang w:val="en-US" w:eastAsia="zh-CN" w:bidi="ar-SA"/>
    </w:rPr>
  </w:style>
  <w:style w:type="character" w:customStyle="1" w:styleId="21">
    <w:name w:val="font01"/>
    <w:basedOn w:val="15"/>
    <w:qFormat/>
    <w:uiPriority w:val="0"/>
    <w:rPr>
      <w:rFonts w:hint="eastAsia" w:ascii="宋体" w:hAnsi="宋体" w:eastAsia="宋体" w:cs="宋体"/>
      <w:color w:val="000000"/>
      <w:sz w:val="22"/>
      <w:szCs w:val="22"/>
      <w:u w:val="none"/>
      <w:lang w:val="en-US" w:eastAsia="zh-CN" w:bidi="ar-SA"/>
    </w:rPr>
  </w:style>
  <w:style w:type="character" w:customStyle="1" w:styleId="22">
    <w:name w:val="font41"/>
    <w:basedOn w:val="15"/>
    <w:qFormat/>
    <w:uiPriority w:val="0"/>
    <w:rPr>
      <w:rFonts w:hint="eastAsia" w:ascii="宋体" w:hAnsi="宋体" w:eastAsia="宋体" w:cs="宋体"/>
      <w:color w:val="000000"/>
      <w:sz w:val="24"/>
      <w:szCs w:val="24"/>
      <w:u w:val="none"/>
      <w:lang w:val="en-US" w:eastAsia="zh-CN" w:bidi="ar-SA"/>
    </w:rPr>
  </w:style>
  <w:style w:type="character" w:customStyle="1" w:styleId="23">
    <w:name w:val="font3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91"/>
    <w:basedOn w:val="15"/>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5">
    <w:name w:val="font51"/>
    <w:basedOn w:val="15"/>
    <w:qFormat/>
    <w:uiPriority w:val="0"/>
    <w:rPr>
      <w:rFonts w:hint="eastAsia" w:ascii="宋体" w:hAnsi="宋体" w:eastAsia="宋体" w:cs="宋体"/>
      <w:color w:val="000000"/>
      <w:sz w:val="24"/>
      <w:szCs w:val="24"/>
      <w:u w:val="none"/>
      <w:lang w:val="en-US" w:eastAsia="zh-CN" w:bidi="ar-SA"/>
    </w:rPr>
  </w:style>
  <w:style w:type="character" w:customStyle="1" w:styleId="26">
    <w:name w:val="批注框文本 Char"/>
    <w:basedOn w:val="15"/>
    <w:link w:val="8"/>
    <w:semiHidden/>
    <w:qFormat/>
    <w:uiPriority w:val="99"/>
    <w:rPr>
      <w:rFonts w:asciiTheme="minorHAnsi" w:hAnsiTheme="minorHAnsi" w:eastAsiaTheme="minorEastAsia" w:cstheme="minorBidi"/>
      <w:sz w:val="18"/>
      <w:szCs w:val="18"/>
      <w:lang w:val="en-US" w:eastAsia="zh-CN" w:bidi="ar-SA"/>
    </w:rPr>
  </w:style>
  <w:style w:type="paragraph" w:customStyle="1" w:styleId="27">
    <w:name w:val="插入文本样式-插入部门职责文件"/>
    <w:basedOn w:val="1"/>
    <w:qFormat/>
    <w:uiPriority w:val="0"/>
    <w:pPr>
      <w:spacing w:before="0" w:beforeAutospacing="0" w:after="0" w:afterAutospacing="0" w:line="500" w:lineRule="exact"/>
      <w:ind w:firstLine="560"/>
      <w:jc w:val="left"/>
    </w:pPr>
    <w:rPr>
      <w:rFonts w:hint="default" w:ascii="Times New Roman" w:hAnsi="Times New Roman" w:eastAsia="方正仿宋_GBK" w:cs="Times New Roman"/>
      <w:kern w:val="0"/>
      <w:sz w:val="28"/>
      <w:szCs w:val="28"/>
      <w:lang w:val="en-US" w:eastAsia="zh-CN" w:bidi="ar"/>
    </w:rPr>
  </w:style>
  <w:style w:type="paragraph" w:customStyle="1" w:styleId="28">
    <w:name w:val="Normal Indent1"/>
    <w:basedOn w:val="1"/>
    <w:qFormat/>
    <w:uiPriority w:val="0"/>
    <w:pPr>
      <w:adjustRightInd w:val="0"/>
      <w:spacing w:line="360" w:lineRule="atLeast"/>
      <w:ind w:firstLine="420"/>
      <w:jc w:val="left"/>
      <w:textAlignment w:val="baseline"/>
    </w:pPr>
    <w:rPr>
      <w:kern w:val="0"/>
      <w:sz w:val="25"/>
      <w:szCs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header" Target="header3.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numbering" Target="numbering.xml"/><Relationship Id="rId27" Type="http://schemas.openxmlformats.org/officeDocument/2006/relationships/customXml" Target="../customXml/item1.xml"/><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chart" Target="charts/chart6.xml"/><Relationship Id="rId15" Type="http://schemas.openxmlformats.org/officeDocument/2006/relationships/chart" Target="charts/chart5.xml"/><Relationship Id="rId14" Type="http://schemas.openxmlformats.org/officeDocument/2006/relationships/chart" Target="charts/chart4.xml"/><Relationship Id="rId13" Type="http://schemas.openxmlformats.org/officeDocument/2006/relationships/chart" Target="charts/chart3.xml"/><Relationship Id="rId12" Type="http://schemas.openxmlformats.org/officeDocument/2006/relationships/chart" Target="charts/chart2.xml"/><Relationship Id="rId11" Type="http://schemas.openxmlformats.org/officeDocument/2006/relationships/chart" Target="charts/chart1.xml"/><Relationship Id="rId10" Type="http://schemas.openxmlformats.org/officeDocument/2006/relationships/image" Target="media/image1.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629039.6</c:v>
                </c:pt>
                <c:pt idx="1">
                  <c:v>1146787.61</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11467876056.42</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0"/>
            <c:extLst>
              <c:ext xmlns:c15="http://schemas.microsoft.com/office/drawing/2012/chart" uri="{CE6537A1-D6FC-4f65-9D91-7224C49458BB}">
                <c15:layout/>
                <c15:showLeaderLines val="0"/>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20266256.28</c:v>
                </c:pt>
                <c:pt idx="1">
                  <c:v>11447609800.14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628694.79</c:v>
                </c:pt>
                <c:pt idx="1">
                  <c:v>629039.6</c:v>
                </c:pt>
                <c:pt idx="2">
                  <c:v>105918.42</c:v>
                </c:pt>
                <c:pt idx="3">
                  <c:v>106263.23</c:v>
                </c:pt>
                <c:pt idx="4">
                  <c:v>522776.37</c:v>
                </c:pt>
                <c:pt idx="5">
                  <c:v>522776.37</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1146787.61</c:v>
                </c:pt>
                <c:pt idx="1">
                  <c:v>1146787.61</c:v>
                </c:pt>
                <c:pt idx="2">
                  <c:v>105482.62</c:v>
                </c:pt>
                <c:pt idx="3">
                  <c:v>105482.62</c:v>
                </c:pt>
                <c:pt idx="4">
                  <c:v>1041304.98</c:v>
                </c:pt>
                <c:pt idx="5">
                  <c:v>1041304.98</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307531.87</c:v>
                </c:pt>
                <c:pt idx="1">
                  <c:v>307531.87</c:v>
                </c:pt>
                <c:pt idx="2">
                  <c:v>106784.11</c:v>
                </c:pt>
                <c:pt idx="3">
                  <c:v>106784.11</c:v>
                </c:pt>
                <c:pt idx="4">
                  <c:v>200747.76</c:v>
                </c:pt>
                <c:pt idx="5">
                  <c:v>200747.76</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1146787.61</c:v>
                </c:pt>
                <c:pt idx="1">
                  <c:v>1146787.61</c:v>
                </c:pt>
                <c:pt idx="2">
                  <c:v>105482.62</c:v>
                </c:pt>
                <c:pt idx="3">
                  <c:v>105482.62</c:v>
                </c:pt>
                <c:pt idx="4">
                  <c:v>1041304.98</c:v>
                </c:pt>
                <c:pt idx="5">
                  <c:v>1041304.98</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0</c:v>
                </c:pt>
                <c:pt idx="1">
                  <c:v>0</c:v>
                </c:pt>
                <c:pt idx="2">
                  <c:v>0</c:v>
                </c:pt>
                <c:pt idx="3">
                  <c:v>0</c:v>
                </c:pt>
                <c:pt idx="4">
                  <c:v>0</c:v>
                </c:pt>
                <c:pt idx="5">
                  <c:v>0</c:v>
                </c:pt>
                <c:pt idx="6">
                  <c:v>0</c:v>
                </c:pt>
                <c:pt idx="7">
                  <c:v>549.03</c:v>
                </c:pt>
                <c:pt idx="8">
                  <c:v>83.89</c:v>
                </c:pt>
                <c:pt idx="9">
                  <c:v>0</c:v>
                </c:pt>
                <c:pt idx="10">
                  <c:v>125400</c:v>
                </c:pt>
                <c:pt idx="11">
                  <c:v>0</c:v>
                </c:pt>
                <c:pt idx="12">
                  <c:v>374795.69</c:v>
                </c:pt>
                <c:pt idx="13">
                  <c:v>210.15</c:v>
                </c:pt>
                <c:pt idx="14">
                  <c:v>0</c:v>
                </c:pt>
                <c:pt idx="15">
                  <c:v>0</c:v>
                </c:pt>
                <c:pt idx="16">
                  <c:v>0</c:v>
                </c:pt>
                <c:pt idx="17">
                  <c:v>0</c:v>
                </c:pt>
                <c:pt idx="18">
                  <c:v>134.49</c:v>
                </c:pt>
                <c:pt idx="19">
                  <c:v>0</c:v>
                </c:pt>
                <c:pt idx="20">
                  <c:v>0</c:v>
                </c:pt>
                <c:pt idx="21">
                  <c:v>0</c:v>
                </c:pt>
                <c:pt idx="22">
                  <c:v>632016.72</c:v>
                </c:pt>
                <c:pt idx="23">
                  <c:v>0</c:v>
                </c:pt>
                <c:pt idx="24">
                  <c:v>13597.64</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8</TotalTime>
  <ScaleCrop>false</ScaleCrop>
  <LinksUpToDate>false</LinksUpToDate>
  <CharactersWithSpaces>2170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lenovo</cp:lastModifiedBy>
  <cp:lastPrinted>2023-08-04T01:00:00Z</cp:lastPrinted>
  <dcterms:modified xsi:type="dcterms:W3CDTF">2025-09-16T09:05:46Z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y fmtid="{D5CDD505-2E9C-101B-9397-08002B2CF9AE}" pid="3" name="ICV">
    <vt:lpwstr>B9D4097774744A28A58B1072CF95DB35_13</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