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bookmarkStart w:id="0" w:name="_GoBack"/>
      <w:bookmarkEnd w:id="0"/>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348015</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：石家庄市三环路管护中心</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石家庄市三环路管护中心</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石家庄市三环路管护中心</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仿宋_GB2312" w:hAnsi="仿宋_GB2312" w:eastAsia="仿宋_GB2312" w:cs="仿宋_GB2312"/>
          <w:i w:val="0"/>
          <w:iCs w:val="0"/>
          <w:caps w:val="0"/>
          <w:color w:val="auto"/>
          <w:spacing w:val="0"/>
          <w:sz w:val="32"/>
          <w:szCs w:val="32"/>
          <w:highlight w:val="none"/>
          <w:shd w:val="clear" w:fill="FFFFFF"/>
        </w:rPr>
        <w:t>负责石环公路工程的建设与管理维护、收费与还贷等相关工作；负责绕城公路的筹建等相关工作。</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370"/>
        <w:gridCol w:w="2670"/>
        <w:gridCol w:w="25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370"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670"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55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370"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石家庄市三环路管护中心</w:t>
            </w:r>
          </w:p>
        </w:tc>
        <w:tc>
          <w:tcPr>
            <w:tcW w:w="2670"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财政补助事业单位</w:t>
            </w:r>
          </w:p>
        </w:tc>
        <w:tc>
          <w:tcPr>
            <w:tcW w:w="255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部门（单位）：石家庄市三环路管护中心</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10,646.43</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7,900.00</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17,602.41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737.29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18,546.43</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18,546.43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18,546.43</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18,546.43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部门（单位）：石家庄市三环路管护中心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18,546.43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18,546.43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93.25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93.25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93.25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93.25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70.45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70.45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51.54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17,602.41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17,602.41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9,702.41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9,702.41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其他城乡社区公共设施支出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9,702.41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9,702.41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城市基础设施配套费安排的支出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其他城市基础设施配套费安排的支出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交通运输支出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737.29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737.29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公路水路运输</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737.29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737.29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其他公路水路运输支出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737.29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737.29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部门（单位）：石家庄市三环路管护中心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18,546.43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851.22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17,695.21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93.25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93.25</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93.25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93.25</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70.45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70.45</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51.54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51.54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51.54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51.54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51.54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51.54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17,602.41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17,602.41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城市基础设施配套费安排的支出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7,900.00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7,900.00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其他城市基础设施配套费安排的支出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7,900.00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7,900.00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737.29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644.49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92.80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公路水路运输</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737.29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644.49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92.80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其他公路水路运输支出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737.29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644.49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92.80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61.94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61.94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61.94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61.94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61.94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61.94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部门（单位）：石家庄市三环路管护中心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10,646.43</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7,900.00</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93.25</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93.25</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51.54</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51.54</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17,602.41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9,702.41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7,900.00</w:t>
            </w: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737.29</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737.29</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61.94</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61.94</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18,546.43</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18,546.43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10,646.43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7,900.00</w:t>
            </w: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18,546.43</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18,546.43</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10,646.43</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7,900.00</w:t>
            </w: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6"/>
        <w:gridCol w:w="3416"/>
        <w:gridCol w:w="356"/>
        <w:gridCol w:w="877"/>
        <w:gridCol w:w="1002"/>
        <w:gridCol w:w="378"/>
        <w:gridCol w:w="16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编制部门（单位）：石家庄市三环路管护中心</w:t>
            </w:r>
          </w:p>
        </w:tc>
        <w:tc>
          <w:tcPr>
            <w:tcW w:w="154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10,646.43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851.22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9,795.21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93.25</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93.25</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70.45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70.45</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51.54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51.54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51.54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9,702.41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737.29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644.49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公路水路运输</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737.29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644.49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其他公路水路运输支出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737.29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644.49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61.94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61.94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61.94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部门（单位）：石家庄市三环路管护中心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778.32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50.10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201.03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300.29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57.77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70.45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51.54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8.44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4.13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61.94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31.17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22.80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22.80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6.49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4.68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23.90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801.12</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50.10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部门（单位）：石家庄市三环路管护中心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7,900.00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7,900.00</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7,900.00</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03"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7,900.00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7,900.00</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7,900.00</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w:t>
            </w:r>
          </w:p>
        </w:tc>
        <w:tc>
          <w:tcPr>
            <w:tcW w:w="703"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城市基础设施配套费安排的支出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7,900.00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7,900.00</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7,900.00</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2121399</w:t>
            </w:r>
          </w:p>
        </w:tc>
        <w:tc>
          <w:tcPr>
            <w:tcW w:w="703"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其他城市基础设施配套费安排的支出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7,900.00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7,900.00</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7,900.00</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部门（单位）：石家庄市三环路管护中心</w:t>
            </w:r>
          </w:p>
        </w:tc>
        <w:tc>
          <w:tcPr>
            <w:tcW w:w="1421"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部门（单位）：石家庄市三环路管护中心</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3.00</w:t>
            </w: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3.00</w:t>
            </w: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2.74</w:t>
            </w: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2.74</w:t>
            </w: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2.74</w:t>
            </w: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本单位2024年度收、支总计（含结转和结余）均为18,546.43万元。与2023年度决算相比，收支各增加1,611.75万元，增长9.5%，主要原因是</w:t>
      </w:r>
      <w:r>
        <w:rPr>
          <w:rFonts w:hint="eastAsia" w:ascii="Times New Roman" w:eastAsia="仿宋_GB2312"/>
          <w:b w:val="0"/>
          <w:sz w:val="32"/>
          <w:szCs w:val="32"/>
          <w:lang w:val="en-US" w:eastAsia="zh-CN"/>
        </w:rPr>
        <w:t>2024年收入项目增加</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18,546.43万元，其中：财政拨款收入18,546.43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本单位2024年度本年支出合计18,546.43万元，其中：基本支出851.22万元，占4.6%；项目支出17,695.21万元，占95.4%；上缴上级支出0.00万元，占0.0%；经营支出0.00万元，占0.0%；对附属单位补助支出0.00万元，占0.0%。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本单位2024年度财政拨款收、支总计（含结转和结余）均为18,546.43万元。与2023年度相比，财政拨款收支各增加1,611.75万元，增长9.5%，主要原因是</w:t>
      </w:r>
      <w:r>
        <w:rPr>
          <w:rFonts w:hint="eastAsia" w:ascii="Times New Roman" w:eastAsia="仿宋_GB2312"/>
          <w:b w:val="0"/>
          <w:sz w:val="32"/>
          <w:szCs w:val="32"/>
          <w:lang w:val="en-US" w:eastAsia="zh-CN"/>
        </w:rPr>
        <w:t>2024年收入项目增加</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本单位2024年度财政拨款本年收入18,546.43万元,比上年增加1,643.13万元，增长9.7%，主要原因是</w:t>
      </w:r>
      <w:r>
        <w:rPr>
          <w:rFonts w:hint="eastAsia" w:ascii="Times New Roman" w:eastAsia="仿宋_GB2312"/>
          <w:b w:val="0"/>
          <w:sz w:val="32"/>
          <w:szCs w:val="32"/>
          <w:lang w:val="en-US" w:eastAsia="zh-CN"/>
        </w:rPr>
        <w:t>2024年收入项目增加</w:t>
      </w:r>
      <w:r>
        <w:rPr>
          <w:rFonts w:ascii="Times New Roman" w:eastAsia="仿宋_GB2312"/>
          <w:b w:val="0"/>
          <w:sz w:val="32"/>
          <w:szCs w:val="32"/>
        </w:rPr>
        <w:t>；本年支出18,546.43万元，比上年增加1,611.75万元，增长9.5%，主要原因是</w:t>
      </w:r>
      <w:r>
        <w:rPr>
          <w:rFonts w:hint="eastAsia" w:ascii="Times New Roman" w:eastAsia="仿宋_GB2312"/>
          <w:b w:val="0"/>
          <w:sz w:val="32"/>
          <w:szCs w:val="32"/>
          <w:lang w:val="en-US" w:eastAsia="zh-CN"/>
        </w:rPr>
        <w:t>2024年支出项目增加</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1.一般公共预算财政拨款本年收入10,646.43万元,比上年增加446.55万元，增长4.4%，主要原因是</w:t>
      </w:r>
      <w:r>
        <w:rPr>
          <w:rFonts w:hint="eastAsia" w:ascii="Times New Roman" w:eastAsia="仿宋_GB2312"/>
          <w:b w:val="0"/>
          <w:sz w:val="32"/>
          <w:szCs w:val="32"/>
          <w:lang w:val="en-US" w:eastAsia="zh-CN"/>
        </w:rPr>
        <w:t>2024年一般公共预算收入项目增加</w:t>
      </w:r>
      <w:r>
        <w:rPr>
          <w:rFonts w:ascii="Times New Roman" w:eastAsia="仿宋_GB2312"/>
          <w:b w:val="0"/>
          <w:sz w:val="32"/>
          <w:szCs w:val="32"/>
        </w:rPr>
        <w:t>；本年支出10,646.43万元，比上年增加415.17万元，增长4.1%，主要原因是</w:t>
      </w:r>
      <w:r>
        <w:rPr>
          <w:rFonts w:hint="eastAsia" w:ascii="Times New Roman" w:eastAsia="仿宋_GB2312"/>
          <w:b w:val="0"/>
          <w:sz w:val="32"/>
          <w:szCs w:val="32"/>
          <w:lang w:val="en-US" w:eastAsia="zh-CN"/>
        </w:rPr>
        <w:t>2024年一般公共预算支出项目增加</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2.政府性基金预算财政拨款本年收入7,900.00万元，比上年增加1,196.58万元，增长17.9%，主要原因是</w:t>
      </w:r>
      <w:r>
        <w:rPr>
          <w:rFonts w:hint="eastAsia" w:ascii="Times New Roman" w:eastAsia="仿宋_GB2312"/>
          <w:b w:val="0"/>
          <w:sz w:val="32"/>
          <w:szCs w:val="32"/>
          <w:lang w:val="en-US" w:eastAsia="zh-CN"/>
        </w:rPr>
        <w:t>2024年政府性基金收入项目增加</w:t>
      </w:r>
      <w:r>
        <w:rPr>
          <w:rFonts w:ascii="Times New Roman" w:eastAsia="仿宋_GB2312"/>
          <w:b w:val="0"/>
          <w:sz w:val="32"/>
          <w:szCs w:val="32"/>
        </w:rPr>
        <w:t>；本年支出7,900.00万元，比上年增加1,196.58万元，增长17.9%，主要原因是</w:t>
      </w:r>
      <w:r>
        <w:rPr>
          <w:rFonts w:hint="eastAsia" w:ascii="Times New Roman" w:eastAsia="仿宋_GB2312"/>
          <w:b w:val="0"/>
          <w:sz w:val="32"/>
          <w:szCs w:val="32"/>
          <w:lang w:val="en-US" w:eastAsia="zh-CN"/>
        </w:rPr>
        <w:t>2024年政府性基金支出项目增加</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w:t>
      </w:r>
      <w:r>
        <w:rPr>
          <w:rFonts w:hint="eastAsia" w:ascii="Times New Roman" w:eastAsia="仿宋_GB2312"/>
          <w:b w:val="0"/>
          <w:sz w:val="32"/>
          <w:szCs w:val="32"/>
          <w:lang w:eastAsia="zh-CN"/>
        </w:rPr>
        <w:t>比</w:t>
      </w:r>
      <w:r>
        <w:rPr>
          <w:rFonts w:ascii="Times New Roman" w:eastAsia="仿宋_GB2312"/>
          <w:b w:val="0"/>
          <w:sz w:val="32"/>
          <w:szCs w:val="32"/>
        </w:rPr>
        <w:t>上年</w:t>
      </w:r>
      <w:r>
        <w:rPr>
          <w:rFonts w:hint="eastAsia" w:ascii="Times New Roman" w:eastAsia="仿宋_GB2312"/>
          <w:b w:val="0"/>
          <w:sz w:val="32"/>
          <w:szCs w:val="32"/>
          <w:lang w:eastAsia="zh-CN"/>
        </w:rPr>
        <w:t>持平</w:t>
      </w:r>
      <w:r>
        <w:rPr>
          <w:rFonts w:ascii="Times New Roman" w:eastAsia="仿宋_GB2312"/>
          <w:b w:val="0"/>
          <w:sz w:val="32"/>
          <w:szCs w:val="32"/>
        </w:rPr>
        <w:t>；本年支出0.00万元，比上年</w:t>
      </w:r>
      <w:r>
        <w:rPr>
          <w:rFonts w:hint="eastAsia" w:ascii="Times New Roman" w:eastAsia="仿宋_GB2312"/>
          <w:b w:val="0"/>
          <w:sz w:val="32"/>
          <w:szCs w:val="32"/>
          <w:lang w:eastAsia="zh-CN"/>
        </w:rPr>
        <w:t>持平</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本单位2024年度财政拨款本年收入18,546.43万元，完成年初预算的100.0%，比年初预算减少1.10万元，决算数小于预算数主要原因是</w:t>
      </w:r>
      <w:r>
        <w:rPr>
          <w:rFonts w:hint="eastAsia" w:ascii="Times New Roman" w:eastAsia="仿宋_GB2312"/>
          <w:b w:val="0"/>
          <w:sz w:val="32"/>
          <w:szCs w:val="32"/>
          <w:lang w:val="en-US" w:eastAsia="zh-CN"/>
        </w:rPr>
        <w:t>2024年核减公务用车运行维护费、物业费预算</w:t>
      </w:r>
      <w:r>
        <w:rPr>
          <w:rFonts w:ascii="Times New Roman" w:eastAsia="仿宋_GB2312"/>
          <w:b w:val="0"/>
          <w:sz w:val="32"/>
          <w:szCs w:val="32"/>
        </w:rPr>
        <w:t>；本年支出18,546.43万元，完成年初预算的100.0%，比年初预算减少1.10万元，决算数小于预算数主要原因是</w:t>
      </w:r>
      <w:r>
        <w:rPr>
          <w:rFonts w:hint="eastAsia" w:ascii="Times New Roman" w:eastAsia="仿宋_GB2312"/>
          <w:b w:val="0"/>
          <w:sz w:val="32"/>
          <w:szCs w:val="32"/>
          <w:lang w:val="en-US" w:eastAsia="zh-CN"/>
        </w:rPr>
        <w:t>2024年核减公务用车运行维护费、物业费预算</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1.一般公共预算财政拨款本年收入完成年初预算的100.0%，比年初预算减少1.10万元，主要原因是</w:t>
      </w:r>
      <w:r>
        <w:rPr>
          <w:rFonts w:hint="eastAsia" w:ascii="仿宋_GB2312" w:hAnsi="Times New Roman" w:eastAsia="仿宋_GB2312" w:cs="DengXian-Regular"/>
          <w:sz w:val="32"/>
          <w:szCs w:val="32"/>
          <w:rtl w:val="0"/>
        </w:rPr>
        <w:t>项目实际收支金额以结算金额为准，所以收入比预算金额略小</w:t>
      </w:r>
      <w:r>
        <w:rPr>
          <w:rFonts w:ascii="Times New Roman" w:eastAsia="仿宋_GB2312"/>
          <w:b w:val="0"/>
          <w:sz w:val="32"/>
          <w:szCs w:val="32"/>
        </w:rPr>
        <w:t>；支出完成年初预算的100.0%，比年初预算减少1.10万元，主要原因是</w:t>
      </w:r>
      <w:r>
        <w:rPr>
          <w:rFonts w:hint="eastAsia" w:ascii="仿宋_GB2312" w:hAnsi="Times New Roman" w:eastAsia="仿宋_GB2312" w:cs="DengXian-Regular"/>
          <w:sz w:val="32"/>
          <w:szCs w:val="32"/>
          <w:rtl w:val="0"/>
        </w:rPr>
        <w:t>项目实际收支金额以结算金额为准，所以</w:t>
      </w:r>
      <w:r>
        <w:rPr>
          <w:rFonts w:hint="eastAsia" w:ascii="仿宋_GB2312" w:hAnsi="Times New Roman" w:eastAsia="仿宋_GB2312" w:cs="DengXian-Regular"/>
          <w:sz w:val="32"/>
          <w:szCs w:val="32"/>
          <w:rtl w:val="0"/>
          <w:lang w:eastAsia="zh-CN"/>
        </w:rPr>
        <w:t>支出</w:t>
      </w:r>
      <w:r>
        <w:rPr>
          <w:rFonts w:hint="eastAsia" w:ascii="仿宋_GB2312" w:hAnsi="Times New Roman" w:eastAsia="仿宋_GB2312" w:cs="DengXian-Regular"/>
          <w:sz w:val="32"/>
          <w:szCs w:val="32"/>
          <w:rtl w:val="0"/>
        </w:rPr>
        <w:t>比预算金额略小</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2.政府性基金预算财政拨款本年收入完成年初预算的100.0%，比年初预算</w:t>
      </w:r>
      <w:r>
        <w:rPr>
          <w:rFonts w:hint="eastAsia" w:ascii="Times New Roman" w:eastAsia="仿宋_GB2312"/>
          <w:b w:val="0"/>
          <w:sz w:val="32"/>
          <w:szCs w:val="32"/>
          <w:lang w:eastAsia="zh-CN"/>
        </w:rPr>
        <w:t>持平</w:t>
      </w:r>
      <w:r>
        <w:rPr>
          <w:rFonts w:ascii="Times New Roman" w:eastAsia="仿宋_GB2312"/>
          <w:b w:val="0"/>
          <w:sz w:val="32"/>
          <w:szCs w:val="32"/>
        </w:rPr>
        <w:t>；支出完成年初预算的100.0%，比年初预算</w:t>
      </w:r>
      <w:r>
        <w:rPr>
          <w:rFonts w:hint="eastAsia" w:ascii="Times New Roman" w:eastAsia="仿宋_GB2312"/>
          <w:b w:val="0"/>
          <w:sz w:val="32"/>
          <w:szCs w:val="32"/>
          <w:lang w:eastAsia="zh-CN"/>
        </w:rPr>
        <w:t>持平</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w:t>
      </w:r>
      <w:r>
        <w:rPr>
          <w:rFonts w:hint="eastAsia" w:ascii="Times New Roman" w:eastAsia="仿宋_GB2312"/>
          <w:b w:val="0"/>
          <w:sz w:val="32"/>
          <w:szCs w:val="32"/>
          <w:lang w:eastAsia="zh-CN"/>
        </w:rPr>
        <w:t>持平</w:t>
      </w:r>
      <w:r>
        <w:rPr>
          <w:rFonts w:ascii="Times New Roman" w:eastAsia="仿宋_GB2312"/>
          <w:b w:val="0"/>
          <w:sz w:val="32"/>
          <w:szCs w:val="32"/>
        </w:rPr>
        <w:t>；支出完成年初预算的0.0%，比年初预算</w:t>
      </w:r>
      <w:r>
        <w:rPr>
          <w:rFonts w:hint="eastAsia" w:ascii="Times New Roman" w:eastAsia="仿宋_GB2312"/>
          <w:b w:val="0"/>
          <w:sz w:val="32"/>
          <w:szCs w:val="32"/>
          <w:lang w:eastAsia="zh-CN"/>
        </w:rPr>
        <w:t>持平</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2024年度财政拨款支出18,546.43万元，主要用于以下方面：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社会保障和就业（类）支出93.25万元，占0.5%，主要用于</w:t>
      </w:r>
      <w:r>
        <w:rPr>
          <w:rFonts w:hint="eastAsia" w:ascii="Times New Roman" w:eastAsia="仿宋_GB2312"/>
          <w:b w:val="0"/>
          <w:sz w:val="32"/>
          <w:szCs w:val="32"/>
          <w:lang w:eastAsia="zh-CN"/>
        </w:rPr>
        <w:t>单位职工的养老、失业保险</w:t>
      </w:r>
      <w:r>
        <w:rPr>
          <w:rFonts w:ascii="Times New Roman" w:eastAsia="仿宋_GB2312"/>
          <w:b w:val="0"/>
          <w:sz w:val="32"/>
          <w:szCs w:val="32"/>
        </w:rPr>
        <w:t>等支出；卫生健康（类）支出51.54万元，占0.3%，主要用于</w:t>
      </w:r>
      <w:r>
        <w:rPr>
          <w:rFonts w:hint="eastAsia" w:ascii="Times New Roman" w:eastAsia="仿宋_GB2312"/>
          <w:b w:val="0"/>
          <w:sz w:val="32"/>
          <w:szCs w:val="32"/>
          <w:lang w:eastAsia="zh-CN"/>
        </w:rPr>
        <w:t>单位职工的医疗保险</w:t>
      </w:r>
      <w:r>
        <w:rPr>
          <w:rFonts w:ascii="Times New Roman" w:eastAsia="仿宋_GB2312"/>
          <w:b w:val="0"/>
          <w:sz w:val="32"/>
          <w:szCs w:val="32"/>
        </w:rPr>
        <w:t>等支出；城乡社区（类）支出9,702.41万元，占52.3%，主要用于</w:t>
      </w:r>
      <w:r>
        <w:rPr>
          <w:rFonts w:hint="eastAsia" w:ascii="Times New Roman" w:eastAsia="仿宋_GB2312"/>
          <w:b w:val="0"/>
          <w:sz w:val="32"/>
          <w:szCs w:val="32"/>
          <w:lang w:eastAsia="zh-CN"/>
        </w:rPr>
        <w:t>道路维护费</w:t>
      </w:r>
      <w:r>
        <w:rPr>
          <w:rFonts w:ascii="Times New Roman" w:eastAsia="仿宋_GB2312"/>
          <w:b w:val="0"/>
          <w:sz w:val="32"/>
          <w:szCs w:val="32"/>
        </w:rPr>
        <w:t>等支出；交通运输（类）支出737.29万元，占4.0%，主要用于</w:t>
      </w:r>
      <w:r>
        <w:rPr>
          <w:rFonts w:hint="eastAsia" w:ascii="Times New Roman" w:eastAsia="仿宋_GB2312"/>
          <w:b w:val="0"/>
          <w:sz w:val="32"/>
          <w:szCs w:val="32"/>
          <w:lang w:eastAsia="zh-CN"/>
        </w:rPr>
        <w:t>公用经费、人员经费</w:t>
      </w:r>
      <w:r>
        <w:rPr>
          <w:rFonts w:ascii="Times New Roman" w:eastAsia="仿宋_GB2312"/>
          <w:b w:val="0"/>
          <w:sz w:val="32"/>
          <w:szCs w:val="32"/>
        </w:rPr>
        <w:t>等支出；住房保障（类）支出61.94万元，占0.3%，主要用于</w:t>
      </w:r>
      <w:r>
        <w:rPr>
          <w:rFonts w:hint="eastAsia" w:ascii="Times New Roman" w:eastAsia="仿宋_GB2312"/>
          <w:b w:val="0"/>
          <w:sz w:val="32"/>
          <w:szCs w:val="32"/>
          <w:lang w:eastAsia="zh-CN"/>
        </w:rPr>
        <w:t>单位职工的住房公积金</w:t>
      </w:r>
      <w:r>
        <w:rPr>
          <w:rFonts w:ascii="Times New Roman" w:eastAsia="仿宋_GB2312"/>
          <w:b w:val="0"/>
          <w:sz w:val="32"/>
          <w:szCs w:val="32"/>
        </w:rPr>
        <w:t>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城乡社区（类）支出7,900.00万元，占42.6%，主要用于</w:t>
      </w:r>
      <w:r>
        <w:rPr>
          <w:rFonts w:hint="eastAsia" w:ascii="Times New Roman" w:eastAsia="仿宋_GB2312"/>
          <w:b w:val="0"/>
          <w:sz w:val="32"/>
          <w:szCs w:val="32"/>
          <w:lang w:eastAsia="zh-CN"/>
        </w:rPr>
        <w:t>道路维护费等</w:t>
      </w:r>
      <w:r>
        <w:rPr>
          <w:rFonts w:ascii="Times New Roman" w:eastAsia="仿宋_GB2312"/>
          <w:b w:val="0"/>
          <w:sz w:val="32"/>
          <w:szCs w:val="32"/>
        </w:rPr>
        <w:t>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cs="宋体"/>
          <w:b w:val="0"/>
          <w:sz w:val="32"/>
          <w:szCs w:val="32"/>
          <w:lang w:eastAsia="zh-CN"/>
        </w:rPr>
        <w:t>我单位无此</w:t>
      </w:r>
      <w:r>
        <w:rPr>
          <w:rFonts w:ascii="Times New Roman" w:eastAsia="仿宋_GB2312" w:cs="宋体"/>
          <w:b w:val="0"/>
          <w:sz w:val="32"/>
          <w:szCs w:val="32"/>
        </w:rPr>
        <w:t>支出</w:t>
      </w:r>
      <w:r>
        <w:rPr>
          <w:rFonts w:ascii="Times New Roman" w:eastAsia="仿宋_GB2312"/>
          <w:b w:val="0"/>
          <w:sz w:val="32"/>
          <w:szCs w:val="32"/>
        </w:rPr>
        <w:t>。</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2024年度财政拨款基本支出851.22万元，其中：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801.12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50.10万元，主要包括办公费、印刷费、咨询费、手续费、水费、电费、邮电费、取暖费、物业管理费、差旅费、维修（护）费、租赁费、会议费、培训费、公务接待费、专用材料费、劳务费、委托业务费、工会经费、福利费、公务用车运行维护费、其他交通费用、税金及附加费用、其他商品和服务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本单位2024年度“三公”经费财政拨款支出预算为3.00万元，支出决算为2.74万元，完成预算的91.3%，较预算减少0.26万元，降低8.7%，主要原因是</w:t>
      </w:r>
      <w:r>
        <w:rPr>
          <w:rFonts w:hint="eastAsia" w:ascii="Times New Roman" w:eastAsia="仿宋_GB2312"/>
          <w:b w:val="0"/>
          <w:sz w:val="32"/>
          <w:szCs w:val="32"/>
          <w:lang w:val="en-US" w:eastAsia="zh-CN"/>
        </w:rPr>
        <w:t>2024年</w:t>
      </w:r>
      <w:r>
        <w:rPr>
          <w:rFonts w:hint="eastAsia" w:ascii="Times New Roman" w:eastAsia="仿宋_GB2312"/>
          <w:b w:val="0"/>
          <w:sz w:val="32"/>
          <w:szCs w:val="32"/>
          <w:lang w:eastAsia="zh-CN"/>
        </w:rPr>
        <w:t>核减公务用车运行维护费预算</w:t>
      </w:r>
      <w:r>
        <w:rPr>
          <w:rFonts w:ascii="Times New Roman" w:eastAsia="仿宋_GB2312"/>
          <w:b w:val="0"/>
          <w:sz w:val="32"/>
          <w:szCs w:val="32"/>
        </w:rPr>
        <w:t>；较2023年度决算减少0.25万元，降低8.7%，主要原因是</w:t>
      </w:r>
      <w:r>
        <w:rPr>
          <w:rFonts w:hint="eastAsia" w:ascii="Times New Roman" w:eastAsia="仿宋_GB2312"/>
          <w:b w:val="0"/>
          <w:sz w:val="32"/>
          <w:szCs w:val="32"/>
          <w:lang w:val="en-US" w:eastAsia="zh-CN"/>
        </w:rPr>
        <w:t>2024年</w:t>
      </w:r>
      <w:r>
        <w:rPr>
          <w:rFonts w:hint="eastAsia" w:ascii="Times New Roman" w:eastAsia="仿宋_GB2312"/>
          <w:b w:val="0"/>
          <w:sz w:val="32"/>
          <w:szCs w:val="32"/>
          <w:lang w:eastAsia="zh-CN"/>
        </w:rPr>
        <w:t>核减公务用车运行维护费预算</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本单位2024年度因公出国（境）费支出预算为0万元,支出决算0万元</w:t>
      </w:r>
      <w:r>
        <w:rPr>
          <w:rFonts w:hint="eastAsia" w:ascii="Times New Roman" w:eastAsia="仿宋_GB2312"/>
          <w:b w:val="0"/>
          <w:sz w:val="32"/>
          <w:szCs w:val="32"/>
          <w:lang w:eastAsia="zh-CN"/>
        </w:rPr>
        <w:t>，与预算持平</w:t>
      </w:r>
      <w:r>
        <w:rPr>
          <w:rFonts w:ascii="Times New Roman" w:eastAsia="仿宋_GB2312"/>
          <w:b w:val="0"/>
          <w:sz w:val="32"/>
          <w:szCs w:val="32"/>
        </w:rPr>
        <w:t>。因公出国（境）团组0个、共0人、参加其他单位组织的因公出国（境）团组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个、共</w:t>
      </w:r>
      <w:r>
        <w:rPr>
          <w:rFonts w:hint="eastAsia" w:ascii="Times New Roman" w:eastAsia="仿宋_GB2312"/>
          <w:b w:val="0"/>
          <w:sz w:val="32"/>
          <w:szCs w:val="32"/>
          <w:lang w:val="en-US" w:eastAsia="zh-CN"/>
        </w:rPr>
        <w:t>0</w:t>
      </w:r>
      <w:r>
        <w:rPr>
          <w:rFonts w:ascii="Times New Roman" w:eastAsia="仿宋_GB2312"/>
          <w:b w:val="0"/>
          <w:sz w:val="32"/>
          <w:szCs w:val="32"/>
        </w:rPr>
        <w:t>人/无本部门组织的出国（境）团组。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本单位2024年度公务用车购置及运行维护费预算为3.00万元，支出决算2.74万元，完成预算的91.3%,较预算减少0.26万元，降低8.7%,主要原因是</w:t>
      </w:r>
      <w:r>
        <w:rPr>
          <w:rFonts w:hint="eastAsia" w:ascii="Times New Roman" w:eastAsia="仿宋_GB2312"/>
          <w:b w:val="0"/>
          <w:sz w:val="32"/>
          <w:szCs w:val="32"/>
          <w:lang w:val="en-US" w:eastAsia="zh-CN"/>
        </w:rPr>
        <w:t>2024年</w:t>
      </w:r>
      <w:r>
        <w:rPr>
          <w:rFonts w:hint="eastAsia" w:ascii="Times New Roman" w:eastAsia="仿宋_GB2312"/>
          <w:b w:val="0"/>
          <w:sz w:val="32"/>
          <w:szCs w:val="32"/>
          <w:lang w:eastAsia="zh-CN"/>
        </w:rPr>
        <w:t>核减公务用车运行维护费预算</w:t>
      </w:r>
      <w:r>
        <w:rPr>
          <w:rFonts w:ascii="Times New Roman" w:eastAsia="仿宋_GB2312"/>
          <w:b w:val="0"/>
          <w:sz w:val="32"/>
          <w:szCs w:val="32"/>
        </w:rPr>
        <w:t>；较上年减少0.25万元，降低8.7%,主要原因是</w:t>
      </w:r>
      <w:r>
        <w:rPr>
          <w:rFonts w:hint="eastAsia" w:ascii="Times New Roman" w:eastAsia="仿宋_GB2312"/>
          <w:b w:val="0"/>
          <w:sz w:val="32"/>
          <w:szCs w:val="32"/>
          <w:lang w:val="en-US" w:eastAsia="zh-CN"/>
        </w:rPr>
        <w:t>2024年</w:t>
      </w:r>
      <w:r>
        <w:rPr>
          <w:rFonts w:hint="eastAsia" w:ascii="Times New Roman" w:eastAsia="仿宋_GB2312"/>
          <w:b w:val="0"/>
          <w:sz w:val="32"/>
          <w:szCs w:val="32"/>
          <w:lang w:eastAsia="zh-CN"/>
        </w:rPr>
        <w:t>核减公务用车运行维护费预算</w:t>
      </w:r>
      <w:r>
        <w:rPr>
          <w:rFonts w:ascii="Times New Roman" w:eastAsia="仿宋_GB2312"/>
          <w:b w:val="0"/>
          <w:sz w:val="32"/>
          <w:szCs w:val="32"/>
        </w:rPr>
        <w:t>。其中：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公务用车购置费支出0万元：</w:t>
      </w:r>
      <w:r>
        <w:rPr>
          <w:rFonts w:ascii="Times New Roman" w:eastAsia="仿宋_GB2312"/>
          <w:b w:val="0"/>
          <w:sz w:val="32"/>
          <w:szCs w:val="32"/>
        </w:rPr>
        <w:t>本单位2024年度公务用车购置量0辆，发生“公务用车购置”经费支出0万元。公务用车购置费支出较预算</w:t>
      </w:r>
      <w:r>
        <w:rPr>
          <w:rFonts w:hint="eastAsia" w:ascii="Times New Roman" w:eastAsia="仿宋_GB2312"/>
          <w:b w:val="0"/>
          <w:sz w:val="32"/>
          <w:szCs w:val="32"/>
          <w:lang w:eastAsia="zh-CN"/>
        </w:rPr>
        <w:t>持平</w:t>
      </w:r>
      <w:r>
        <w:rPr>
          <w:rFonts w:ascii="Times New Roman" w:eastAsia="仿宋_GB2312"/>
          <w:b w:val="0"/>
          <w:sz w:val="32"/>
          <w:szCs w:val="32"/>
        </w:rPr>
        <w:t>；较上年</w:t>
      </w:r>
      <w:r>
        <w:rPr>
          <w:rFonts w:hint="eastAsia" w:ascii="Times New Roman" w:eastAsia="仿宋_GB2312"/>
          <w:b w:val="0"/>
          <w:sz w:val="32"/>
          <w:szCs w:val="32"/>
          <w:lang w:eastAsia="zh-CN"/>
        </w:rPr>
        <w:t>支出持平</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公务用车运行维护费支出2.74万元：</w:t>
      </w:r>
      <w:r>
        <w:rPr>
          <w:rFonts w:ascii="Times New Roman" w:eastAsia="仿宋_GB2312"/>
          <w:b w:val="0"/>
          <w:sz w:val="32"/>
          <w:szCs w:val="32"/>
        </w:rPr>
        <w:t>本单位2024年度单位公务用车保有量1辆，发生运行维护费支出2.74万元。公车运行维护费支出较预算减少0.26万元，降低8.7%,主要原因是</w:t>
      </w:r>
      <w:r>
        <w:rPr>
          <w:rFonts w:hint="eastAsia" w:ascii="Times New Roman" w:eastAsia="仿宋_GB2312"/>
          <w:b w:val="0"/>
          <w:sz w:val="32"/>
          <w:szCs w:val="32"/>
          <w:lang w:val="en-US" w:eastAsia="zh-CN"/>
        </w:rPr>
        <w:t>2024年</w:t>
      </w:r>
      <w:r>
        <w:rPr>
          <w:rFonts w:hint="eastAsia" w:ascii="Times New Roman" w:eastAsia="仿宋_GB2312"/>
          <w:b w:val="0"/>
          <w:sz w:val="32"/>
          <w:szCs w:val="32"/>
          <w:lang w:eastAsia="zh-CN"/>
        </w:rPr>
        <w:t>核减公务用车运行维护费预算</w:t>
      </w:r>
      <w:r>
        <w:rPr>
          <w:rFonts w:ascii="Times New Roman" w:eastAsia="仿宋_GB2312"/>
          <w:b w:val="0"/>
          <w:sz w:val="32"/>
          <w:szCs w:val="32"/>
        </w:rPr>
        <w:t>；较上年减少0.25万元，降低8.7%，主要原因是</w:t>
      </w:r>
      <w:r>
        <w:rPr>
          <w:rFonts w:hint="eastAsia" w:ascii="Times New Roman" w:eastAsia="仿宋_GB2312"/>
          <w:b w:val="0"/>
          <w:sz w:val="32"/>
          <w:szCs w:val="32"/>
          <w:lang w:val="en-US" w:eastAsia="zh-CN"/>
        </w:rPr>
        <w:t>2024年</w:t>
      </w:r>
      <w:r>
        <w:rPr>
          <w:rFonts w:hint="eastAsia" w:ascii="Times New Roman" w:eastAsia="仿宋_GB2312"/>
          <w:b w:val="0"/>
          <w:sz w:val="32"/>
          <w:szCs w:val="32"/>
          <w:lang w:eastAsia="zh-CN"/>
        </w:rPr>
        <w:t>核减公务用车运行维护费预算</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本单位2024年度公务接待费支出预算为0万元，支出决算0万元，</w:t>
      </w:r>
      <w:r>
        <w:rPr>
          <w:rFonts w:hint="default" w:ascii="Times New Roman" w:hAnsi="Times New Roman" w:eastAsia="仿宋_GB2312" w:cs="Times New Roman"/>
          <w:color w:val="auto"/>
          <w:kern w:val="2"/>
          <w:sz w:val="32"/>
          <w:szCs w:val="32"/>
          <w:lang w:val="zh-CN" w:eastAsia="zh-CN" w:bidi="ar-SA"/>
        </w:rPr>
        <w:t>公务接待费支出较预算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en-US" w:eastAsia="zh-CN" w:bidi="ar-SA"/>
        </w:rPr>
        <w:t>持平</w:t>
      </w:r>
      <w:r>
        <w:rPr>
          <w:rFonts w:hint="default" w:ascii="Times New Roman" w:hAnsi="Times New Roman" w:eastAsia="仿宋_GB2312" w:cs="Times New Roman"/>
          <w:color w:val="auto"/>
          <w:kern w:val="2"/>
          <w:sz w:val="32"/>
          <w:szCs w:val="32"/>
          <w:lang w:val="zh-CN" w:eastAsia="zh-CN" w:bidi="ar-SA"/>
        </w:rPr>
        <w:t>。</w:t>
      </w:r>
      <w:r>
        <w:rPr>
          <w:rFonts w:ascii="Times New Roman" w:eastAsia="仿宋_GB2312"/>
          <w:b w:val="0"/>
          <w:sz w:val="32"/>
          <w:szCs w:val="32"/>
        </w:rPr>
        <w:t>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本单位2024年度机关运行经费支出0万元，较2023年度</w:t>
      </w:r>
      <w:r>
        <w:rPr>
          <w:rFonts w:hint="eastAsia" w:ascii="Times New Roman" w:eastAsia="仿宋_GB2312"/>
          <w:b w:val="0"/>
          <w:sz w:val="32"/>
          <w:szCs w:val="32"/>
          <w:lang w:eastAsia="zh-CN"/>
        </w:rPr>
        <w:t>持平</w:t>
      </w:r>
      <w:r>
        <w:rPr>
          <w:rFonts w:ascii="Times New Roman" w:eastAsia="仿宋_GB2312"/>
          <w:b w:val="0"/>
          <w:sz w:val="32"/>
          <w:szCs w:val="32"/>
        </w:rPr>
        <w:t>。主要原因是。</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15,698.85万元，从采购类型来看，政府采购货物支出0万元、政府采购工程支出0万元、政府采购服务支出15,698.85万元。授予中小企业合同金额5,737.65万元，占政府采购支出总额的36.5%，其中授予小微企业合同金额289.86万元，占政府采购支出总额的1.8%。</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截至2024年12月31日，本单位共有车辆1辆，比上年</w:t>
      </w:r>
      <w:r>
        <w:rPr>
          <w:rFonts w:hint="eastAsia" w:ascii="Times New Roman" w:eastAsia="仿宋_GB2312"/>
          <w:b w:val="0"/>
          <w:sz w:val="32"/>
          <w:szCs w:val="32"/>
          <w:lang w:eastAsia="zh-CN"/>
        </w:rPr>
        <w:t>持平</w:t>
      </w:r>
      <w:r>
        <w:rPr>
          <w:rFonts w:ascii="Times New Roman" w:eastAsia="仿宋_GB2312"/>
          <w:b w:val="0"/>
          <w:sz w:val="32"/>
          <w:szCs w:val="32"/>
        </w:rPr>
        <w:t>。其中，副部（省）级及以上领导用车0辆，主要负责人用车0辆，机要通信用车0辆，应急保障用车1辆，执法执勤用车0辆，特种专业技术用车0辆，离退休干部用车0辆，其他用车0辆。单位价值100万元（含）以上设备（不含车辆）1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17721.71</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7</w:t>
      </w:r>
      <w:r>
        <w:rPr>
          <w:rFonts w:ascii="Times New Roman" w:eastAsia="仿宋_GB2312"/>
          <w:b w:val="0"/>
          <w:sz w:val="32"/>
          <w:szCs w:val="32"/>
        </w:rPr>
        <w:t>个，涉及资金</w:t>
      </w:r>
      <w:r>
        <w:rPr>
          <w:rFonts w:hint="eastAsia" w:ascii="Times New Roman" w:eastAsia="仿宋_GB2312"/>
          <w:b w:val="0"/>
          <w:sz w:val="32"/>
          <w:szCs w:val="32"/>
          <w:lang w:val="en-US" w:eastAsia="zh-CN"/>
        </w:rPr>
        <w:t>9821.71</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1</w:t>
      </w:r>
      <w:r>
        <w:rPr>
          <w:rFonts w:ascii="Times New Roman" w:eastAsia="仿宋_GB2312"/>
          <w:b w:val="0"/>
          <w:sz w:val="32"/>
          <w:szCs w:val="32"/>
        </w:rPr>
        <w:t>个，涉及资金</w:t>
      </w:r>
      <w:r>
        <w:rPr>
          <w:rFonts w:hint="eastAsia" w:ascii="Times New Roman" w:eastAsia="仿宋_GB2312"/>
          <w:b w:val="0"/>
          <w:sz w:val="32"/>
          <w:szCs w:val="32"/>
          <w:lang w:val="en-US" w:eastAsia="zh-CN"/>
        </w:rPr>
        <w:t>7900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Arial" w:cs="Times New Roman"/>
          <w:highlight w:val="none"/>
        </w:rPr>
      </w:pPr>
      <w:r>
        <w:rPr>
          <w:rFonts w:ascii="Times New Roman" w:eastAsia="仿宋_GB2312"/>
          <w:b w:val="0"/>
          <w:sz w:val="32"/>
          <w:szCs w:val="32"/>
        </w:rPr>
        <w:t>组织对</w:t>
      </w:r>
      <w:r>
        <w:rPr>
          <w:rFonts w:hint="eastAsia" w:ascii="Times New Roman" w:eastAsia="仿宋_GB2312"/>
          <w:b w:val="0"/>
          <w:sz w:val="32"/>
          <w:szCs w:val="32"/>
        </w:rPr>
        <w:t>2024年三环道路维护费</w:t>
      </w:r>
      <w:r>
        <w:rPr>
          <w:rFonts w:hint="eastAsia" w:ascii="Times New Roman" w:eastAsia="仿宋_GB2312"/>
          <w:b w:val="0"/>
          <w:sz w:val="32"/>
          <w:szCs w:val="32"/>
          <w:lang w:val="en-US" w:eastAsia="zh-CN"/>
        </w:rPr>
        <w:t>1</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9702.41</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7900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Times New Roman" w:hAnsi="Times New Roman" w:eastAsia="仿宋_GB2312" w:cs="Times New Roman"/>
          <w:color w:val="auto"/>
          <w:kern w:val="2"/>
          <w:sz w:val="32"/>
          <w:szCs w:val="32"/>
          <w:lang w:val="zh-CN" w:eastAsia="zh-CN" w:bidi="ar-SA"/>
        </w:rPr>
        <w:t>我单位</w:t>
      </w:r>
      <w:r>
        <w:rPr>
          <w:rFonts w:hint="eastAsia" w:ascii="Times New Roman" w:hAnsi="Times New Roman" w:eastAsia="仿宋_GB2312" w:cs="Times New Roman"/>
          <w:color w:val="auto"/>
          <w:kern w:val="2"/>
          <w:sz w:val="32"/>
          <w:szCs w:val="32"/>
          <w:lang w:val="en-US" w:eastAsia="zh-CN" w:bidi="ar-SA"/>
        </w:rPr>
        <w:t>完成三环路小修保养、道路清扫保洁、桥梁维护、交安设施维护、排水设施维护、绿化养护、机电照明设施维护、大气污染治理及应急保障等工作，保证道路安全畅通，完成了年初设定的绩效目标。</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w:t>
      </w:r>
      <w:r>
        <w:rPr>
          <w:rFonts w:hint="eastAsia" w:ascii="Times New Roman" w:eastAsia="仿宋_GB2312"/>
          <w:b w:val="0"/>
          <w:sz w:val="32"/>
          <w:szCs w:val="32"/>
          <w:lang w:eastAsia="zh-CN"/>
        </w:rPr>
        <w:t>单位</w:t>
      </w:r>
      <w:r>
        <w:rPr>
          <w:rFonts w:ascii="Times New Roman" w:eastAsia="仿宋_GB2312"/>
          <w:b w:val="0"/>
          <w:sz w:val="32"/>
          <w:szCs w:val="32"/>
        </w:rPr>
        <w:t>决算公开中反映</w:t>
      </w:r>
      <w:r>
        <w:rPr>
          <w:rFonts w:hint="eastAsia" w:ascii="Times New Roman" w:eastAsia="仿宋_GB2312"/>
          <w:b w:val="0"/>
          <w:sz w:val="32"/>
          <w:szCs w:val="32"/>
          <w:lang w:eastAsia="zh-CN"/>
        </w:rPr>
        <w:t>“</w:t>
      </w:r>
      <w:r>
        <w:rPr>
          <w:rFonts w:hint="default" w:ascii="Times New Roman" w:hAnsi="Times New Roman" w:eastAsia="仿宋_GB2312" w:cs="Times New Roman"/>
          <w:color w:val="auto"/>
          <w:kern w:val="2"/>
          <w:sz w:val="32"/>
          <w:szCs w:val="32"/>
          <w:lang w:val="zh-CN" w:eastAsia="zh-CN" w:bidi="ar-SA"/>
        </w:rPr>
        <w:t>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年三环道路维护费</w:t>
      </w:r>
      <w:r>
        <w:rPr>
          <w:rFonts w:hint="eastAsia" w:ascii="Times New Roman" w:hAnsi="Times New Roman" w:eastAsia="仿宋_GB2312" w:cs="Times New Roman"/>
          <w:color w:val="auto"/>
          <w:kern w:val="2"/>
          <w:sz w:val="32"/>
          <w:szCs w:val="32"/>
          <w:lang w:val="zh-CN" w:eastAsia="zh-CN" w:bidi="ar-SA"/>
        </w:rPr>
        <w:t>”</w:t>
      </w:r>
      <w:r>
        <w:rPr>
          <w:rFonts w:ascii="Times New Roman" w:eastAsia="仿宋_GB2312"/>
          <w:b w:val="0"/>
          <w:sz w:val="32"/>
          <w:szCs w:val="32"/>
        </w:rPr>
        <w:t>项目绩效自评结果。</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年三环路等道路维护费</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项目绩效自评情况：根据年初设定的绩效目标，202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年三环路等道路维护费项目绩效自评得分为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17602.41</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17602.41</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w:t>
      </w:r>
      <w:r>
        <w:rPr>
          <w:rFonts w:hint="eastAsia" w:ascii="Times New Roman" w:hAnsi="Times New Roman" w:eastAsia="仿宋_GB2312" w:cs="Times New Roman"/>
          <w:color w:val="auto"/>
          <w:kern w:val="2"/>
          <w:sz w:val="32"/>
          <w:szCs w:val="32"/>
          <w:lang w:val="zh-CN" w:eastAsia="zh-CN" w:bidi="ar-SA"/>
        </w:rPr>
        <w:t>按计划</w:t>
      </w:r>
      <w:r>
        <w:rPr>
          <w:rFonts w:hint="eastAsia" w:ascii="Times New Roman" w:hAnsi="Times New Roman" w:eastAsia="仿宋_GB2312" w:cs="Times New Roman"/>
          <w:color w:val="auto"/>
          <w:kern w:val="2"/>
          <w:sz w:val="32"/>
          <w:szCs w:val="32"/>
          <w:lang w:val="en-US" w:eastAsia="zh-CN" w:bidi="ar-SA"/>
        </w:rPr>
        <w:t>做好三环路等道路的清扫保洁、洒水、绿化养护等日常养护工作及各类巡查、检查；</w:t>
      </w:r>
      <w:r>
        <w:rPr>
          <w:rFonts w:hint="eastAsia" w:ascii="Times New Roman" w:hAnsi="Times New Roman" w:eastAsia="仿宋_GB2312" w:cs="Times New Roman"/>
          <w:color w:val="auto"/>
          <w:kern w:val="2"/>
          <w:sz w:val="32"/>
          <w:szCs w:val="32"/>
          <w:lang w:val="zh-CN" w:eastAsia="zh-CN" w:bidi="ar-SA"/>
        </w:rPr>
        <w:t>完成道路养护里程</w:t>
      </w:r>
      <w:r>
        <w:rPr>
          <w:rFonts w:hint="eastAsia" w:ascii="Times New Roman" w:hAnsi="Times New Roman" w:eastAsia="仿宋_GB2312" w:cs="Times New Roman"/>
          <w:color w:val="auto"/>
          <w:kern w:val="2"/>
          <w:sz w:val="32"/>
          <w:szCs w:val="32"/>
          <w:lang w:val="en-US" w:eastAsia="zh-CN" w:bidi="ar-SA"/>
        </w:rPr>
        <w:t>265.1公里、照明养护里程149.1公里、完成蓄水池、排水管道的清淤及修复；路面挖补、沥青灌缝，雨雪后路面清理；路面、桥梁技术状况检测评定；针对道路坑槽、桥梁局部构件损坏、交通设施缺损、机电照明设施的损坏、排水管道的堵塞等病害的修复工作。以及电费、设计费等费用。未发现问题。</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right="0"/>
        <w:jc w:val="left"/>
        <w:textAlignment w:val="auto"/>
        <w:rPr>
          <w:rFonts w:hint="default" w:ascii="Times New Roman" w:hAnsi="Times New Roman" w:eastAsia="仿宋_GB2312" w:cs="Times New Roman"/>
          <w:color w:val="auto"/>
          <w:kern w:val="2"/>
          <w:sz w:val="32"/>
          <w:szCs w:val="32"/>
          <w:lang w:val="en-US" w:eastAsia="zh-CN" w:bidi="ar-SA"/>
        </w:rPr>
      </w:pPr>
      <w:r>
        <w:drawing>
          <wp:inline distT="0" distB="0" distL="114300" distR="114300">
            <wp:extent cx="5756910" cy="5464810"/>
            <wp:effectExtent l="0" t="0" r="15240" b="254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7"/>
                    <a:stretch>
                      <a:fillRect/>
                    </a:stretch>
                  </pic:blipFill>
                  <pic:spPr>
                    <a:xfrm>
                      <a:off x="0" y="0"/>
                      <a:ext cx="5756910" cy="5464810"/>
                    </a:xfrm>
                    <a:prstGeom prst="rect">
                      <a:avLst/>
                    </a:prstGeom>
                    <a:noFill/>
                    <a:ln>
                      <a:noFill/>
                    </a:ln>
                  </pic:spPr>
                </pic:pic>
              </a:graphicData>
            </a:graphic>
          </wp:inline>
        </w:drawing>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w:t>
      </w:r>
      <w:r>
        <w:rPr>
          <w:rFonts w:hint="eastAsia" w:ascii="Times New Roman" w:eastAsia="仿宋_GB2312"/>
          <w:b/>
          <w:sz w:val="32"/>
          <w:szCs w:val="32"/>
          <w:lang w:eastAsia="zh-CN"/>
        </w:rPr>
        <w:t>单位</w:t>
      </w:r>
      <w:r>
        <w:rPr>
          <w:rFonts w:ascii="Times New Roman" w:eastAsia="仿宋_GB2312"/>
          <w:b/>
          <w:sz w:val="32"/>
          <w:szCs w:val="32"/>
        </w:rPr>
        <w:t>评价项目绩效评价结果（如有）</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default" w:ascii="Times New Roman" w:hAnsi="Times New Roman" w:eastAsia="仿宋_GB2312" w:cs="Times New Roman"/>
          <w:color w:val="auto"/>
          <w:kern w:val="2"/>
          <w:sz w:val="32"/>
          <w:szCs w:val="32"/>
          <w:lang w:val="zh-CN" w:eastAsia="zh-CN" w:bidi="ar-SA"/>
        </w:rPr>
        <w:t>本单位</w:t>
      </w:r>
      <w:r>
        <w:rPr>
          <w:rFonts w:hint="eastAsia" w:ascii="Times New Roman" w:hAnsi="Times New Roman" w:eastAsia="仿宋_GB2312" w:cs="Times New Roman"/>
          <w:color w:val="auto"/>
          <w:kern w:val="2"/>
          <w:sz w:val="32"/>
          <w:szCs w:val="32"/>
          <w:lang w:val="zh-CN" w:eastAsia="zh-CN" w:bidi="ar-SA"/>
        </w:rPr>
        <w:t>评价项目均达到</w:t>
      </w:r>
      <w:r>
        <w:rPr>
          <w:rFonts w:hint="eastAsia" w:ascii="Times New Roman" w:hAnsi="Times New Roman" w:eastAsia="仿宋_GB2312" w:cs="Times New Roman"/>
          <w:color w:val="auto"/>
          <w:kern w:val="2"/>
          <w:sz w:val="32"/>
          <w:szCs w:val="32"/>
          <w:lang w:val="en-US" w:eastAsia="zh-CN" w:bidi="ar-SA"/>
        </w:rPr>
        <w:t>90分以上，评价结果为优</w:t>
      </w:r>
      <w:r>
        <w:rPr>
          <w:rFonts w:hint="default" w:ascii="Times New Roman" w:hAnsi="Times New Roman" w:eastAsia="仿宋_GB2312" w:cs="Times New Roman"/>
          <w:color w:val="auto"/>
          <w:kern w:val="2"/>
          <w:sz w:val="32"/>
          <w:szCs w:val="32"/>
          <w:lang w:val="zh-CN" w:eastAsia="zh-CN" w:bidi="ar-SA"/>
        </w:rPr>
        <w:t>。</w:t>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5C93B2CC-A0DE-46CD-91EA-AC09A0489289}"/>
  </w:font>
  <w:font w:name="黑体">
    <w:panose1 w:val="02010609060101010101"/>
    <w:charset w:val="86"/>
    <w:family w:val="auto"/>
    <w:pitch w:val="default"/>
    <w:sig w:usb0="800002BF" w:usb1="38CF7CFA" w:usb2="00000016" w:usb3="00000000" w:csb0="00040001" w:csb1="00000000"/>
    <w:embedRegular r:id="rId2" w:fontKey="{31CA579F-5883-4334-9F0F-1DD8B98F5E7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EB76197A-E53B-40B7-9DC0-99090772CF7F}"/>
  </w:font>
  <w:font w:name="仿宋">
    <w:panose1 w:val="02010609060101010101"/>
    <w:charset w:val="86"/>
    <w:family w:val="modern"/>
    <w:pitch w:val="default"/>
    <w:sig w:usb0="800002BF" w:usb1="38CF7CFA" w:usb2="00000016" w:usb3="00000000" w:csb0="00040001" w:csb1="00000000"/>
    <w:embedRegular r:id="rId4" w:fontKey="{E3210D72-F73E-494D-BAD1-F4A6E015796B}"/>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42382999-F04A-4DC2-9B98-4B0E74ADBDDA}"/>
  </w:font>
  <w:font w:name="方正小标宋_GBK">
    <w:panose1 w:val="02000000000000000000"/>
    <w:charset w:val="86"/>
    <w:family w:val="script"/>
    <w:pitch w:val="default"/>
    <w:sig w:usb0="A00002BF" w:usb1="38CF7CFA" w:usb2="00082016" w:usb3="00000000" w:csb0="00040001" w:csb1="00000000"/>
    <w:embedRegular r:id="rId6" w:fontKey="{AC755135-3D67-40CE-87D7-266483B365E8}"/>
  </w:font>
  <w:font w:name="仿宋_GB2312">
    <w:panose1 w:val="02010609030101010101"/>
    <w:charset w:val="86"/>
    <w:family w:val="auto"/>
    <w:pitch w:val="default"/>
    <w:sig w:usb0="00000001" w:usb1="080E0000" w:usb2="00000000" w:usb3="00000000" w:csb0="00040000" w:csb1="00000000"/>
    <w:embedRegular r:id="rId7" w:fontKey="{F4733B1F-70F8-42BE-8788-C2052D09414A}"/>
  </w:font>
  <w:font w:name="ArialUnicodeMS">
    <w:altName w:val="Malgun Gothic"/>
    <w:panose1 w:val="00000000000000000000"/>
    <w:charset w:val="81"/>
    <w:family w:val="auto"/>
    <w:pitch w:val="default"/>
    <w:sig w:usb0="00000000" w:usb1="00000000" w:usb2="00000010" w:usb3="00000000" w:csb0="00080001" w:csb1="00000000"/>
    <w:embedRegular r:id="rId8" w:fontKey="{F0D1909C-5447-4F36-B9FD-BF16F7AA4534}"/>
  </w:font>
  <w:font w:name="方正仿宋_GB2312">
    <w:altName w:val="仿宋"/>
    <w:panose1 w:val="02000000000000000000"/>
    <w:charset w:val="86"/>
    <w:family w:val="auto"/>
    <w:pitch w:val="default"/>
    <w:sig w:usb0="00000000" w:usb1="00000000" w:usb2="00000012" w:usb3="00000000" w:csb0="00040001" w:csb1="00000000"/>
    <w:embedRegular r:id="rId9" w:fontKey="{1FB3BBFF-32E7-4EFE-B598-1711910FA0A8}"/>
  </w:font>
  <w:font w:name="DengXian-Regular">
    <w:altName w:val="宋体"/>
    <w:panose1 w:val="00000000000000000000"/>
    <w:charset w:val="86"/>
    <w:family w:val="auto"/>
    <w:pitch w:val="default"/>
    <w:sig w:usb0="00000000" w:usb1="00000000" w:usb2="00000010" w:usb3="00000000" w:csb0="00040001" w:csb1="00000000"/>
    <w:embedRegular r:id="rId10" w:fontKey="{16C3706B-BAFC-4BA3-B50E-8ABFA39339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7EF1CAC"/>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1D7F1F"/>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C02707"/>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AA13B4"/>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BB60100"/>
    <w:rsid w:val="7C656A39"/>
    <w:rsid w:val="7CB93996"/>
    <w:rsid w:val="7CBE0F99"/>
    <w:rsid w:val="7D4E45F1"/>
    <w:rsid w:val="7DFB6D82"/>
    <w:rsid w:val="7E1D71D1"/>
    <w:rsid w:val="7E246254"/>
    <w:rsid w:val="7E553215"/>
    <w:rsid w:val="7E6D090F"/>
    <w:rsid w:val="7ECC66B2"/>
    <w:rsid w:val="7EF508A6"/>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qFormat/>
    <w:uiPriority w:val="0"/>
    <w:rPr>
      <w:rFonts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2.png"/><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16934.68</c:v>
                </c:pt>
                <c:pt idx="1">
                  <c:v>18546.43</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185464256.73</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8512203.55</c:v>
                </c:pt>
                <c:pt idx="1">
                  <c:v>176952053.18</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16903.29</c:v>
                </c:pt>
                <c:pt idx="1">
                  <c:v>16934.68</c:v>
                </c:pt>
                <c:pt idx="2">
                  <c:v>10199.88</c:v>
                </c:pt>
                <c:pt idx="3">
                  <c:v>10231.26</c:v>
                </c:pt>
                <c:pt idx="4">
                  <c:v>6703.42</c:v>
                </c:pt>
                <c:pt idx="5">
                  <c:v>6703.42</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18546.43</c:v>
                </c:pt>
                <c:pt idx="1">
                  <c:v>18546.43</c:v>
                </c:pt>
                <c:pt idx="2">
                  <c:v>10646.43</c:v>
                </c:pt>
                <c:pt idx="3">
                  <c:v>10646.43</c:v>
                </c:pt>
                <c:pt idx="4">
                  <c:v>7900</c:v>
                </c:pt>
                <c:pt idx="5">
                  <c:v>7900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18547.53</c:v>
                </c:pt>
                <c:pt idx="1">
                  <c:v>18547.53</c:v>
                </c:pt>
                <c:pt idx="2">
                  <c:v>10647.53</c:v>
                </c:pt>
                <c:pt idx="3">
                  <c:v>10647.53</c:v>
                </c:pt>
                <c:pt idx="4">
                  <c:v>7900</c:v>
                </c:pt>
                <c:pt idx="5">
                  <c:v>7900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18546.43</c:v>
                </c:pt>
                <c:pt idx="1">
                  <c:v>18546.43</c:v>
                </c:pt>
                <c:pt idx="2">
                  <c:v>10646.43</c:v>
                </c:pt>
                <c:pt idx="3">
                  <c:v>10646.43</c:v>
                </c:pt>
                <c:pt idx="4">
                  <c:v>7900</c:v>
                </c:pt>
                <c:pt idx="5">
                  <c:v>7900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93.25</c:v>
                </c:pt>
                <c:pt idx="8">
                  <c:v>51.54</c:v>
                </c:pt>
                <c:pt idx="9">
                  <c:v>0</c:v>
                </c:pt>
                <c:pt idx="10">
                  <c:v>17602.41</c:v>
                </c:pt>
                <c:pt idx="11">
                  <c:v>0</c:v>
                </c:pt>
                <c:pt idx="12">
                  <c:v>737.29</c:v>
                </c:pt>
                <c:pt idx="13">
                  <c:v>0</c:v>
                </c:pt>
                <c:pt idx="14">
                  <c:v>0</c:v>
                </c:pt>
                <c:pt idx="15">
                  <c:v>0</c:v>
                </c:pt>
                <c:pt idx="16">
                  <c:v>0</c:v>
                </c:pt>
                <c:pt idx="17">
                  <c:v>0</c:v>
                </c:pt>
                <c:pt idx="18">
                  <c:v>61.94</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38</TotalTime>
  <ScaleCrop>false</ScaleCrop>
  <LinksUpToDate>false</LinksUpToDate>
  <CharactersWithSpaces>2170</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2025-09-10T01:09:50Z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