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D78FB">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01FB60B3">
      <w:pPr>
        <w:spacing w:line="560" w:lineRule="exact"/>
        <w:jc w:val="center"/>
        <w:rPr>
          <w:rFonts w:ascii="宋体" w:hAnsi="宋体" w:cs="宋体"/>
          <w:sz w:val="32"/>
          <w:szCs w:val="32"/>
        </w:rPr>
      </w:pPr>
      <w:r>
        <w:rPr>
          <w:rFonts w:hint="eastAsia" w:ascii="宋体" w:hAnsi="宋体" w:cs="宋体"/>
          <w:b/>
          <w:bCs/>
          <w:sz w:val="44"/>
          <w:szCs w:val="44"/>
        </w:rPr>
        <w:t>石家庄市国道G107北京至香港公路槐河桥（上行）等7座桥梁水毁重建工程项目自评报告</w:t>
      </w:r>
    </w:p>
    <w:p w14:paraId="48278780">
      <w:pPr>
        <w:spacing w:line="560" w:lineRule="exact"/>
        <w:jc w:val="center"/>
        <w:rPr>
          <w:rFonts w:ascii="华文楷体" w:eastAsia="华文楷体"/>
          <w:sz w:val="32"/>
          <w:szCs w:val="32"/>
        </w:rPr>
      </w:pPr>
    </w:p>
    <w:p w14:paraId="02519BC3">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，对石家庄市国道G107北京至香港公路槐河桥（上行）等7座桥梁水毁重建工程项目实施了财政绩效自评价，形成本评价报告。</w:t>
      </w:r>
    </w:p>
    <w:p w14:paraId="139D0183">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2A1A2C2C">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57F7D670">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3D6414D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54606197">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方案批复文件为：河北省公路事业发展中心《关于石家庄市国道G107北京至香港公路槐河桥（上行）等7座桥梁水毁重建工程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286</w:t>
      </w:r>
      <w:r>
        <w:rPr>
          <w:rFonts w:hint="eastAsia" w:ascii="仿宋" w:hAnsi="仿宋" w:eastAsia="仿宋"/>
          <w:sz w:val="32"/>
          <w:szCs w:val="32"/>
          <w:lang w:eastAsia="zh-CN"/>
        </w:rPr>
        <w:t>号）；施工图批复文件为：河北省公路事业发展中心《关于石家庄市国道Gl07北京至香港公路槐河桥(上行)等21座桥梁水毁重建工程施工图设计文件的的批复》（冀公路〔2023〕</w:t>
      </w:r>
      <w:r>
        <w:rPr>
          <w:rFonts w:hint="eastAsia" w:ascii="仿宋" w:hAnsi="仿宋" w:eastAsia="仿宋"/>
          <w:sz w:val="32"/>
          <w:szCs w:val="32"/>
          <w:lang w:val="en-US" w:eastAsia="zh-CN"/>
        </w:rPr>
        <w:t>345</w:t>
      </w:r>
      <w:r>
        <w:rPr>
          <w:rFonts w:hint="eastAsia" w:ascii="仿宋" w:hAnsi="仿宋" w:eastAsia="仿宋"/>
          <w:sz w:val="32"/>
          <w:szCs w:val="32"/>
          <w:lang w:eastAsia="zh-CN"/>
        </w:rPr>
        <w:t>号）。</w:t>
      </w:r>
    </w:p>
    <w:p w14:paraId="1736EC03">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757E9307">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（一）国道G107北京至香港公路槐河桥（上行）水毁重建工程</w:t>
      </w:r>
    </w:p>
    <w:p w14:paraId="0673822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107北京至香港公路槐河桥(上行)位于高邑县境内，所在路线为一级公路，桥梁代码G107130127L0700,中心桩号K369+841,桥梁全长251米，全宽9.7米(净宽8.7米+2×0.5米护栏),上部结构为19×13米预应力钢筋混凝土空心板，下部结构为柱式墩台，钻孔灌注桩基础。受强降雨影响，造成第8至12孔桥底浆砌片石铺砌冲毁，第8至12号桥墩桩基裸露。主要工程内容为第8至12孔桥底采用铅丝石笼铺砌，对第8至12号桥墩裸露桩基设置钢筋混凝土套箍。</w:t>
      </w:r>
    </w:p>
    <w:p w14:paraId="4BA9E8C3">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（二）国道G107北京至香港公路槐河桥（下行）水毁重建工程</w:t>
      </w:r>
    </w:p>
    <w:p w14:paraId="6F35F5C0">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107北京至香港公路槐河桥(下行)位于高邑县境内，所在路线为一级公路，桥梁代码G107130127L0100,中心桩号K369+841,桥梁全长251米，全宽11.5米(净宽10.5米+2×0.5米护栏),上部结构为19×13米预应力钢筋混凝土空心板，下部结构为柱式墩台，钻孔灌注桩基础。受强降雨影响，造成第8至12孔桥底铺砌冲毁，第8至12号桥墩桩基裸露，19号桥台护岸冲毁。</w:t>
      </w:r>
    </w:p>
    <w:p w14:paraId="4EB50F8E">
      <w:pPr>
        <w:keepNext w:val="0"/>
        <w:keepLines w:val="0"/>
        <w:pageBreakBefore w:val="0"/>
        <w:widowControl w:val="0"/>
        <w:numPr>
          <w:ilvl w:val="0"/>
          <w:numId w:val="0"/>
        </w:numPr>
        <w:kinsoku/>
        <w:wordWrap/>
        <w:overflowPunct/>
        <w:topLinePunct w:val="0"/>
        <w:autoSpaceDE/>
        <w:autoSpaceDN/>
        <w:bidi w:val="0"/>
        <w:adjustRightInd/>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主要工程内容为第8至12孔桥底采用铅丝石笼铺砌，对第8至12号桥墩裸露桩基增设钢筋混凝土套箍，采用现浇混凝土重做19号桥台处护岸，下游增设截水设施。</w:t>
      </w:r>
    </w:p>
    <w:p w14:paraId="104E7BF8">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（三）国道G307黄骅至山丹公路微水桥（上行）水毁重建工程</w:t>
      </w:r>
    </w:p>
    <w:p w14:paraId="4B10C64B">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307黄骅至山丹公路微水桥位于井陉县境内，所在路线为一级公路，桥梁代码G307130121L0051,中心桩号K355+709,桥梁全长254米，全宽9米(净宽7米+2×1人行道),上部结构为11×22.2米钢筋混凝土T梁，下部结构重力式墩台，钻孔灌注桩基础。受强降雨影响，造成第3至8孔桥底冲刷严重，第3至7号桥墩桩基裸露。主要工程内容为第3至8孔桥底采用铅丝石笼铺砌，第3至7号桥墩裸露桩基增设钢筋混凝土套箍。</w:t>
      </w:r>
    </w:p>
    <w:p w14:paraId="36CBC78B">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（四）国道G307黄骅至山丹公路微水桥（下行）水毁重建工程</w:t>
      </w:r>
    </w:p>
    <w:p w14:paraId="71BB189B">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307黄骅至山丹公路微水桥位于井陉县境内，所在路线为一级公路，桥梁代码G307130121L0052,中心桩号K355+709,桥梁全长254米，全宽9米(净宽7米+2×1人行道),上部结构为11×22.2米钢筋混凝土T梁，下部结构重力式桥墩，钻孔灌注桩基础。受强降雨影响，造成第3至8孔桥底冲刷严重，第3至7号桥墩桩基裸露。主要工程内容为第3至8孔桥底采用铅丝石笼铺砌，第3至7号桥墩裸露桩基增设钢筋混凝土套箍。</w:t>
      </w:r>
    </w:p>
    <w:p w14:paraId="1E5D9BF7">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（五）省道S033赵赞连接线槐河大桥水毁重建工程</w:t>
      </w:r>
    </w:p>
    <w:p w14:paraId="505D5B9F">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033赵赞连接线槐河大桥位于元氏县境内，所在路线为二级公路，桥梁代码S033130132L0030,中心桩号K23+668,桥梁全长205米，全宽13米(净宽12米+2×0.5米护栏),上部结构为8×25米预应力钢筋混凝土空心板，下部结构为柱式墩台，钻孔灌注桩基础。受强降雨影响，造成第3至7孔桥底冲刷严重，第4至6号桥墩桩基裸露。主要工程内容为第3至7孔桥底采用铅丝石笼铺砌，第4至6号桥墩裸露桩基增设钢筋混凝土套箍。</w:t>
      </w:r>
    </w:p>
    <w:p w14:paraId="2FDBBA16">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（六）省道S037吴家垴连接线地都一号水毁重建工程</w:t>
      </w:r>
    </w:p>
    <w:p w14:paraId="60209FB7">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省道S037吴家垴连接线地都一号桥位于井陉县境内，所在路线为二级公路，桥梁代码S037130121L0070,中心桩号K17+452,</w:t>
      </w:r>
    </w:p>
    <w:p w14:paraId="61444019">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桥梁全长126米，全宽9.4米(净宽7米+2×1.2人行道),上部结构为6×20米预应力钢筋混凝土连续箱梁，下部结构为柱式墩台，钻孔灌注桩基础。受强降雨影响，造成第2至4孔桥底冲刷严重，第2至4号桥墩桩基裸露。主要工程内容为第2至4孔桥底采用铅丝石笼铺砌，第2至4号桥墩裸露桩基增设钢筋混凝土套箍。</w:t>
      </w:r>
    </w:p>
    <w:p w14:paraId="0D9E4D5B">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（七）省道S037吴家垴连接线地都二号水毁重建工程</w:t>
      </w:r>
    </w:p>
    <w:p w14:paraId="1B80BE2A">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037吴家垴连接线地都二号桥位于井陉县境内，所在路线为二级公路，桥梁代码S037130121L0080,中心桩号K17+794,桥梁全长162米，全宽9.4米(净宽7米+2×1.2米人行道),上部结构为8×20米预应力钢筋混凝土连续箱梁，下部结构为柱式墩台，钻孔灌注桩基础。受强降雨影响，造成第3至6孔桥底冲刷严重，第3至5号桥墩桩基裸露。主要工程内容为第3至6孔桥底采用铅丝石笼铺砌，第3至5号桥墩裸露桩基增设钢筋混凝土套箍。</w:t>
      </w:r>
    </w:p>
    <w:p w14:paraId="009CD618">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05360FFE">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lang w:eastAsia="zh-CN"/>
        </w:rPr>
        <w:t>本项目总预算资金</w:t>
      </w:r>
      <w:r>
        <w:rPr>
          <w:rFonts w:hint="eastAsia" w:ascii="仿宋" w:hAnsi="仿宋" w:eastAsia="仿宋" w:cs="Times New Roman"/>
          <w:color w:val="000000"/>
          <w:sz w:val="32"/>
          <w:szCs w:val="32"/>
          <w:highlight w:val="none"/>
          <w:lang w:val="en-US" w:eastAsia="zh-CN"/>
        </w:rPr>
        <w:t>844</w:t>
      </w:r>
      <w:r>
        <w:rPr>
          <w:rFonts w:hint="eastAsia" w:ascii="仿宋" w:hAnsi="仿宋" w:eastAsia="仿宋" w:cs="Times New Roman"/>
          <w:color w:val="000000"/>
          <w:sz w:val="32"/>
          <w:szCs w:val="32"/>
          <w:highlight w:val="none"/>
          <w:lang w:eastAsia="zh-CN"/>
        </w:rPr>
        <w:t>万元，资金来源分别为石财预〔2024〕6号</w:t>
      </w:r>
      <w:r>
        <w:rPr>
          <w:rFonts w:hint="eastAsia" w:ascii="仿宋" w:hAnsi="仿宋" w:eastAsia="仿宋" w:cs="Times New Roman"/>
          <w:color w:val="000000"/>
          <w:sz w:val="32"/>
          <w:szCs w:val="32"/>
          <w:highlight w:val="none"/>
          <w:lang w:val="en-US" w:eastAsia="zh-CN"/>
        </w:rPr>
        <w:t>675</w:t>
      </w:r>
      <w:r>
        <w:rPr>
          <w:rFonts w:hint="eastAsia" w:ascii="仿宋" w:hAnsi="仿宋" w:eastAsia="仿宋" w:cs="Times New Roman"/>
          <w:color w:val="000000"/>
          <w:sz w:val="32"/>
          <w:szCs w:val="32"/>
          <w:highlight w:val="none"/>
          <w:lang w:eastAsia="zh-CN"/>
        </w:rPr>
        <w:t>万元、冀财建〔2024〕162号</w:t>
      </w:r>
      <w:r>
        <w:rPr>
          <w:rFonts w:hint="eastAsia" w:ascii="仿宋" w:hAnsi="仿宋" w:eastAsia="仿宋" w:cs="Times New Roman"/>
          <w:color w:val="000000"/>
          <w:sz w:val="32"/>
          <w:szCs w:val="32"/>
          <w:highlight w:val="none"/>
          <w:lang w:val="en-US" w:eastAsia="zh-CN"/>
        </w:rPr>
        <w:t>76.05</w:t>
      </w:r>
      <w:r>
        <w:rPr>
          <w:rFonts w:hint="eastAsia" w:ascii="仿宋" w:hAnsi="仿宋" w:eastAsia="仿宋" w:cs="Times New Roman"/>
          <w:color w:val="000000"/>
          <w:sz w:val="32"/>
          <w:szCs w:val="32"/>
          <w:highlight w:val="none"/>
          <w:lang w:eastAsia="zh-CN"/>
        </w:rPr>
        <w:t>万元、冀财建〔2023〕188号</w:t>
      </w:r>
      <w:r>
        <w:rPr>
          <w:rFonts w:hint="eastAsia" w:ascii="仿宋" w:hAnsi="仿宋" w:eastAsia="仿宋" w:cs="Times New Roman"/>
          <w:color w:val="000000"/>
          <w:sz w:val="32"/>
          <w:szCs w:val="32"/>
          <w:highlight w:val="none"/>
          <w:lang w:val="en-US" w:eastAsia="zh-CN"/>
        </w:rPr>
        <w:t>53</w:t>
      </w:r>
      <w:r>
        <w:rPr>
          <w:rFonts w:hint="eastAsia" w:ascii="仿宋" w:hAnsi="仿宋" w:eastAsia="仿宋" w:cs="Times New Roman"/>
          <w:color w:val="000000"/>
          <w:sz w:val="32"/>
          <w:szCs w:val="32"/>
          <w:highlight w:val="none"/>
          <w:lang w:eastAsia="zh-CN"/>
        </w:rPr>
        <w:t>万元、冀财建〔202</w:t>
      </w:r>
      <w:r>
        <w:rPr>
          <w:rFonts w:hint="eastAsia" w:ascii="仿宋" w:hAnsi="仿宋" w:eastAsia="仿宋" w:cs="Times New Roman"/>
          <w:color w:val="000000"/>
          <w:sz w:val="32"/>
          <w:szCs w:val="32"/>
          <w:highlight w:val="none"/>
          <w:lang w:val="en-US" w:eastAsia="zh-CN"/>
        </w:rPr>
        <w:t>4</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lang w:val="en-US" w:eastAsia="zh-CN"/>
        </w:rPr>
        <w:t>20</w:t>
      </w:r>
      <w:r>
        <w:rPr>
          <w:rFonts w:hint="eastAsia" w:ascii="仿宋" w:hAnsi="仿宋" w:eastAsia="仿宋" w:cs="Times New Roman"/>
          <w:color w:val="000000"/>
          <w:sz w:val="32"/>
          <w:szCs w:val="32"/>
          <w:highlight w:val="none"/>
          <w:lang w:eastAsia="zh-CN"/>
        </w:rPr>
        <w:t>号</w:t>
      </w:r>
      <w:r>
        <w:rPr>
          <w:rFonts w:hint="eastAsia" w:ascii="仿宋" w:hAnsi="仿宋" w:eastAsia="仿宋" w:cs="Times New Roman"/>
          <w:color w:val="000000"/>
          <w:sz w:val="32"/>
          <w:szCs w:val="32"/>
          <w:highlight w:val="none"/>
          <w:lang w:val="en-US" w:eastAsia="zh-CN"/>
        </w:rPr>
        <w:t>39.95</w:t>
      </w:r>
      <w:r>
        <w:rPr>
          <w:rFonts w:hint="eastAsia" w:ascii="仿宋" w:hAnsi="仿宋" w:eastAsia="仿宋" w:cs="Times New Roman"/>
          <w:color w:val="000000"/>
          <w:sz w:val="32"/>
          <w:szCs w:val="32"/>
          <w:highlight w:val="none"/>
          <w:lang w:eastAsia="zh-CN"/>
        </w:rPr>
        <w:t>万元，项目已完工。已完成计划资金支付</w:t>
      </w:r>
      <w:r>
        <w:rPr>
          <w:rFonts w:hint="eastAsia" w:ascii="仿宋" w:hAnsi="仿宋" w:eastAsia="仿宋" w:cs="Times New Roman"/>
          <w:color w:val="000000"/>
          <w:sz w:val="32"/>
          <w:szCs w:val="32"/>
          <w:highlight w:val="none"/>
          <w:lang w:val="en-US" w:eastAsia="zh-CN"/>
        </w:rPr>
        <w:t>613.55</w:t>
      </w:r>
      <w:r>
        <w:rPr>
          <w:rFonts w:hint="eastAsia" w:ascii="仿宋" w:hAnsi="仿宋" w:eastAsia="仿宋" w:cs="Times New Roman"/>
          <w:color w:val="000000"/>
          <w:sz w:val="32"/>
          <w:szCs w:val="32"/>
          <w:highlight w:val="none"/>
          <w:lang w:eastAsia="zh-CN"/>
        </w:rPr>
        <w:t>万元，其中由石财预〔2024〕6号支付560.55万元、冀财建〔2023〕188号支付53万元，因评估评审未完成，故总预算执行率为</w:t>
      </w:r>
      <w:bookmarkStart w:id="0" w:name="_GoBack"/>
      <w:r>
        <w:rPr>
          <w:rFonts w:hint="eastAsia" w:ascii="仿宋" w:hAnsi="仿宋" w:eastAsia="仿宋" w:cs="Times New Roman"/>
          <w:color w:val="000000"/>
          <w:sz w:val="32"/>
          <w:szCs w:val="32"/>
          <w:highlight w:val="none"/>
          <w:lang w:val="en-US" w:eastAsia="zh-CN"/>
        </w:rPr>
        <w:t>72.69</w:t>
      </w:r>
      <w:bookmarkEnd w:id="0"/>
      <w:r>
        <w:rPr>
          <w:rFonts w:hint="eastAsia" w:ascii="仿宋" w:hAnsi="仿宋" w:eastAsia="仿宋" w:cs="Times New Roman"/>
          <w:color w:val="000000"/>
          <w:sz w:val="32"/>
          <w:szCs w:val="32"/>
          <w:highlight w:val="none"/>
          <w:lang w:eastAsia="zh-CN"/>
        </w:rPr>
        <w:t>%。</w:t>
      </w:r>
    </w:p>
    <w:p w14:paraId="2099FB70">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2E81D6AE">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79F04578">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阶段性（当年）的绩效目标和指标为完成石家庄市国道G107北京至香港公路槐河桥（上行）等7座桥梁水毁重建工程，完成养护工程质量达到合格水平，实际成本不高于计划数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844</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5FBE14AF">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53B72310">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59C4E9BF">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2C13414E">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34D3BB5B">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7C12CA2E">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4DF69D31">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15D25E6D">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4151C339">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47A1BD80">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254A163B">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3ECF2D5B">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5707DB00">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总预算金额</w:t>
      </w:r>
      <w:r>
        <w:rPr>
          <w:rFonts w:hint="eastAsia" w:ascii="仿宋" w:hAnsi="仿宋" w:eastAsia="仿宋"/>
          <w:sz w:val="32"/>
          <w:szCs w:val="32"/>
          <w:lang w:val="en-US" w:eastAsia="zh-CN"/>
        </w:rPr>
        <w:t>791万元，执行金额</w:t>
      </w:r>
      <w:r>
        <w:rPr>
          <w:rFonts w:hint="eastAsia" w:ascii="仿宋" w:hAnsi="仿宋" w:eastAsia="仿宋" w:cs="Times New Roman"/>
          <w:color w:val="000000"/>
          <w:sz w:val="32"/>
          <w:szCs w:val="32"/>
          <w:highlight w:val="none"/>
          <w:lang w:val="en-US" w:eastAsia="zh-CN"/>
        </w:rPr>
        <w:t>560.55</w:t>
      </w:r>
      <w:r>
        <w:rPr>
          <w:rFonts w:hint="eastAsia" w:ascii="仿宋" w:hAnsi="仿宋" w:eastAsia="仿宋"/>
          <w:sz w:val="32"/>
          <w:szCs w:val="32"/>
          <w:lang w:val="en-US" w:eastAsia="zh-CN"/>
        </w:rPr>
        <w:t>万元，预算执行率70.87%，</w:t>
      </w:r>
      <w:r>
        <w:rPr>
          <w:rFonts w:hint="eastAsia" w:ascii="仿宋" w:hAnsi="仿宋" w:eastAsia="仿宋"/>
          <w:sz w:val="32"/>
          <w:szCs w:val="32"/>
        </w:rPr>
        <w:t>计算分值</w:t>
      </w:r>
      <w:r>
        <w:rPr>
          <w:rFonts w:hint="eastAsia" w:ascii="仿宋" w:hAnsi="仿宋" w:eastAsia="仿宋"/>
          <w:sz w:val="32"/>
          <w:szCs w:val="32"/>
          <w:lang w:val="en-US" w:eastAsia="zh-CN"/>
        </w:rPr>
        <w:t>得分7.09分。</w:t>
      </w:r>
    </w:p>
    <w:p w14:paraId="7B449208">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74A18651">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6511F31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0796B42C">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43CCB1A7">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17D01321">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23DEF014">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6ACEC1B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根据项目执行情况和项目绩效情况，总得分97.09分，项目综合绩效评价为优秀。</w:t>
      </w:r>
    </w:p>
    <w:p w14:paraId="4BF25FDC">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0F7FC423">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61FBD8D1">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30C8CD83">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7451BC22">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6492ADE0">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AF7272-8E0C-43CD-B234-7AA998A96D7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4113C4AF-47DC-44EB-ADF9-4A7501BFEE5B}"/>
  </w:font>
  <w:font w:name="仿宋">
    <w:panose1 w:val="02010609060101010101"/>
    <w:charset w:val="86"/>
    <w:family w:val="modern"/>
    <w:pitch w:val="default"/>
    <w:sig w:usb0="800002BF" w:usb1="38CF7CFA" w:usb2="00000016" w:usb3="00000000" w:csb0="00040001" w:csb1="00000000"/>
    <w:embedRegular r:id="rId3" w:fontKey="{A431B977-30DA-41CB-B26A-35A4DC19EB4B}"/>
  </w:font>
  <w:font w:name="楷体">
    <w:panose1 w:val="02010609060101010101"/>
    <w:charset w:val="86"/>
    <w:family w:val="modern"/>
    <w:pitch w:val="default"/>
    <w:sig w:usb0="800002BF" w:usb1="38CF7CFA" w:usb2="00000016" w:usb3="00000000" w:csb0="00040001" w:csb1="00000000"/>
    <w:embedRegular r:id="rId4" w:fontKey="{FC864603-81F8-4749-B9DD-F8F1B867CF44}"/>
  </w:font>
  <w:font w:name="楷体_GB2312">
    <w:altName w:val="楷体"/>
    <w:panose1 w:val="02010609030101010101"/>
    <w:charset w:val="86"/>
    <w:family w:val="auto"/>
    <w:pitch w:val="default"/>
    <w:sig w:usb0="00000000" w:usb1="00000000" w:usb2="00000000" w:usb3="00000000" w:csb0="00040000" w:csb1="00000000"/>
    <w:embedRegular r:id="rId5" w:fontKey="{69A5158D-78BA-49F8-8DE5-806F5DD5A7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2B311">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7CEF4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457CEF4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9245FB"/>
    <w:rsid w:val="1AAF0063"/>
    <w:rsid w:val="1BE140DE"/>
    <w:rsid w:val="219B2090"/>
    <w:rsid w:val="248C197D"/>
    <w:rsid w:val="252959AF"/>
    <w:rsid w:val="276D655D"/>
    <w:rsid w:val="277A6671"/>
    <w:rsid w:val="292D35B7"/>
    <w:rsid w:val="33EB6CFF"/>
    <w:rsid w:val="39FDD281"/>
    <w:rsid w:val="3B625C0A"/>
    <w:rsid w:val="3CEE1963"/>
    <w:rsid w:val="512260B4"/>
    <w:rsid w:val="597244E8"/>
    <w:rsid w:val="5DA62BB3"/>
    <w:rsid w:val="5FF4E88A"/>
    <w:rsid w:val="603055C6"/>
    <w:rsid w:val="66AF0CE5"/>
    <w:rsid w:val="67DF287A"/>
    <w:rsid w:val="68025E5D"/>
    <w:rsid w:val="6E5B14A6"/>
    <w:rsid w:val="6F77CC83"/>
    <w:rsid w:val="7BB51E06"/>
    <w:rsid w:val="7C387F7C"/>
    <w:rsid w:val="7F733BF4"/>
    <w:rsid w:val="DD7BF3A3"/>
    <w:rsid w:val="DFB1ED87"/>
    <w:rsid w:val="F53EF6CE"/>
    <w:rsid w:val="FEEF4554"/>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3288</Words>
  <Characters>3686</Characters>
  <Lines>7</Lines>
  <Paragraphs>2</Paragraphs>
  <TotalTime>0</TotalTime>
  <ScaleCrop>false</ScaleCrop>
  <LinksUpToDate>false</LinksUpToDate>
  <CharactersWithSpaces>3694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 ‏ ‏ ‏ ‏ ‏ ‏</cp:lastModifiedBy>
  <cp:lastPrinted>2024-03-07T23:38:00Z</cp:lastPrinted>
  <dcterms:modified xsi:type="dcterms:W3CDTF">2025-06-04T02:49:08Z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