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default"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rPr>
        <w:t>石家庄市建设项目评审评估中心部门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贯彻落实市委市政府《关于全面落实预算绩效管理的实施意见》（石发﹝2019﹞8号）文件精神，遵循“科学性、规范性、客观性和公正性”的原则，对石家庄市建设项目评审评估中心部门202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根据《关于明确市建设项目评审评估中心职责的通知》，石家庄市建设项目评审评估中心的主要职责是：</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1.部门职能</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负责对政府投资（含预算单位自有资金，下同）、市属国有企业投资和以政府投资、市属国有企业投资为主以及其他关系国家利益和公共利益的公共工程项目的项目建设方案投资额、项目建议书、可行性研究报告、初步设计、概算、预算（拦标价）、竣工决（结）算等事项全过程的评估、评审提供事务性服务保障和技术支持；</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负责对维修改造及改扩建项目，征地拆迁、土地储备、协议搬迁、土地前期整理项目，公共设施运行与维护、信息化项目建设与维护等项目的预算（拦标价）、竣工决（结）算等评估、评审工作提供事务性服务保障和技术支持；</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（3）负责对市委、市政府指定的评审项目，其他财政专项资金使用情况等评估、评审工作提供事务性服务保障和技术支持；</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（4）负责出具评估、评审意见等事务性工作；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（5）负责对第三方出具的评估、评审结果进行复核；</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（6）承办市委、市政府交办的其他项目评估、评审工作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2.机构设置</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石家庄市建设项目评审评估中心为公益一类全额拨款市政府直属事业单位。纳入我部门决算编汇范围的独立核算单位共1个，系石家庄市建设项目评审评估中心。</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截至202</w:t>
      </w:r>
      <w:r>
        <w:rPr>
          <w:rFonts w:hint="eastAsia" w:ascii="仿宋" w:hAnsi="仿宋" w:eastAsia="仿宋"/>
          <w:sz w:val="32"/>
          <w:szCs w:val="32"/>
          <w:lang w:val="en-US" w:eastAsia="zh-CN"/>
        </w:rPr>
        <w:t>4</w:t>
      </w:r>
      <w:r>
        <w:rPr>
          <w:rFonts w:hint="eastAsia" w:ascii="仿宋" w:hAnsi="仿宋" w:eastAsia="仿宋"/>
          <w:sz w:val="32"/>
          <w:szCs w:val="32"/>
        </w:rPr>
        <w:t>年12月31日，我单位石家庄市建设项目评审评估中心编制人数60人，年末实有人数</w:t>
      </w:r>
      <w:r>
        <w:rPr>
          <w:rFonts w:hint="eastAsia" w:ascii="仿宋" w:hAnsi="仿宋" w:eastAsia="仿宋"/>
          <w:sz w:val="32"/>
          <w:szCs w:val="32"/>
          <w:lang w:val="en-US" w:eastAsia="zh-CN"/>
        </w:rPr>
        <w:t>52</w:t>
      </w:r>
      <w:r>
        <w:rPr>
          <w:rFonts w:hint="eastAsia" w:ascii="仿宋" w:hAnsi="仿宋" w:eastAsia="仿宋"/>
          <w:sz w:val="32"/>
          <w:szCs w:val="32"/>
        </w:rPr>
        <w:t>人。</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3.资产情况</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highlight w:val="none"/>
        </w:rPr>
        <w:t>截至202</w:t>
      </w:r>
      <w:r>
        <w:rPr>
          <w:rFonts w:hint="eastAsia" w:ascii="仿宋" w:hAnsi="仿宋" w:eastAsia="仿宋"/>
          <w:sz w:val="32"/>
          <w:szCs w:val="32"/>
          <w:highlight w:val="none"/>
          <w:lang w:val="en-US" w:eastAsia="zh-CN"/>
        </w:rPr>
        <w:t>4</w:t>
      </w:r>
      <w:r>
        <w:rPr>
          <w:rFonts w:hint="eastAsia" w:ascii="仿宋" w:hAnsi="仿宋" w:eastAsia="仿宋"/>
          <w:sz w:val="32"/>
          <w:szCs w:val="32"/>
          <w:highlight w:val="none"/>
        </w:rPr>
        <w:t>年12月31日，我单位资产总额（账面净值）</w:t>
      </w:r>
      <w:r>
        <w:rPr>
          <w:rFonts w:hint="eastAsia" w:ascii="仿宋" w:hAnsi="仿宋" w:eastAsia="仿宋"/>
          <w:sz w:val="32"/>
          <w:szCs w:val="32"/>
          <w:highlight w:val="none"/>
          <w:lang w:val="en-US" w:eastAsia="zh-CN"/>
        </w:rPr>
        <w:t>306.84</w:t>
      </w:r>
      <w:r>
        <w:rPr>
          <w:rFonts w:hint="eastAsia" w:ascii="仿宋" w:hAnsi="仿宋" w:eastAsia="仿宋"/>
          <w:sz w:val="32"/>
          <w:szCs w:val="32"/>
          <w:highlight w:val="none"/>
        </w:rPr>
        <w:t>万元，负债总额</w:t>
      </w:r>
      <w:r>
        <w:rPr>
          <w:rFonts w:hint="eastAsia" w:ascii="仿宋" w:hAnsi="仿宋" w:eastAsia="仿宋"/>
          <w:sz w:val="32"/>
          <w:szCs w:val="32"/>
          <w:highlight w:val="none"/>
          <w:lang w:val="en-US" w:eastAsia="zh-CN"/>
        </w:rPr>
        <w:t>0.17</w:t>
      </w:r>
      <w:r>
        <w:rPr>
          <w:rFonts w:hint="eastAsia" w:ascii="仿宋" w:hAnsi="仿宋" w:eastAsia="仿宋"/>
          <w:sz w:val="32"/>
          <w:szCs w:val="32"/>
          <w:highlight w:val="none"/>
        </w:rPr>
        <w:t>万元,净资产</w:t>
      </w:r>
      <w:r>
        <w:rPr>
          <w:rFonts w:hint="eastAsia" w:ascii="仿宋" w:hAnsi="仿宋" w:eastAsia="仿宋"/>
          <w:sz w:val="32"/>
          <w:szCs w:val="32"/>
          <w:highlight w:val="none"/>
          <w:lang w:val="en-US" w:eastAsia="zh-CN"/>
        </w:rPr>
        <w:t>306.66</w:t>
      </w:r>
      <w:r>
        <w:rPr>
          <w:rFonts w:hint="eastAsia" w:ascii="仿宋" w:hAnsi="仿宋" w:eastAsia="仿宋"/>
          <w:sz w:val="32"/>
          <w:szCs w:val="32"/>
        </w:rPr>
        <w:t>万元。资产包含货币资金</w:t>
      </w:r>
      <w:r>
        <w:rPr>
          <w:rFonts w:hint="eastAsia" w:ascii="仿宋" w:hAnsi="仿宋" w:eastAsia="仿宋"/>
          <w:sz w:val="32"/>
          <w:szCs w:val="32"/>
          <w:lang w:val="en-US" w:eastAsia="zh-CN"/>
        </w:rPr>
        <w:t>0.17</w:t>
      </w:r>
      <w:r>
        <w:rPr>
          <w:rFonts w:hint="eastAsia" w:ascii="仿宋" w:hAnsi="仿宋" w:eastAsia="仿宋"/>
          <w:sz w:val="32"/>
          <w:szCs w:val="32"/>
        </w:rPr>
        <w:t>万元，固定资产原值</w:t>
      </w:r>
      <w:r>
        <w:rPr>
          <w:rFonts w:hint="eastAsia" w:ascii="仿宋" w:hAnsi="仿宋" w:eastAsia="仿宋"/>
          <w:sz w:val="32"/>
          <w:szCs w:val="32"/>
          <w:lang w:val="en-US" w:eastAsia="zh-CN"/>
        </w:rPr>
        <w:t>383.47</w:t>
      </w:r>
      <w:r>
        <w:rPr>
          <w:rFonts w:hint="eastAsia" w:ascii="仿宋" w:hAnsi="仿宋" w:eastAsia="仿宋"/>
          <w:sz w:val="32"/>
          <w:szCs w:val="32"/>
        </w:rPr>
        <w:t>万元，固定资产累计折旧</w:t>
      </w:r>
      <w:r>
        <w:rPr>
          <w:rFonts w:hint="eastAsia" w:ascii="仿宋" w:hAnsi="仿宋" w:eastAsia="仿宋"/>
          <w:sz w:val="32"/>
          <w:szCs w:val="32"/>
          <w:lang w:val="en-US" w:eastAsia="zh-CN"/>
        </w:rPr>
        <w:t>240.14</w:t>
      </w:r>
      <w:r>
        <w:rPr>
          <w:rFonts w:hint="eastAsia" w:ascii="仿宋" w:hAnsi="仿宋" w:eastAsia="仿宋"/>
          <w:sz w:val="32"/>
          <w:szCs w:val="32"/>
        </w:rPr>
        <w:t>万元，固定资产净值</w:t>
      </w:r>
      <w:r>
        <w:rPr>
          <w:rFonts w:hint="eastAsia" w:ascii="仿宋" w:hAnsi="仿宋" w:eastAsia="仿宋"/>
          <w:sz w:val="32"/>
          <w:szCs w:val="32"/>
          <w:lang w:val="en-US" w:eastAsia="zh-CN"/>
        </w:rPr>
        <w:t>143.33</w:t>
      </w:r>
      <w:r>
        <w:rPr>
          <w:rFonts w:hint="eastAsia" w:ascii="仿宋" w:hAnsi="仿宋" w:eastAsia="仿宋"/>
          <w:sz w:val="32"/>
          <w:szCs w:val="32"/>
        </w:rPr>
        <w:t>万元。无形资产原值</w:t>
      </w:r>
      <w:r>
        <w:rPr>
          <w:rFonts w:hint="eastAsia" w:ascii="仿宋" w:hAnsi="仿宋" w:eastAsia="仿宋"/>
          <w:sz w:val="32"/>
          <w:szCs w:val="32"/>
          <w:lang w:val="en-US" w:eastAsia="zh-CN"/>
        </w:rPr>
        <w:t>184.28</w:t>
      </w:r>
      <w:r>
        <w:rPr>
          <w:rFonts w:hint="eastAsia" w:ascii="仿宋" w:hAnsi="仿宋" w:eastAsia="仿宋"/>
          <w:sz w:val="32"/>
          <w:szCs w:val="32"/>
        </w:rPr>
        <w:t>万元，无形资产累计摊销</w:t>
      </w:r>
      <w:r>
        <w:rPr>
          <w:rFonts w:hint="eastAsia" w:ascii="仿宋" w:hAnsi="仿宋" w:eastAsia="仿宋"/>
          <w:sz w:val="32"/>
          <w:szCs w:val="32"/>
          <w:lang w:val="en-US" w:eastAsia="zh-CN"/>
        </w:rPr>
        <w:t>20.94</w:t>
      </w:r>
      <w:r>
        <w:rPr>
          <w:rFonts w:hint="eastAsia" w:ascii="仿宋" w:hAnsi="仿宋" w:eastAsia="仿宋"/>
          <w:sz w:val="32"/>
          <w:szCs w:val="32"/>
        </w:rPr>
        <w:t>万元，无形资产净值</w:t>
      </w:r>
      <w:r>
        <w:rPr>
          <w:rFonts w:hint="eastAsia" w:ascii="仿宋" w:hAnsi="仿宋" w:eastAsia="仿宋"/>
          <w:sz w:val="32"/>
          <w:szCs w:val="32"/>
          <w:lang w:val="en-US" w:eastAsia="zh-CN"/>
        </w:rPr>
        <w:t>163.34</w:t>
      </w:r>
      <w:r>
        <w:rPr>
          <w:rFonts w:hint="eastAsia" w:ascii="仿宋" w:hAnsi="仿宋" w:eastAsia="仿宋"/>
          <w:sz w:val="32"/>
          <w:szCs w:val="32"/>
        </w:rPr>
        <w:t>万元。资产管理依照政府采购目录进行政府采购，加强固定资产登记、使用和报废处置管理，做到支出合理，物尽其用。</w:t>
      </w:r>
    </w:p>
    <w:p>
      <w:pPr>
        <w:adjustRightInd w:val="0"/>
        <w:snapToGrid w:val="0"/>
        <w:spacing w:line="560" w:lineRule="exact"/>
        <w:ind w:firstLine="640" w:firstLineChars="200"/>
        <w:rPr>
          <w:rFonts w:ascii="仿宋" w:hAnsi="仿宋" w:eastAsia="仿宋"/>
          <w:sz w:val="32"/>
          <w:szCs w:val="32"/>
        </w:rPr>
        <w:sectPr>
          <w:pgSz w:w="11900" w:h="16840"/>
          <w:pgMar w:top="1440" w:right="1800" w:bottom="1440" w:left="1800" w:header="720" w:footer="720" w:gutter="0"/>
          <w:pgNumType w:start="1"/>
          <w:cols w:space="720" w:num="1"/>
        </w:sectPr>
      </w:pPr>
    </w:p>
    <w:p>
      <w:pPr>
        <w:adjustRightInd w:val="0"/>
        <w:snapToGrid w:val="0"/>
        <w:spacing w:line="560" w:lineRule="exact"/>
        <w:ind w:firstLine="640" w:firstLineChars="200"/>
        <w:rPr>
          <w:rFonts w:hint="eastAsia" w:ascii="仿宋" w:hAnsi="仿宋" w:eastAsia="仿宋"/>
          <w:sz w:val="32"/>
          <w:szCs w:val="32"/>
        </w:rPr>
      </w:pP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预算执行情况。</w:t>
      </w:r>
      <w:r>
        <w:rPr>
          <w:rFonts w:hint="eastAsia" w:ascii="仿宋" w:hAnsi="仿宋" w:eastAsia="仿宋"/>
          <w:sz w:val="32"/>
          <w:szCs w:val="32"/>
          <w:highlight w:val="none"/>
          <w:lang w:val="en-US" w:eastAsia="zh-CN"/>
        </w:rPr>
        <w:t>2024</w:t>
      </w:r>
      <w:r>
        <w:rPr>
          <w:rFonts w:hint="eastAsia" w:ascii="仿宋" w:hAnsi="仿宋" w:eastAsia="仿宋"/>
          <w:sz w:val="32"/>
          <w:szCs w:val="32"/>
          <w:highlight w:val="none"/>
        </w:rPr>
        <w:t>年初收入预算</w:t>
      </w:r>
      <w:r>
        <w:rPr>
          <w:rFonts w:hint="eastAsia" w:ascii="仿宋" w:hAnsi="仿宋" w:eastAsia="仿宋"/>
          <w:sz w:val="32"/>
          <w:szCs w:val="32"/>
          <w:highlight w:val="none"/>
          <w:lang w:val="en-US" w:eastAsia="zh-CN"/>
        </w:rPr>
        <w:t>31129700</w:t>
      </w:r>
      <w:r>
        <w:rPr>
          <w:rFonts w:hint="eastAsia" w:ascii="仿宋" w:hAnsi="仿宋" w:eastAsia="仿宋"/>
          <w:sz w:val="32"/>
          <w:szCs w:val="32"/>
          <w:highlight w:val="none"/>
        </w:rPr>
        <w:t>元，</w:t>
      </w:r>
      <w:r>
        <w:rPr>
          <w:rFonts w:hint="eastAsia" w:ascii="仿宋" w:hAnsi="仿宋" w:eastAsia="仿宋"/>
          <w:sz w:val="32"/>
          <w:szCs w:val="32"/>
          <w:highlight w:val="none"/>
          <w:lang w:eastAsia="zh-CN"/>
        </w:rPr>
        <w:t>均为</w:t>
      </w:r>
      <w:r>
        <w:rPr>
          <w:rFonts w:hint="eastAsia" w:ascii="仿宋" w:hAnsi="仿宋" w:eastAsia="仿宋"/>
          <w:sz w:val="32"/>
          <w:szCs w:val="32"/>
          <w:highlight w:val="none"/>
        </w:rPr>
        <w:t>一般公共预算拨款收入；年终收入预算调整为</w:t>
      </w:r>
      <w:r>
        <w:rPr>
          <w:rFonts w:hint="eastAsia" w:ascii="仿宋" w:hAnsi="仿宋" w:eastAsia="仿宋"/>
          <w:sz w:val="32"/>
          <w:szCs w:val="32"/>
          <w:highlight w:val="none"/>
          <w:lang w:val="en-US" w:eastAsia="zh-CN"/>
        </w:rPr>
        <w:t>31575961.16</w:t>
      </w:r>
      <w:r>
        <w:rPr>
          <w:rFonts w:hint="eastAsia" w:ascii="仿宋" w:hAnsi="仿宋" w:eastAsia="仿宋"/>
          <w:sz w:val="32"/>
          <w:szCs w:val="32"/>
          <w:highlight w:val="none"/>
        </w:rPr>
        <w:t>元，其中：一般公共预算拨款收入</w:t>
      </w:r>
      <w:r>
        <w:rPr>
          <w:rFonts w:hint="eastAsia" w:ascii="仿宋" w:hAnsi="仿宋" w:eastAsia="仿宋"/>
          <w:sz w:val="32"/>
          <w:szCs w:val="32"/>
          <w:highlight w:val="none"/>
          <w:lang w:val="en-US" w:eastAsia="zh-CN"/>
        </w:rPr>
        <w:t>31553094.6</w:t>
      </w:r>
      <w:r>
        <w:rPr>
          <w:rFonts w:hint="eastAsia" w:ascii="仿宋" w:hAnsi="仿宋" w:eastAsia="仿宋"/>
          <w:sz w:val="32"/>
          <w:szCs w:val="32"/>
          <w:highlight w:val="none"/>
        </w:rPr>
        <w:t>元、其他收入</w:t>
      </w:r>
      <w:r>
        <w:rPr>
          <w:rFonts w:hint="eastAsia" w:ascii="仿宋" w:hAnsi="仿宋" w:eastAsia="仿宋"/>
          <w:sz w:val="32"/>
          <w:szCs w:val="32"/>
          <w:highlight w:val="none"/>
          <w:lang w:val="en-US" w:eastAsia="zh-CN"/>
        </w:rPr>
        <w:t>0</w:t>
      </w:r>
      <w:r>
        <w:rPr>
          <w:rFonts w:hint="eastAsia" w:ascii="仿宋" w:hAnsi="仿宋" w:eastAsia="仿宋"/>
          <w:sz w:val="32"/>
          <w:szCs w:val="32"/>
          <w:highlight w:val="none"/>
        </w:rPr>
        <w:t>元</w:t>
      </w:r>
      <w:r>
        <w:rPr>
          <w:rFonts w:hint="eastAsia" w:ascii="仿宋" w:hAnsi="仿宋" w:eastAsia="仿宋"/>
          <w:sz w:val="32"/>
          <w:szCs w:val="32"/>
          <w:highlight w:val="none"/>
          <w:lang w:eastAsia="zh-CN"/>
        </w:rPr>
        <w:t>、财政拨款年初结转和结余</w:t>
      </w:r>
      <w:r>
        <w:rPr>
          <w:rFonts w:hint="eastAsia" w:ascii="仿宋" w:hAnsi="仿宋" w:eastAsia="仿宋"/>
          <w:sz w:val="32"/>
          <w:szCs w:val="32"/>
          <w:highlight w:val="none"/>
          <w:lang w:val="en-US" w:eastAsia="zh-CN"/>
        </w:rPr>
        <w:t>22866.56元</w:t>
      </w:r>
      <w:r>
        <w:rPr>
          <w:rFonts w:hint="eastAsia" w:ascii="仿宋" w:hAnsi="仿宋" w:eastAsia="仿宋"/>
          <w:sz w:val="32"/>
          <w:szCs w:val="32"/>
          <w:highlight w:val="none"/>
        </w:rPr>
        <w:t>。年初支出预算</w:t>
      </w:r>
      <w:r>
        <w:rPr>
          <w:rFonts w:hint="eastAsia" w:ascii="仿宋" w:hAnsi="仿宋" w:eastAsia="仿宋"/>
          <w:sz w:val="32"/>
          <w:szCs w:val="32"/>
          <w:highlight w:val="none"/>
          <w:lang w:val="en-US" w:eastAsia="zh-CN"/>
        </w:rPr>
        <w:t>31129700</w:t>
      </w:r>
      <w:r>
        <w:rPr>
          <w:rFonts w:hint="eastAsia" w:ascii="仿宋" w:hAnsi="仿宋" w:eastAsia="仿宋"/>
          <w:sz w:val="32"/>
          <w:szCs w:val="32"/>
          <w:highlight w:val="none"/>
        </w:rPr>
        <w:t>元，其中：基本支出</w:t>
      </w:r>
      <w:r>
        <w:rPr>
          <w:rFonts w:hint="eastAsia" w:ascii="仿宋" w:hAnsi="仿宋" w:eastAsia="仿宋"/>
          <w:sz w:val="32"/>
          <w:szCs w:val="32"/>
          <w:highlight w:val="none"/>
          <w:lang w:val="en-US" w:eastAsia="zh-CN"/>
        </w:rPr>
        <w:t>8452600</w:t>
      </w:r>
      <w:r>
        <w:rPr>
          <w:rFonts w:hint="eastAsia" w:ascii="仿宋" w:hAnsi="仿宋" w:eastAsia="仿宋"/>
          <w:sz w:val="32"/>
          <w:szCs w:val="32"/>
          <w:highlight w:val="none"/>
        </w:rPr>
        <w:t>元、项目支出</w:t>
      </w:r>
      <w:r>
        <w:rPr>
          <w:rFonts w:hint="eastAsia" w:ascii="仿宋" w:hAnsi="仿宋" w:eastAsia="仿宋"/>
          <w:sz w:val="32"/>
          <w:szCs w:val="32"/>
          <w:highlight w:val="none"/>
          <w:lang w:val="en-US" w:eastAsia="zh-CN"/>
        </w:rPr>
        <w:t>22677100</w:t>
      </w:r>
      <w:r>
        <w:rPr>
          <w:rFonts w:hint="eastAsia" w:ascii="仿宋" w:hAnsi="仿宋" w:eastAsia="仿宋"/>
          <w:sz w:val="32"/>
          <w:szCs w:val="32"/>
          <w:highlight w:val="none"/>
        </w:rPr>
        <w:t>元；年终支出预算调整为</w:t>
      </w:r>
      <w:r>
        <w:rPr>
          <w:rFonts w:hint="eastAsia" w:ascii="仿宋" w:hAnsi="仿宋" w:eastAsia="仿宋"/>
          <w:sz w:val="32"/>
          <w:szCs w:val="32"/>
          <w:highlight w:val="none"/>
          <w:lang w:val="en-US" w:eastAsia="zh-CN"/>
        </w:rPr>
        <w:t>31575961.16</w:t>
      </w:r>
      <w:r>
        <w:rPr>
          <w:rFonts w:hint="eastAsia" w:ascii="仿宋" w:hAnsi="仿宋" w:eastAsia="仿宋"/>
          <w:sz w:val="32"/>
          <w:szCs w:val="32"/>
          <w:highlight w:val="none"/>
        </w:rPr>
        <w:t>元，其中：基本支出</w:t>
      </w:r>
      <w:r>
        <w:rPr>
          <w:rFonts w:hint="eastAsia" w:ascii="仿宋" w:hAnsi="仿宋" w:eastAsia="仿宋"/>
          <w:sz w:val="32"/>
          <w:szCs w:val="32"/>
          <w:highlight w:val="none"/>
          <w:lang w:val="en-US" w:eastAsia="zh-CN"/>
        </w:rPr>
        <w:t>9608581.16</w:t>
      </w:r>
      <w:r>
        <w:rPr>
          <w:rFonts w:hint="eastAsia" w:ascii="仿宋" w:hAnsi="仿宋" w:eastAsia="仿宋"/>
          <w:sz w:val="32"/>
          <w:szCs w:val="32"/>
          <w:highlight w:val="none"/>
        </w:rPr>
        <w:t>元、项目支出</w:t>
      </w:r>
      <w:r>
        <w:rPr>
          <w:rFonts w:hint="eastAsia" w:ascii="仿宋" w:hAnsi="仿宋" w:eastAsia="仿宋"/>
          <w:sz w:val="32"/>
          <w:szCs w:val="32"/>
          <w:highlight w:val="none"/>
          <w:lang w:val="en-US" w:eastAsia="zh-CN"/>
        </w:rPr>
        <w:t>21967380</w:t>
      </w:r>
      <w:r>
        <w:rPr>
          <w:rFonts w:hint="eastAsia" w:ascii="仿宋" w:hAnsi="仿宋" w:eastAsia="仿宋"/>
          <w:sz w:val="32"/>
          <w:szCs w:val="32"/>
          <w:highlight w:val="none"/>
        </w:rPr>
        <w:t>元。</w:t>
      </w:r>
    </w:p>
    <w:p>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决算情况。年末收入总计</w:t>
      </w:r>
      <w:r>
        <w:rPr>
          <w:rFonts w:hint="eastAsia" w:ascii="仿宋" w:hAnsi="仿宋" w:eastAsia="仿宋"/>
          <w:sz w:val="32"/>
          <w:szCs w:val="32"/>
          <w:highlight w:val="none"/>
          <w:lang w:val="en-US" w:eastAsia="zh-CN"/>
        </w:rPr>
        <w:t>29565386.21</w:t>
      </w:r>
      <w:r>
        <w:rPr>
          <w:rFonts w:hint="eastAsia" w:ascii="仿宋" w:hAnsi="仿宋" w:eastAsia="仿宋"/>
          <w:sz w:val="32"/>
          <w:szCs w:val="32"/>
          <w:highlight w:val="none"/>
        </w:rPr>
        <w:t>元，其中：</w:t>
      </w:r>
      <w:r>
        <w:rPr>
          <w:rFonts w:hint="eastAsia" w:ascii="仿宋" w:hAnsi="仿宋" w:eastAsia="仿宋"/>
          <w:sz w:val="32"/>
          <w:szCs w:val="32"/>
          <w:highlight w:val="none"/>
          <w:lang w:eastAsia="zh-CN"/>
        </w:rPr>
        <w:t>财政拨款</w:t>
      </w:r>
      <w:r>
        <w:rPr>
          <w:rFonts w:hint="eastAsia" w:ascii="仿宋" w:hAnsi="仿宋" w:eastAsia="仿宋"/>
          <w:sz w:val="32"/>
          <w:szCs w:val="32"/>
          <w:highlight w:val="none"/>
        </w:rPr>
        <w:t>年初结转和结余</w:t>
      </w:r>
      <w:r>
        <w:rPr>
          <w:rFonts w:hint="eastAsia" w:ascii="仿宋" w:hAnsi="仿宋" w:eastAsia="仿宋"/>
          <w:sz w:val="32"/>
          <w:szCs w:val="32"/>
          <w:highlight w:val="none"/>
          <w:lang w:val="en-US" w:eastAsia="zh-CN"/>
        </w:rPr>
        <w:t>22866.56</w:t>
      </w:r>
      <w:r>
        <w:rPr>
          <w:rFonts w:hint="eastAsia" w:ascii="仿宋" w:hAnsi="仿宋" w:eastAsia="仿宋"/>
          <w:sz w:val="32"/>
          <w:szCs w:val="32"/>
          <w:highlight w:val="none"/>
        </w:rPr>
        <w:t>元，本年收入</w:t>
      </w:r>
      <w:r>
        <w:rPr>
          <w:rFonts w:hint="eastAsia" w:ascii="仿宋" w:hAnsi="仿宋" w:eastAsia="仿宋"/>
          <w:sz w:val="32"/>
          <w:szCs w:val="32"/>
          <w:highlight w:val="none"/>
          <w:lang w:val="en-US" w:eastAsia="zh-CN"/>
        </w:rPr>
        <w:t>29542519.65</w:t>
      </w:r>
      <w:r>
        <w:rPr>
          <w:rFonts w:hint="eastAsia" w:ascii="仿宋" w:hAnsi="仿宋" w:eastAsia="仿宋"/>
          <w:sz w:val="32"/>
          <w:szCs w:val="32"/>
          <w:highlight w:val="none"/>
        </w:rPr>
        <w:t>元；年末支出总计</w:t>
      </w:r>
      <w:r>
        <w:rPr>
          <w:rFonts w:hint="eastAsia" w:ascii="仿宋" w:hAnsi="仿宋" w:eastAsia="仿宋"/>
          <w:sz w:val="32"/>
          <w:szCs w:val="32"/>
          <w:highlight w:val="none"/>
          <w:lang w:val="en-US" w:eastAsia="zh-CN"/>
        </w:rPr>
        <w:t>29565386.21</w:t>
      </w:r>
      <w:r>
        <w:rPr>
          <w:rFonts w:hint="eastAsia" w:ascii="仿宋" w:hAnsi="仿宋" w:eastAsia="仿宋"/>
          <w:sz w:val="32"/>
          <w:szCs w:val="32"/>
          <w:highlight w:val="none"/>
        </w:rPr>
        <w:t>元，其中：本年支出</w:t>
      </w:r>
      <w:r>
        <w:rPr>
          <w:rFonts w:hint="eastAsia" w:ascii="仿宋" w:hAnsi="仿宋" w:eastAsia="仿宋"/>
          <w:sz w:val="32"/>
          <w:szCs w:val="32"/>
          <w:highlight w:val="none"/>
          <w:lang w:val="en-US" w:eastAsia="zh-CN"/>
        </w:rPr>
        <w:t>29564780.34</w:t>
      </w:r>
      <w:r>
        <w:rPr>
          <w:rFonts w:hint="eastAsia" w:ascii="仿宋" w:hAnsi="仿宋" w:eastAsia="仿宋"/>
          <w:sz w:val="32"/>
          <w:szCs w:val="32"/>
          <w:highlight w:val="none"/>
        </w:rPr>
        <w:t>元，</w:t>
      </w:r>
      <w:r>
        <w:rPr>
          <w:rFonts w:hint="eastAsia" w:ascii="仿宋" w:hAnsi="仿宋" w:eastAsia="仿宋"/>
          <w:sz w:val="32"/>
          <w:szCs w:val="32"/>
          <w:highlight w:val="none"/>
          <w:lang w:eastAsia="zh-CN"/>
        </w:rPr>
        <w:t>财政拨款</w:t>
      </w:r>
      <w:r>
        <w:rPr>
          <w:rFonts w:hint="eastAsia" w:ascii="仿宋" w:hAnsi="仿宋" w:eastAsia="仿宋"/>
          <w:sz w:val="32"/>
          <w:szCs w:val="32"/>
          <w:highlight w:val="none"/>
        </w:rPr>
        <w:t>年末结转和结余</w:t>
      </w:r>
      <w:r>
        <w:rPr>
          <w:rFonts w:hint="eastAsia" w:ascii="仿宋" w:hAnsi="仿宋" w:eastAsia="仿宋"/>
          <w:sz w:val="32"/>
          <w:szCs w:val="32"/>
          <w:highlight w:val="none"/>
          <w:lang w:val="en-US" w:eastAsia="zh-CN"/>
        </w:rPr>
        <w:t>605.87</w:t>
      </w:r>
      <w:r>
        <w:rPr>
          <w:rFonts w:hint="eastAsia" w:ascii="仿宋" w:hAnsi="仿宋" w:eastAsia="仿宋"/>
          <w:sz w:val="32"/>
          <w:szCs w:val="32"/>
          <w:highlight w:val="none"/>
        </w:rPr>
        <w:t>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仿宋" w:hAnsi="仿宋" w:eastAsia="仿宋"/>
          <w:sz w:val="32"/>
          <w:szCs w:val="32"/>
          <w:highlight w:val="none"/>
        </w:rPr>
      </w:pPr>
      <w:bookmarkStart w:id="0" w:name="_Toc_2_2_0000000001"/>
      <w:r>
        <w:rPr>
          <w:rFonts w:hint="eastAsia" w:ascii="仿宋" w:hAnsi="仿宋" w:eastAsia="仿宋"/>
          <w:sz w:val="32"/>
          <w:szCs w:val="32"/>
          <w:highlight w:val="none"/>
          <w:lang w:val="en-US" w:eastAsia="zh-CN"/>
        </w:rPr>
        <w:t>1.</w:t>
      </w:r>
      <w:r>
        <w:rPr>
          <w:rFonts w:hint="eastAsia" w:ascii="仿宋" w:hAnsi="仿宋" w:eastAsia="仿宋"/>
          <w:sz w:val="32"/>
          <w:szCs w:val="32"/>
          <w:highlight w:val="none"/>
        </w:rPr>
        <w:t>总体绩效目标</w:t>
      </w:r>
      <w:bookmarkEnd w:id="0"/>
    </w:p>
    <w:p>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2024年，评审评估中心将立足主责主业和职能目标，聚焦经济总量过万亿和市委市政府决策部署，让评审评估工作服务推动高质量发展。中心将以市委、市政府确定的重点项目为核心，抓好项目评审评估工作的推进。落实市委市政府对项目资金全链条评审评估的要求，遵循依法依规、客观公正、讲求绩效、廉洁高效的原则,开展建设项目评审评估工作，达到节约公共资金，规范项目实施的目标。</w:t>
      </w:r>
    </w:p>
    <w:p>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lang w:val="en-US" w:eastAsia="zh-CN"/>
        </w:rPr>
        <w:t>2.</w:t>
      </w:r>
      <w:r>
        <w:rPr>
          <w:rFonts w:hint="eastAsia" w:ascii="仿宋" w:hAnsi="仿宋" w:eastAsia="仿宋"/>
          <w:sz w:val="32"/>
          <w:szCs w:val="32"/>
          <w:highlight w:val="none"/>
        </w:rPr>
        <w:t>分项绩效目标</w:t>
      </w:r>
    </w:p>
    <w:p>
      <w:pPr>
        <w:adjustRightInd w:val="0"/>
        <w:snapToGrid w:val="0"/>
        <w:spacing w:line="560" w:lineRule="exact"/>
        <w:ind w:firstLine="640" w:firstLineChars="200"/>
        <w:rPr>
          <w:rFonts w:hint="eastAsia" w:ascii="仿宋" w:hAnsi="仿宋" w:eastAsia="仿宋"/>
          <w:sz w:val="32"/>
          <w:szCs w:val="32"/>
          <w:highlight w:val="none"/>
          <w:lang w:eastAsia="zh-CN"/>
        </w:rPr>
      </w:pP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1</w:t>
      </w:r>
      <w:r>
        <w:rPr>
          <w:rFonts w:hint="eastAsia" w:ascii="仿宋" w:hAnsi="仿宋" w:eastAsia="仿宋"/>
          <w:sz w:val="32"/>
          <w:szCs w:val="32"/>
          <w:highlight w:val="none"/>
          <w:lang w:eastAsia="zh-CN"/>
        </w:rPr>
        <w:t>）</w:t>
      </w:r>
      <w:r>
        <w:rPr>
          <w:rFonts w:hint="eastAsia" w:ascii="仿宋" w:hAnsi="仿宋" w:eastAsia="仿宋"/>
          <w:sz w:val="32"/>
          <w:szCs w:val="32"/>
          <w:highlight w:val="none"/>
        </w:rPr>
        <w:t>对送审项目的项目建设方案投资额、项目建议书、可行性研究报告、初步设计、概算、预算（拦标价）、竣工决（结）算等事项进行评审评估</w:t>
      </w:r>
      <w:r>
        <w:rPr>
          <w:rFonts w:hint="eastAsia" w:ascii="仿宋" w:hAnsi="仿宋" w:eastAsia="仿宋"/>
          <w:sz w:val="32"/>
          <w:szCs w:val="32"/>
          <w:highlight w:val="none"/>
          <w:lang w:eastAsia="zh-CN"/>
        </w:rPr>
        <w:t>。</w:t>
      </w:r>
    </w:p>
    <w:p>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绩效目标：加大评审评估力度，靠前把关跟进，统筹分类评审，提</w:t>
      </w:r>
      <w:r>
        <w:rPr>
          <w:rFonts w:hint="eastAsia" w:ascii="仿宋" w:hAnsi="仿宋" w:eastAsia="仿宋"/>
          <w:sz w:val="32"/>
          <w:szCs w:val="32"/>
          <w:highlight w:val="none"/>
          <w:lang w:eastAsia="zh-CN"/>
        </w:rPr>
        <w:t>高</w:t>
      </w:r>
      <w:r>
        <w:rPr>
          <w:rFonts w:hint="eastAsia" w:ascii="仿宋" w:hAnsi="仿宋" w:eastAsia="仿宋"/>
          <w:sz w:val="32"/>
          <w:szCs w:val="32"/>
          <w:highlight w:val="none"/>
        </w:rPr>
        <w:t>建设项目的评审效率、财政资金使用效益和项目规范程度，为建设项目顺利实施提供评审评估保障。</w:t>
      </w:r>
    </w:p>
    <w:p>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绩效指标：加快评审评估速度，符合评审评估要求的项目审核完成率较2023年提高5%。</w:t>
      </w:r>
    </w:p>
    <w:p>
      <w:pPr>
        <w:adjustRightInd w:val="0"/>
        <w:snapToGrid w:val="0"/>
        <w:spacing w:line="560" w:lineRule="exact"/>
        <w:ind w:firstLine="640" w:firstLineChars="200"/>
        <w:rPr>
          <w:rFonts w:hint="eastAsia" w:ascii="仿宋" w:hAnsi="仿宋" w:eastAsia="仿宋"/>
          <w:sz w:val="32"/>
          <w:szCs w:val="32"/>
          <w:highlight w:val="none"/>
          <w:lang w:eastAsia="zh-CN"/>
        </w:rPr>
      </w:pP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2</w:t>
      </w:r>
      <w:r>
        <w:rPr>
          <w:rFonts w:hint="eastAsia" w:ascii="仿宋" w:hAnsi="仿宋" w:eastAsia="仿宋"/>
          <w:sz w:val="32"/>
          <w:szCs w:val="32"/>
          <w:highlight w:val="none"/>
          <w:lang w:eastAsia="zh-CN"/>
        </w:rPr>
        <w:t>）</w:t>
      </w:r>
      <w:r>
        <w:rPr>
          <w:rFonts w:hint="eastAsia" w:ascii="仿宋" w:hAnsi="仿宋" w:eastAsia="仿宋"/>
          <w:sz w:val="32"/>
          <w:szCs w:val="32"/>
          <w:highlight w:val="none"/>
        </w:rPr>
        <w:t>对维修改造及改扩建项目，征地拆迁、土地储备、协议搬迁、土地前期整理项目，公共设施运行与维护、信息化项目建设与维护等项目的预算（拦标价）、竣工决（结）算等事项开展评审评估工作</w:t>
      </w:r>
      <w:r>
        <w:rPr>
          <w:rFonts w:hint="eastAsia" w:ascii="仿宋" w:hAnsi="仿宋" w:eastAsia="仿宋"/>
          <w:sz w:val="32"/>
          <w:szCs w:val="32"/>
          <w:highlight w:val="none"/>
          <w:lang w:eastAsia="zh-CN"/>
        </w:rPr>
        <w:t>。</w:t>
      </w:r>
    </w:p>
    <w:p>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绩效目标：推进工程建设项目规范实施，提高资金使用绩效，廉洁高效地开展建设项目评审评估工作。</w:t>
      </w:r>
    </w:p>
    <w:p>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绩效指标：提升资金使用效益，为市政府节约投资资金，总体资金节约率大于等于3%。</w:t>
      </w:r>
    </w:p>
    <w:p>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3</w:t>
      </w:r>
      <w:r>
        <w:rPr>
          <w:rFonts w:hint="eastAsia" w:ascii="仿宋" w:hAnsi="仿宋" w:eastAsia="仿宋"/>
          <w:sz w:val="32"/>
          <w:szCs w:val="32"/>
          <w:highlight w:val="none"/>
          <w:lang w:eastAsia="zh-CN"/>
        </w:rPr>
        <w:t>）</w:t>
      </w:r>
      <w:r>
        <w:rPr>
          <w:rFonts w:hint="eastAsia" w:ascii="仿宋" w:hAnsi="仿宋" w:eastAsia="仿宋"/>
          <w:sz w:val="32"/>
          <w:szCs w:val="32"/>
          <w:highlight w:val="none"/>
        </w:rPr>
        <w:t>对第三方出具的评估评审结果进行复核，对送审项目出具评审评估意见。</w:t>
      </w:r>
    </w:p>
    <w:p>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绩效目标：在自评的基础上，依法依规委托中介机构和相关专家开展评审评估辅助工作，客观公正地对建设项目进行评审评估。</w:t>
      </w:r>
    </w:p>
    <w:p>
      <w:pPr>
        <w:adjustRightInd w:val="0"/>
        <w:snapToGrid w:val="0"/>
        <w:spacing w:line="560" w:lineRule="exact"/>
        <w:ind w:firstLine="640" w:firstLineChars="200"/>
      </w:pPr>
      <w:r>
        <w:rPr>
          <w:rFonts w:hint="eastAsia" w:ascii="仿宋" w:hAnsi="仿宋" w:eastAsia="仿宋"/>
          <w:sz w:val="32"/>
          <w:szCs w:val="32"/>
          <w:highlight w:val="none"/>
        </w:rPr>
        <w:t>绩效指标：保质保量完成项目评审评估工作，按照合同和计划完成评审业务占全部工作的比例大于等于90%。</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中心高度重视绩效自评工作，积极开展该项工作，成立了</w:t>
      </w:r>
      <w:r>
        <w:rPr>
          <w:rFonts w:hint="eastAsia" w:ascii="仿宋" w:hAnsi="仿宋" w:eastAsia="仿宋"/>
          <w:sz w:val="32"/>
          <w:szCs w:val="32"/>
          <w:lang w:val="en-US" w:eastAsia="zh-CN"/>
        </w:rPr>
        <w:t>由办公室牵头，业务科室负责人组成的绩效自评工作小组</w:t>
      </w:r>
      <w:r>
        <w:rPr>
          <w:rFonts w:hint="eastAsia" w:ascii="仿宋" w:hAnsi="仿宋" w:eastAsia="仿宋"/>
          <w:sz w:val="32"/>
          <w:szCs w:val="32"/>
        </w:rPr>
        <w:t>。按照通知要求，工作小组事先制定了自评工作方案，明确评价内容、评价程序及时间安排，召开专题会议，提前准备相关资料，积极做好自评工作。评价以202</w:t>
      </w:r>
      <w:r>
        <w:rPr>
          <w:rFonts w:hint="eastAsia" w:ascii="仿宋" w:hAnsi="仿宋" w:eastAsia="仿宋"/>
          <w:sz w:val="32"/>
          <w:szCs w:val="32"/>
          <w:lang w:val="en-US" w:eastAsia="zh-CN"/>
        </w:rPr>
        <w:t>4</w:t>
      </w:r>
      <w:r>
        <w:rPr>
          <w:rFonts w:hint="eastAsia" w:ascii="仿宋" w:hAnsi="仿宋" w:eastAsia="仿宋"/>
          <w:sz w:val="32"/>
          <w:szCs w:val="32"/>
        </w:rPr>
        <w:t>年初预算确定的项目绩效目标和绩效指标为依据，通过对相关账目进行核实，对比各绩效指标完成情况，进一步分析和总结，对所有专项项目进行了绩效评价。</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1.自评的方法</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（1）科学公正原则。此次绩效自评运用科学合理的方法，按照规范的程序，对我中心部门整体预算资金使用绩效进行客观、公正的反映。</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（2）统筹兼顾原则。单位自评、部门自评和财政自评应职责明确，各有侧重，相互衔接，绩效自评结果将上报财政部门作为财政自评参考依据。</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（3）激励约束原则。此次绩效自评结果与预算安排、政策调整、改进管理实质性挂钩，体现奖优罚劣和激励相容导向，有效安排、低效压减、无效问责。</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（4）公开透明原则。此次绩效自评结果应依法依规在政府门户网站进行公开，并自觉接受社会监督。</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2.自评的过程</w:t>
      </w:r>
    </w:p>
    <w:p>
      <w:pPr>
        <w:adjustRightInd w:val="0"/>
        <w:snapToGrid w:val="0"/>
        <w:spacing w:line="560" w:lineRule="exact"/>
        <w:ind w:firstLine="640" w:firstLineChars="200"/>
      </w:pPr>
      <w:r>
        <w:rPr>
          <w:rFonts w:hint="eastAsia" w:ascii="仿宋" w:hAnsi="仿宋" w:eastAsia="仿宋"/>
          <w:sz w:val="32"/>
          <w:szCs w:val="32"/>
        </w:rPr>
        <w:t>本中心高度重视绩效自评工作，自评小组本着客观、公正、科学的原则，对照绩效评价指标表，通过基础数据、原始资料、会计报表、业务报表审核自查，对预算收支执行情况、年初预算编制及年中预算调整情况、预算收入整体执行情况、预算支出整体执行进行核实，下发调查问卷，保证了绩效自评工作真实性、准确性和完整性。认真总结分析自评和现场评价情况，形成评价结论。</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评审评估中心立足主责主业和职能目标，聚焦经济总量过万亿和市委市政府决策部署，让评审评估工作服务推动高质量发展。中心以市委、市政府确定的重点项目为核心，抓好项目评审评估工作的推进。落实市委市政府对项目资金全链条评审评估的要求，遵循依法依规、客观公正、讲求绩效、廉洁高效的原则,开展建</w:t>
      </w:r>
      <w:r>
        <w:rPr>
          <w:rFonts w:hint="eastAsia" w:ascii="仿宋" w:hAnsi="仿宋" w:eastAsia="仿宋"/>
          <w:sz w:val="32"/>
          <w:szCs w:val="32"/>
          <w:highlight w:val="none"/>
        </w:rPr>
        <w:t>设项目评审评估工作，达到节约公共资金，规范项目实施的目标。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highlight w:val="none"/>
        </w:rPr>
        <w:t>202</w:t>
      </w:r>
      <w:r>
        <w:rPr>
          <w:rFonts w:hint="eastAsia" w:ascii="仿宋" w:hAnsi="仿宋" w:eastAsia="仿宋"/>
          <w:sz w:val="32"/>
          <w:szCs w:val="32"/>
          <w:highlight w:val="none"/>
          <w:lang w:val="en-US" w:eastAsia="zh-CN"/>
        </w:rPr>
        <w:t>4</w:t>
      </w:r>
      <w:r>
        <w:rPr>
          <w:rFonts w:hint="eastAsia" w:ascii="仿宋" w:hAnsi="仿宋" w:eastAsia="仿宋"/>
          <w:sz w:val="32"/>
          <w:szCs w:val="32"/>
          <w:highlight w:val="none"/>
        </w:rPr>
        <w:t>年评审评估中心完成</w:t>
      </w:r>
      <w:r>
        <w:rPr>
          <w:rFonts w:hint="eastAsia" w:ascii="仿宋" w:hAnsi="仿宋" w:eastAsia="仿宋"/>
          <w:sz w:val="32"/>
          <w:szCs w:val="32"/>
          <w:highlight w:val="none"/>
          <w:lang w:val="en-US" w:eastAsia="zh-CN"/>
        </w:rPr>
        <w:t>400</w:t>
      </w:r>
      <w:r>
        <w:rPr>
          <w:rFonts w:hint="eastAsia" w:ascii="仿宋" w:hAnsi="仿宋" w:eastAsia="仿宋"/>
          <w:sz w:val="32"/>
          <w:szCs w:val="32"/>
          <w:highlight w:val="none"/>
        </w:rPr>
        <w:t>个项目的评审评估，资金</w:t>
      </w:r>
      <w:r>
        <w:rPr>
          <w:rFonts w:hint="eastAsia" w:ascii="仿宋" w:hAnsi="仿宋" w:eastAsia="仿宋"/>
          <w:sz w:val="32"/>
          <w:szCs w:val="32"/>
          <w:highlight w:val="none"/>
          <w:lang w:val="en-US" w:eastAsia="zh-CN"/>
        </w:rPr>
        <w:t>713.59</w:t>
      </w:r>
      <w:r>
        <w:rPr>
          <w:rFonts w:hint="eastAsia" w:ascii="仿宋" w:hAnsi="仿宋" w:eastAsia="仿宋"/>
          <w:sz w:val="32"/>
          <w:szCs w:val="32"/>
          <w:highlight w:val="none"/>
        </w:rPr>
        <w:t>亿元，审减</w:t>
      </w:r>
      <w:r>
        <w:rPr>
          <w:rFonts w:hint="eastAsia" w:ascii="仿宋" w:hAnsi="仿宋" w:eastAsia="仿宋"/>
          <w:sz w:val="32"/>
          <w:szCs w:val="32"/>
          <w:highlight w:val="none"/>
          <w:lang w:val="en-US" w:eastAsia="zh-CN"/>
        </w:rPr>
        <w:t>88</w:t>
      </w:r>
      <w:r>
        <w:rPr>
          <w:rFonts w:hint="eastAsia" w:ascii="仿宋" w:hAnsi="仿宋" w:eastAsia="仿宋"/>
          <w:sz w:val="32"/>
          <w:szCs w:val="32"/>
          <w:highlight w:val="none"/>
        </w:rPr>
        <w:t>亿元，审减率</w:t>
      </w:r>
      <w:r>
        <w:rPr>
          <w:rFonts w:hint="eastAsia" w:ascii="仿宋" w:hAnsi="仿宋" w:eastAsia="仿宋"/>
          <w:sz w:val="32"/>
          <w:szCs w:val="32"/>
          <w:highlight w:val="none"/>
          <w:lang w:val="en-US" w:eastAsia="zh-CN"/>
        </w:rPr>
        <w:t>12.66</w:t>
      </w:r>
      <w:r>
        <w:rPr>
          <w:rFonts w:hint="eastAsia" w:ascii="仿宋" w:hAnsi="仿宋" w:eastAsia="仿宋"/>
          <w:sz w:val="32"/>
          <w:szCs w:val="32"/>
          <w:highlight w:val="none"/>
        </w:rPr>
        <w:t>%。</w:t>
      </w:r>
      <w:r>
        <w:rPr>
          <w:rFonts w:hint="eastAsia" w:ascii="仿宋" w:hAnsi="仿宋" w:eastAsia="仿宋"/>
          <w:sz w:val="32"/>
          <w:szCs w:val="32"/>
          <w:highlight w:val="none"/>
          <w:lang w:val="en-US" w:eastAsia="zh-CN"/>
        </w:rPr>
        <w:t>全年完成评审项目比2023年的276个增长44.93%。</w:t>
      </w:r>
      <w:r>
        <w:rPr>
          <w:rFonts w:hint="eastAsia" w:ascii="仿宋" w:hAnsi="仿宋" w:eastAsia="仿宋" w:cs="黑体"/>
          <w:kern w:val="2"/>
          <w:sz w:val="32"/>
          <w:szCs w:val="32"/>
          <w:lang w:val="en-US" w:eastAsia="zh-CN" w:bidi="ar-SA"/>
        </w:rPr>
        <w:t>评审项目资金比2023年的540.32亿元增长32.07%。</w:t>
      </w:r>
      <w:r>
        <w:rPr>
          <w:rFonts w:hint="eastAsia" w:ascii="仿宋" w:hAnsi="仿宋" w:eastAsia="仿宋"/>
          <w:sz w:val="32"/>
          <w:szCs w:val="32"/>
          <w:highlight w:val="none"/>
          <w:lang w:val="en-US" w:eastAsia="zh-CN"/>
        </w:rPr>
        <w:t>审减率20%以</w:t>
      </w:r>
      <w:r>
        <w:rPr>
          <w:rFonts w:hint="eastAsia" w:ascii="仿宋" w:hAnsi="仿宋" w:eastAsia="仿宋"/>
          <w:sz w:val="32"/>
          <w:szCs w:val="32"/>
          <w:lang w:val="en-US" w:eastAsia="zh-CN"/>
        </w:rPr>
        <w:t>上项目118个，其中40%以上的28个；审减额1000万元以上的项目133个，其中1亿元以上的17个。</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年，中心全面高质量地完成了总体绩效目标。</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1.对送审项目的项目建设方案投资额、项目建议书、可行性研究报告、初步设计、概算、预算（拦标价）、竣工决（结）算等事项进行评审评估。</w:t>
      </w:r>
    </w:p>
    <w:p>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绩效目标：加大评审评估力度，靠前把关跟进，统筹分类评审，提高建设项目的评审效率、财政资金使用效益和项目规范程度，为建设项目顺利实施提供评审评估保障。</w:t>
      </w:r>
    </w:p>
    <w:p>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绩效指标：加快评审评估速度，符合评审评估要求的项目审核完成率较2023年提高5%。</w:t>
      </w:r>
    </w:p>
    <w:p>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评审中心2024年完成400个项目的评审评估，全年完成评审项目比2023年的276个增长44.93%。评审项目资金713.59亿元，比2023年的540.32亿元增长32.07%。该项指标超额完成。</w:t>
      </w:r>
    </w:p>
    <w:p>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2.对维修改造及改扩建项目，征地拆迁、土地储备、协议搬迁、土地前期整理项目，公共设施运行与维护、信息化项目建设与维护等项目的预算（拦标价）、竣工决（结）算等事项开展评审评估工作。</w:t>
      </w:r>
    </w:p>
    <w:p>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绩效目标：推进工程建设项目规范实施，提高资金使用绩效，廉洁高效地开展建设项目评审评估工作。</w:t>
      </w:r>
    </w:p>
    <w:p>
      <w:pPr>
        <w:pStyle w:val="11"/>
        <w:rPr>
          <w:rFonts w:ascii="仿宋" w:hAnsi="仿宋" w:eastAsia="仿宋"/>
          <w:sz w:val="32"/>
          <w:szCs w:val="32"/>
        </w:rPr>
      </w:pPr>
      <w:r>
        <w:rPr>
          <w:rFonts w:hint="eastAsia" w:ascii="仿宋" w:hAnsi="仿宋" w:eastAsia="仿宋" w:cs="黑体"/>
          <w:kern w:val="2"/>
          <w:sz w:val="32"/>
          <w:szCs w:val="32"/>
          <w:lang w:val="en-US" w:eastAsia="zh-CN" w:bidi="ar-SA"/>
        </w:rPr>
        <w:t>绩效指标：提升资金使用效益，为市政府节约投资资金，总体资金节约率大于等于3%。</w:t>
      </w:r>
    </w:p>
    <w:p>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中心2024年评审项目资金713.59亿元，审减金额88亿元，审减率12.66%。该项指标超额完成。</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3.对第三方出具的评估评审结果进行复核，对送审项目出具评审评估意见。</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绩效目标：在自评的基础上，依法依规委托中介机构和相关专家开展评审评估辅助工作，客观公正地对建设项目进行评审评估。</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绩效指标：保质保量完成项目评审评估工作，按照合同和计划完成评审业务占全部工作的比例大于等于90%。</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预期项目评审工作高质高效完成，实际完成预期绩效目标。</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根据部门职责定位和各项工作履职情况进行综合评价，中心顺利完成项目评审工作，大幅度提高评审评估效率，总体完成率为100%，总分为100分，等级为优秀。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1.绩效目标设置不够完备。</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虽然设立了项目资金绩效目标，但部分目标设置的不够明确、细化和量化。</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2.项目预算约束性不够。</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预算编制不够扎实，在预算执行过程中调整变动较大，客观存在实际支出与年初预算发生偏差。</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3.预算执行率不高。</w:t>
      </w:r>
    </w:p>
    <w:p>
      <w:pPr>
        <w:adjustRightInd w:val="0"/>
        <w:snapToGrid w:val="0"/>
        <w:spacing w:line="560" w:lineRule="exact"/>
        <w:ind w:firstLine="640" w:firstLineChars="200"/>
      </w:pPr>
      <w:r>
        <w:rPr>
          <w:rFonts w:hint="eastAsia" w:ascii="仿宋" w:hAnsi="仿宋" w:eastAsia="仿宋"/>
          <w:sz w:val="32"/>
          <w:szCs w:val="32"/>
        </w:rPr>
        <w:t>部分项目实施周期长，预算执行缓慢。部分款项支付不及时。</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1.进一步规范绩效目标编制。</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在编制项目资金绩效目标时，要求指向明确、细化量化、合理可行、相应匹配。以利于对工作有效指导、过程的有效控制、结果的精确评价。</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2.加快预算执行力度，强化预算约束。</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积极争取财政支持，力争年初预算安排足额到位，增强预算的刚性约束，严格做到“无预算不支出”，强化预算对执行的控制。财务部门加强对各项支出的审核管理，严格执行各项经费开支标准。</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3.合理安排项目资金，加快支出进度。</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项目支出预算要加快执行，根据项目实施进度合法、合规、及时办理资金支付手续。优化资金分配、提高资金使用效益。建立节约型财政保障机制、精准保障重点刚性支出，厉行节约办事。</w:t>
      </w:r>
    </w:p>
    <w:p>
      <w:pPr>
        <w:pStyle w:val="2"/>
        <w:numPr>
          <w:ilvl w:val="0"/>
          <w:numId w:val="0"/>
        </w:numPr>
        <w:ind w:leftChars="200"/>
        <w:jc w:val="both"/>
      </w:pPr>
    </w:p>
    <w:p>
      <w:pPr>
        <w:adjustRightInd w:val="0"/>
        <w:snapToGrid w:val="0"/>
        <w:spacing w:line="560" w:lineRule="exact"/>
        <w:ind w:firstLine="640" w:firstLineChars="200"/>
        <w:rPr>
          <w:rFonts w:ascii="黑体" w:hAnsi="黑体" w:eastAsia="黑体"/>
          <w:sz w:val="32"/>
          <w:szCs w:val="32"/>
        </w:rPr>
      </w:pPr>
    </w:p>
    <w:p>
      <w:pPr>
        <w:pStyle w:val="2"/>
      </w:pPr>
      <w:bookmarkStart w:id="1" w:name="_GoBack"/>
      <w:bookmarkEnd w:id="1"/>
    </w:p>
    <w:p>
      <w:pPr>
        <w:pStyle w:val="7"/>
        <w:ind w:firstLine="3776" w:firstLineChars="1180"/>
        <w:rPr>
          <w:rFonts w:ascii="仿宋" w:hAnsi="仿宋" w:eastAsia="仿宋" w:cs="仿宋"/>
          <w:sz w:val="32"/>
          <w:szCs w:val="32"/>
        </w:rPr>
      </w:pPr>
      <w:r>
        <w:rPr>
          <w:rFonts w:hint="eastAsia" w:ascii="仿宋" w:hAnsi="仿宋" w:eastAsia="仿宋" w:cs="仿宋"/>
          <w:sz w:val="32"/>
          <w:szCs w:val="32"/>
        </w:rPr>
        <w:t>石家庄市建设项目评审评估中心</w:t>
      </w:r>
    </w:p>
    <w:p>
      <w:pPr>
        <w:pStyle w:val="7"/>
        <w:ind w:firstLine="4896" w:firstLineChars="1530"/>
        <w:rPr>
          <w:rFonts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w:t>
      </w:r>
      <w:r>
        <w:rPr>
          <w:rFonts w:hint="eastAsia" w:ascii="仿宋" w:hAnsi="仿宋" w:eastAsia="仿宋" w:cs="仿宋"/>
          <w:sz w:val="32"/>
          <w:szCs w:val="32"/>
          <w:lang w:val="en-US" w:eastAsia="zh-CN"/>
        </w:rPr>
        <w:t>3</w:t>
      </w:r>
      <w:r>
        <w:rPr>
          <w:rFonts w:hint="eastAsia" w:ascii="仿宋" w:hAnsi="仿宋" w:eastAsia="仿宋" w:cs="仿宋"/>
          <w:sz w:val="32"/>
          <w:szCs w:val="32"/>
        </w:rPr>
        <w:t>月</w:t>
      </w:r>
      <w:r>
        <w:rPr>
          <w:rFonts w:hint="eastAsia" w:ascii="仿宋" w:hAnsi="仿宋" w:eastAsia="仿宋" w:cs="仿宋"/>
          <w:sz w:val="32"/>
          <w:szCs w:val="32"/>
          <w:lang w:val="en-US" w:eastAsia="zh-CN"/>
        </w:rPr>
        <w:t>28</w:t>
      </w:r>
      <w:r>
        <w:rPr>
          <w:rFonts w:hint="eastAsia" w:ascii="仿宋" w:hAnsi="仿宋" w:eastAsia="仿宋" w:cs="仿宋"/>
          <w:sz w:val="32"/>
          <w:szCs w:val="32"/>
        </w:rPr>
        <w:t>日</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auto"/>
    <w:pitch w:val="default"/>
    <w:sig w:usb0="A00002BF" w:usb1="38CF7CFA" w:usb2="00082016" w:usb3="00000000" w:csb0="00040001" w:csb1="00000000"/>
  </w:font>
  <w:font w:name="华文楷体">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9BFFDC"/>
    <w:multiLevelType w:val="singleLevel"/>
    <w:tmpl w:val="C39BFFDC"/>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98D2901"/>
    <w:rsid w:val="1AAF0063"/>
    <w:rsid w:val="1BE140DE"/>
    <w:rsid w:val="1E542E40"/>
    <w:rsid w:val="248C197D"/>
    <w:rsid w:val="24AE74C5"/>
    <w:rsid w:val="252959AF"/>
    <w:rsid w:val="277A6671"/>
    <w:rsid w:val="27EC4BFD"/>
    <w:rsid w:val="292D35B7"/>
    <w:rsid w:val="2BCB7E65"/>
    <w:rsid w:val="2BFB1CB9"/>
    <w:rsid w:val="2D7C0853"/>
    <w:rsid w:val="33EB6CFF"/>
    <w:rsid w:val="35A12947"/>
    <w:rsid w:val="37387040"/>
    <w:rsid w:val="37FB0E3A"/>
    <w:rsid w:val="3B625C0A"/>
    <w:rsid w:val="3CEE1963"/>
    <w:rsid w:val="3EE50479"/>
    <w:rsid w:val="436B78D3"/>
    <w:rsid w:val="45791C51"/>
    <w:rsid w:val="4C9C27FE"/>
    <w:rsid w:val="4F2860EB"/>
    <w:rsid w:val="50766910"/>
    <w:rsid w:val="512260B4"/>
    <w:rsid w:val="52BD6ACB"/>
    <w:rsid w:val="55537534"/>
    <w:rsid w:val="561A74F1"/>
    <w:rsid w:val="58B17416"/>
    <w:rsid w:val="597244E8"/>
    <w:rsid w:val="5BD125D3"/>
    <w:rsid w:val="5EB71C30"/>
    <w:rsid w:val="62B12597"/>
    <w:rsid w:val="66AF0CE5"/>
    <w:rsid w:val="68AC2130"/>
    <w:rsid w:val="6AC537CF"/>
    <w:rsid w:val="6E5B14A6"/>
    <w:rsid w:val="711B255E"/>
    <w:rsid w:val="717F00E6"/>
    <w:rsid w:val="79952007"/>
    <w:rsid w:val="79E36DE4"/>
    <w:rsid w:val="7BB51E06"/>
    <w:rsid w:val="7C387F7C"/>
    <w:rsid w:val="7DF44B39"/>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customStyle="1" w:styleId="2">
    <w:name w:val="无间隔1"/>
    <w:qFormat/>
    <w:uiPriority w:val="0"/>
    <w:pPr>
      <w:widowControl w:val="0"/>
      <w:jc w:val="center"/>
    </w:pPr>
    <w:rPr>
      <w:rFonts w:ascii="Times New Roman" w:hAnsi="Times New Roman" w:eastAsia="仿宋" w:cs="Times New Roman"/>
      <w:kern w:val="2"/>
      <w:sz w:val="24"/>
      <w:szCs w:val="22"/>
      <w:lang w:val="en-US" w:eastAsia="zh-CN" w:bidi="ar-SA"/>
    </w:rPr>
  </w:style>
  <w:style w:type="paragraph" w:styleId="4">
    <w:name w:val="Body Text Indent"/>
    <w:basedOn w:val="1"/>
    <w:uiPriority w:val="0"/>
    <w:pPr>
      <w:spacing w:after="120"/>
      <w:ind w:left="420" w:leftChars="20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Body Text First Indent 2"/>
    <w:basedOn w:val="4"/>
    <w:unhideWhenUsed/>
    <w:qFormat/>
    <w:uiPriority w:val="0"/>
    <w:pPr>
      <w:spacing w:after="0"/>
      <w:ind w:firstLine="420" w:firstLineChars="200"/>
    </w:pPr>
    <w:rPr>
      <w:rFonts w:ascii="Times New Roman" w:hAnsi="Times New Roman" w:cs="Times New Roman"/>
      <w:szCs w:val="24"/>
    </w:r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573</Words>
  <Characters>590</Characters>
  <Lines>4</Lines>
  <Paragraphs>1</Paragraphs>
  <TotalTime>5</TotalTime>
  <ScaleCrop>false</ScaleCrop>
  <LinksUpToDate>false</LinksUpToDate>
  <CharactersWithSpaces>612</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2025-03-27T01:26:50Z</cp:lastPrinted>
  <dcterms:modified xsi:type="dcterms:W3CDTF">2025-03-27T01:31:55Z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