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auto"/>
        <w:rPr>
          <w:rFonts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0">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">
                <v:fill on="f" focussize="0,0"/>
                <v:stroke on="f"/>
                <v:imagedata o:title=""/>
                <o:lock v:ext="edit" aspectratio="f"/>
                <v:textbox>
                  <w:txbxContent>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pPr>
        <w:spacing w:line="600" w:lineRule="auto"/>
        <w:rPr>
          <w:rFonts w:ascii="楷体_GB2312" w:hAnsi="楷体_GB2312" w:eastAsia="楷体_GB2312" w:cs="楷体_GB2312"/>
          <w:color w:val="000000"/>
          <w:sz w:val="40"/>
          <w:szCs w:val="40"/>
        </w:rPr>
      </w:pPr>
    </w:p>
    <w:p>
      <w:pPr>
        <w:spacing w:line="600" w:lineRule="auto"/>
        <w:rPr>
          <w:rFonts w:ascii="楷体_GB2312" w:hAnsi="楷体_GB2312" w:eastAsia="楷体_GB2312" w:cs="楷体_GB2312"/>
          <w:color w:val="000000"/>
          <w:sz w:val="40"/>
          <w:szCs w:val="40"/>
        </w:rPr>
      </w:pPr>
    </w:p>
    <w:p>
      <w:pPr>
        <w:spacing w:line="600" w:lineRule="auto"/>
        <w:rPr>
          <w:rFonts w:ascii="楷体_GB2312" w:hAnsi="楷体_GB2312" w:eastAsia="楷体_GB2312" w:cs="楷体_GB2312"/>
          <w:color w:val="000000"/>
          <w:sz w:val="40"/>
          <w:szCs w:val="40"/>
        </w:rPr>
      </w:pPr>
    </w:p>
    <w:p>
      <w:pPr>
        <w:spacing w:line="600" w:lineRule="auto"/>
        <w:rPr>
          <w:rFonts w:ascii="楷体_GB2312" w:hAnsi="楷体_GB2312" w:eastAsia="楷体_GB2312" w:cs="楷体_GB2312"/>
          <w:color w:val="000000"/>
          <w:sz w:val="40"/>
          <w:szCs w:val="40"/>
        </w:rPr>
      </w:pPr>
    </w:p>
    <w:p>
      <w:pPr>
        <w:spacing w:line="600" w:lineRule="auto"/>
        <w:rPr>
          <w:rFonts w:ascii="楷体_GB2312" w:hAnsi="楷体_GB2312" w:eastAsia="楷体_GB2312" w:cs="楷体_GB2312"/>
          <w:color w:val="000000"/>
          <w:sz w:val="40"/>
          <w:szCs w:val="40"/>
        </w:rPr>
      </w:pPr>
    </w:p>
    <w:p>
      <w:pPr>
        <w:spacing w:line="600" w:lineRule="auto"/>
        <w:rPr>
          <w:rFonts w:ascii="楷体_GB2312" w:hAnsi="楷体_GB2312" w:eastAsia="楷体_GB2312" w:cs="楷体_GB2312"/>
          <w:color w:val="000000"/>
          <w:sz w:val="40"/>
          <w:szCs w:val="40"/>
        </w:rPr>
      </w:pPr>
    </w:p>
    <w:p>
      <w:pPr>
        <w:spacing w:line="600" w:lineRule="auto"/>
        <w:rPr>
          <w:rFonts w:ascii="楷体_GB2312" w:hAnsi="楷体_GB2312" w:eastAsia="楷体_GB2312" w:cs="楷体_GB2312"/>
          <w:color w:val="000000"/>
          <w:sz w:val="40"/>
          <w:szCs w:val="40"/>
        </w:rPr>
      </w:pPr>
    </w:p>
    <w:p>
      <w:pPr>
        <w:spacing w:line="600" w:lineRule="auto"/>
        <w:rPr>
          <w:rFonts w:ascii="楷体_GB2312" w:hAnsi="楷体_GB2312" w:eastAsia="楷体_GB2312" w:cs="楷体_GB2312"/>
          <w:color w:val="000000"/>
          <w:sz w:val="40"/>
          <w:szCs w:val="40"/>
        </w:rPr>
      </w:pPr>
    </w:p>
    <w:p>
      <w:pPr>
        <w:spacing w:line="600" w:lineRule="auto"/>
        <w:rPr>
          <w:rFonts w:ascii="楷体_GB2312" w:hAnsi="楷体_GB2312" w:eastAsia="楷体_GB2312" w:cs="楷体_GB2312"/>
          <w:color w:val="000000"/>
          <w:sz w:val="40"/>
          <w:szCs w:val="40"/>
        </w:rPr>
      </w:pPr>
    </w:p>
    <w:p>
      <w:pPr>
        <w:spacing w:line="600" w:lineRule="auto"/>
        <w:rPr>
          <w:rFonts w:ascii="楷体_GB2312" w:hAnsi="楷体_GB2312" w:eastAsia="楷体_GB2312" w:cs="楷体_GB2312"/>
          <w:color w:val="000000"/>
          <w:sz w:val="40"/>
          <w:szCs w:val="40"/>
        </w:rPr>
      </w:pPr>
    </w:p>
    <w:p>
      <w:pPr>
        <w:spacing w:line="600" w:lineRule="auto"/>
        <w:rPr>
          <w:rFonts w:ascii="楷体_GB2312" w:hAnsi="楷体_GB2312" w:eastAsia="楷体_GB2312" w:cs="楷体_GB2312"/>
          <w:color w:val="000000"/>
          <w:sz w:val="40"/>
          <w:szCs w:val="40"/>
        </w:rPr>
      </w:pPr>
    </w:p>
    <w:p>
      <w:pPr>
        <w:spacing w:line="600" w:lineRule="auto"/>
        <w:jc w:val="left"/>
        <w:rPr>
          <w:rFonts w:ascii="宋体" w:hAnsi="宋体" w:eastAsia="宋体"/>
          <w:color w:val="000000"/>
          <w:sz w:val="40"/>
          <w:szCs w:val="40"/>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：62</w:t>
      </w:r>
      <w:r>
        <w:rPr>
          <w:rFonts w:hint="eastAsia" w:ascii="宋体" w:hAnsi="宋体" w:eastAsia="宋体"/>
          <w:color w:val="000000"/>
          <w:sz w:val="40"/>
          <w:szCs w:val="40"/>
        </w:rPr>
        <w:t>5001</w:t>
      </w:r>
    </w:p>
    <w:p>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：赞皇县人民法院（本级）</w:t>
      </w:r>
    </w:p>
    <w:p>
      <w:pPr>
        <w:spacing w:line="600" w:lineRule="auto"/>
        <w:rPr>
          <w:rFonts w:ascii="楷体_GB2312" w:hAnsi="楷体_GB2312" w:eastAsia="楷体_GB2312" w:cs="楷体_GB2312"/>
          <w:color w:val="000000"/>
          <w:sz w:val="40"/>
          <w:szCs w:val="40"/>
        </w:rPr>
        <w:sectPr>
          <w:footerReference r:id="rId3" w:type="default"/>
          <w:pgSz w:w="11906" w:h="16838"/>
          <w:pgMar w:top="2098" w:right="1417" w:bottom="1871" w:left="1417" w:header="851" w:footer="992" w:gutter="0"/>
          <w:cols w:space="720" w:num="1"/>
          <w:docGrid w:type="lines" w:linePitch="312" w:charSpace="0"/>
        </w:sectPr>
      </w:pPr>
    </w:p>
    <w:p>
      <w:pPr>
        <w:spacing w:line="600" w:lineRule="auto"/>
        <w:jc w:val="center"/>
        <w:rPr>
          <w:rFonts w:ascii="楷体_GB2312" w:hAnsi="楷体_GB2312" w:eastAsia="楷体_GB2312" w:cs="楷体_GB2312"/>
          <w:color w:val="000000"/>
          <w:sz w:val="40"/>
          <w:szCs w:val="40"/>
        </w:rPr>
      </w:pPr>
    </w:p>
    <w:p>
      <w:pPr>
        <w:rPr>
          <w:rFonts w:ascii="黑体" w:hAnsi="黑体" w:eastAsia="黑体" w:cs="黑体"/>
          <w:b/>
          <w:bCs/>
          <w:sz w:val="32"/>
          <w:szCs w:val="36"/>
          <w:highlight w:val="yellow"/>
        </w:rPr>
      </w:pPr>
    </w:p>
    <w:p>
      <w:pPr>
        <w:widowControl/>
        <w:spacing w:line="360" w:lineRule="auto"/>
        <w:jc w:val="center"/>
        <w:rPr>
          <w:rFonts w:ascii="Times New Roman" w:eastAsia="方正小标宋_GBK"/>
          <w:sz w:val="72"/>
          <w:szCs w:val="72"/>
        </w:rPr>
      </w:pPr>
      <w:r>
        <w:rPr>
          <w:rFonts w:ascii="Times New Roman" w:eastAsia="方正小标宋_GBK"/>
          <w:sz w:val="72"/>
          <w:szCs w:val="72"/>
        </w:rPr>
        <w:t>赞皇县人民法院（本级）</w:t>
      </w:r>
    </w:p>
    <w:p>
      <w:pPr>
        <w:widowControl/>
        <w:spacing w:line="360" w:lineRule="auto"/>
        <w:jc w:val="center"/>
        <w:rPr>
          <w:rFonts w:ascii="Times New Roman" w:eastAsia="方正小标宋_GBK"/>
          <w:sz w:val="72"/>
          <w:szCs w:val="72"/>
        </w:rPr>
      </w:pPr>
      <w:r>
        <w:rPr>
          <w:rFonts w:ascii="Times New Roman" w:eastAsia="仿宋_GB2312"/>
          <w:sz w:val="72"/>
          <w:szCs w:val="72"/>
        </w:rPr>
        <w:t>2024</w:t>
      </w:r>
      <w:r>
        <w:rPr>
          <w:rFonts w:ascii="Times New Roman" w:eastAsia="方正小标宋_GBK"/>
          <w:sz w:val="72"/>
          <w:szCs w:val="72"/>
        </w:rPr>
        <w:t>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rPr>
          <w:rFonts w:ascii="黑体" w:hAnsi="黑体" w:eastAsia="黑体" w:cs="黑体"/>
          <w:sz w:val="56"/>
          <w:szCs w:val="72"/>
        </w:rPr>
      </w:pPr>
    </w:p>
    <w:p>
      <w:pPr>
        <w:widowControl/>
        <w:spacing w:line="360" w:lineRule="auto"/>
        <w:jc w:val="center"/>
        <w:rPr>
          <w:rFonts w:hint="eastAsia" w:ascii="Times New Roman" w:eastAsia="楷体_GB2312"/>
          <w:sz w:val="44"/>
          <w:szCs w:val="44"/>
        </w:rPr>
      </w:pPr>
      <w:r>
        <w:rPr>
          <w:rFonts w:ascii="Times New Roman" w:eastAsia="楷体_GB2312"/>
          <w:sz w:val="44"/>
          <w:szCs w:val="44"/>
        </w:rPr>
        <w:t>赞皇县人民法院（本级）</w:t>
      </w:r>
    </w:p>
    <w:p>
      <w:pPr>
        <w:widowControl/>
        <w:spacing w:line="360" w:lineRule="auto"/>
        <w:jc w:val="center"/>
        <w:rPr>
          <w:rFonts w:ascii="Times New Roman" w:eastAsia="楷体_GB2312"/>
          <w:sz w:val="44"/>
          <w:szCs w:val="44"/>
        </w:rPr>
      </w:pPr>
      <w:r>
        <w:rPr>
          <w:rFonts w:ascii="Times New Roman" w:eastAsia="楷体_GB2312"/>
          <w:sz w:val="44"/>
          <w:szCs w:val="44"/>
        </w:rPr>
        <w:t>二〇二五年</w:t>
      </w:r>
      <w:r>
        <w:rPr>
          <w:rFonts w:hint="eastAsia" w:ascii="Times New Roman" w:eastAsia="楷体_GB2312"/>
          <w:sz w:val="44"/>
          <w:szCs w:val="44"/>
          <w:lang w:eastAsia="zh-CN"/>
        </w:rPr>
        <w:t>九</w:t>
      </w:r>
      <w:r>
        <w:rPr>
          <w:rFonts w:ascii="Times New Roman" w:eastAsia="楷体_GB2312"/>
          <w:sz w:val="44"/>
          <w:szCs w:val="44"/>
        </w:rPr>
        <w:t>月</w:t>
      </w:r>
    </w:p>
    <w:p>
      <w:pPr>
        <w:snapToGrid w:val="0"/>
        <w:jc w:val="left"/>
        <w:rPr>
          <w:rFonts w:ascii="楷体_GB2312" w:hAnsi="楷体_GB2312" w:eastAsia="楷体_GB2312" w:cs="楷体_GB2312"/>
          <w:color w:val="000000" w:themeColor="text1"/>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left"/>
        <w:rPr>
          <w:rFonts w:ascii="楷体_GB2312" w:hAnsi="楷体_GB2312" w:eastAsia="楷体_GB2312" w:cs="楷体_GB2312"/>
          <w:color w:val="000000" w:themeColor="text1"/>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pgSz w:w="11906" w:h="16838"/>
          <w:pgMar w:top="1531" w:right="1984" w:bottom="1531" w:left="2098" w:header="851" w:footer="992" w:gutter="0"/>
          <w:cols w:space="720" w:num="1"/>
          <w:docGrid w:type="lines" w:linePitch="312" w:charSpace="0"/>
        </w:sectPr>
      </w:pPr>
    </w:p>
    <w:p>
      <w:pPr>
        <w:widowControl/>
        <w:spacing w:line="600" w:lineRule="exact"/>
        <w:jc w:val="left"/>
        <w:rPr>
          <w:rFonts w:ascii="黑体" w:hAnsi="黑体" w:eastAsia="黑体" w:cs="黑体"/>
          <w:bCs/>
          <w:sz w:val="32"/>
          <w:szCs w:val="32"/>
        </w:rPr>
      </w:pPr>
    </w:p>
    <w:p>
      <w:pPr>
        <w:tabs>
          <w:tab w:val="left" w:pos="2728"/>
        </w:tabs>
        <w:jc w:val="center"/>
        <w:rPr>
          <w:rFonts w:ascii="黑体" w:hAnsi="Times New Roman" w:eastAsia="黑体" w:cs="Times New Roman"/>
          <w:sz w:val="48"/>
          <w:szCs w:val="48"/>
        </w:rPr>
      </w:pPr>
    </w:p>
    <w:p>
      <w:pPr>
        <w:widowControl/>
        <w:spacing w:line="360" w:lineRule="auto"/>
        <w:jc w:val="center"/>
        <w:outlineLvl w:val="0"/>
        <w:rPr>
          <w:rFonts w:ascii="Times New Roman" w:eastAsia="黑体"/>
          <w:sz w:val="44"/>
          <w:szCs w:val="44"/>
        </w:rPr>
      </w:pPr>
      <w:r>
        <w:rPr>
          <w:rFonts w:ascii="Times New Roman" w:eastAsia="黑体"/>
          <w:sz w:val="44"/>
          <w:szCs w:val="44"/>
        </w:rPr>
        <w:t>目录</w:t>
      </w:r>
    </w:p>
    <w:p>
      <w:pPr>
        <w:widowControl/>
        <w:spacing w:after="160" w:line="580" w:lineRule="exact"/>
        <w:ind w:firstLine="640" w:firstLineChars="200"/>
        <w:rPr>
          <w:rFonts w:ascii="Times New Roman" w:hAnsi="Times New Roman" w:eastAsia="黑体" w:cs="Times New Roman"/>
          <w:sz w:val="32"/>
          <w:szCs w:val="32"/>
        </w:rPr>
      </w:pPr>
    </w:p>
    <w:p>
      <w:pPr>
        <w:widowControl/>
        <w:spacing w:line="360" w:lineRule="auto"/>
        <w:jc w:val="left"/>
        <w:rPr>
          <w:rFonts w:ascii="Times New Roman" w:eastAsia="黑体"/>
          <w:sz w:val="32"/>
          <w:szCs w:val="32"/>
        </w:rPr>
      </w:pPr>
      <w:r>
        <w:rPr>
          <w:rFonts w:ascii="Times New Roman" w:eastAsia="黑体"/>
          <w:sz w:val="32"/>
          <w:szCs w:val="32"/>
        </w:rPr>
        <w:t>第一部分单位概况</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一、单位职责</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二、机构设置</w:t>
      </w:r>
    </w:p>
    <w:p>
      <w:pPr>
        <w:widowControl/>
        <w:spacing w:line="360" w:lineRule="auto"/>
        <w:jc w:val="left"/>
        <w:outlineLvl w:val="0"/>
        <w:rPr>
          <w:rFonts w:ascii="Times New Roman" w:eastAsia="黑体"/>
          <w:sz w:val="32"/>
          <w:szCs w:val="32"/>
        </w:rPr>
      </w:pPr>
      <w:r>
        <w:rPr>
          <w:rFonts w:ascii="Times New Roman" w:eastAsia="黑体"/>
          <w:sz w:val="32"/>
          <w:szCs w:val="32"/>
        </w:rPr>
        <w:t>第二部分2024年度部门决算报表</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一、收入支出决算总表</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二、收入决算表</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三、支出决算表</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四、财政拨款收入支出决算总表</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五、一般公共预算财政拨款支出决算表</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六、一般公共预算财政拨款基本支出决算明细表</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七、政府性基金预算财政拨款收入支出决算表</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八、国有资本经营预算财政拨款支出决算表</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九、财政拨款“三公”经费支出决算表</w:t>
      </w:r>
    </w:p>
    <w:p>
      <w:pPr>
        <w:widowControl/>
        <w:spacing w:line="360" w:lineRule="auto"/>
        <w:jc w:val="left"/>
        <w:rPr>
          <w:rFonts w:ascii="Times New Roman" w:eastAsia="黑体"/>
          <w:sz w:val="32"/>
          <w:szCs w:val="32"/>
        </w:rPr>
      </w:pPr>
      <w:r>
        <w:rPr>
          <w:rFonts w:ascii="Times New Roman" w:eastAsia="黑体"/>
          <w:sz w:val="32"/>
          <w:szCs w:val="32"/>
        </w:rPr>
        <w:t>第三部分2024年度部门决算情况说明</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一、收入支出决算总体情况说明</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二、收入决算情况说明</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三、支出决算情况说明</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四、财政拨款收入支出决算总体情况说明</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五、财政拨款“三公”经费支出决算情况说明</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六、机关运行经费支出说明</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七、政府采购支出说明</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八、国有资产占用情况说明</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九、关于2024年度绩效评价情况的说明</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十、其他需要说明的情况</w:t>
      </w:r>
    </w:p>
    <w:p>
      <w:pPr>
        <w:widowControl/>
        <w:spacing w:line="360" w:lineRule="auto"/>
        <w:jc w:val="left"/>
        <w:rPr>
          <w:rFonts w:ascii="Times New Roman" w:eastAsia="黑体"/>
          <w:sz w:val="32"/>
          <w:szCs w:val="32"/>
        </w:rPr>
      </w:pPr>
      <w:r>
        <w:rPr>
          <w:rFonts w:ascii="Times New Roman" w:eastAsia="黑体"/>
          <w:sz w:val="32"/>
          <w:szCs w:val="32"/>
        </w:rPr>
        <w:t>第四部分名词解释</w:t>
      </w:r>
    </w:p>
    <w:p>
      <w:pPr>
        <w:widowControl/>
        <w:spacing w:after="160" w:line="580" w:lineRule="exact"/>
        <w:rPr>
          <w:rFonts w:ascii="Times New Roman" w:hAnsi="Times New Roman" w:eastAsia="黑体" w:cs="Times New Roman"/>
          <w:sz w:val="32"/>
          <w:szCs w:val="32"/>
        </w:rPr>
        <w:sectPr>
          <w:headerReference r:id="rId5" w:type="first"/>
          <w:footerReference r:id="rId7" w:type="first"/>
          <w:headerReference r:id="rId4" w:type="default"/>
          <w:footerReference r:id="rId6" w:type="default"/>
          <w:pgSz w:w="11906" w:h="16838"/>
          <w:pgMar w:top="1474" w:right="1531" w:bottom="1474" w:left="1531" w:header="851" w:footer="992" w:gutter="0"/>
          <w:cols w:space="0" w:num="1"/>
          <w:titlePg/>
          <w:docGrid w:type="lines" w:linePitch="312" w:charSpace="0"/>
        </w:sectPr>
      </w:pPr>
    </w:p>
    <w:p>
      <w:pPr>
        <w:widowControl/>
        <w:spacing w:line="360" w:lineRule="auto"/>
        <w:jc w:val="center"/>
        <w:outlineLvl w:val="0"/>
        <w:rPr>
          <w:rFonts w:ascii="Times New Roman" w:eastAsia="黑体"/>
          <w:sz w:val="44"/>
          <w:szCs w:val="44"/>
        </w:rPr>
      </w:pPr>
      <w:r>
        <w:rPr>
          <w:rFonts w:ascii="Times New Roman" w:eastAsia="黑体"/>
          <w:sz w:val="44"/>
          <w:szCs w:val="44"/>
        </w:rPr>
        <w:t>第一部分单位概况</w:t>
      </w:r>
    </w:p>
    <w:p>
      <w:pPr>
        <w:widowControl/>
        <w:spacing w:line="360" w:lineRule="auto"/>
        <w:jc w:val="left"/>
        <w:outlineLvl w:val="1"/>
        <w:rPr>
          <w:rFonts w:ascii="Times New Roman" w:eastAsia="黑体"/>
          <w:sz w:val="32"/>
          <w:szCs w:val="32"/>
        </w:rPr>
      </w:pPr>
      <w:bookmarkStart w:id="0" w:name="OLE_LINK19"/>
      <w:bookmarkStart w:id="19" w:name="_GoBack"/>
      <w:r>
        <w:rPr>
          <w:rFonts w:ascii="Times New Roman" w:eastAsia="黑体"/>
          <w:sz w:val="32"/>
          <w:szCs w:val="32"/>
        </w:rPr>
        <w:t>一、单位职责</w:t>
      </w:r>
    </w:p>
    <w:p>
      <w:pPr>
        <w:widowControl/>
        <w:spacing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(一)深入贯彻习近平新时代中国特色社会主义思想，深入贯彻党的路线方针政策和决策部署，坚持党对法院工作的绝对领导，坚决维护习近平总书记的核心地位，坚决维护党中央权威和集中统一领导。​</w:t>
      </w:r>
    </w:p>
    <w:p>
      <w:pPr>
        <w:widowControl/>
        <w:spacing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(二)依法审判法律规定由</w:t>
      </w:r>
      <w:r>
        <w:rPr>
          <w:rFonts w:hint="eastAsia" w:ascii="Times New Roman" w:eastAsia="仿宋_GB2312"/>
          <w:sz w:val="32"/>
          <w:szCs w:val="32"/>
          <w:lang w:eastAsia="zh-CN"/>
        </w:rPr>
        <w:t>赞皇</w:t>
      </w:r>
      <w:r>
        <w:rPr>
          <w:rFonts w:hint="eastAsia" w:ascii="Times New Roman" w:eastAsia="仿宋_GB2312"/>
          <w:sz w:val="32"/>
          <w:szCs w:val="32"/>
        </w:rPr>
        <w:t>县人民法院管辖的刑</w:t>
      </w:r>
    </w:p>
    <w:p>
      <w:pPr>
        <w:widowControl/>
        <w:spacing w:line="360" w:lineRule="auto"/>
        <w:jc w:val="left"/>
        <w:rPr>
          <w:rFonts w:hint="eastAsia" w:ascii="Times New Roman" w:eastAsia="仿宋_GB2312"/>
          <w:sz w:val="32"/>
          <w:szCs w:val="32"/>
        </w:rPr>
      </w:pPr>
      <w:r>
        <w:rPr>
          <w:rFonts w:hint="eastAsia" w:ascii="Times New Roman" w:eastAsia="仿宋_GB2312"/>
          <w:sz w:val="32"/>
          <w:szCs w:val="32"/>
        </w:rPr>
        <w:t>事、民事、行政等第一审案件。​</w:t>
      </w:r>
    </w:p>
    <w:p>
      <w:pPr>
        <w:widowControl/>
        <w:spacing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(三)依法审判上级人民法院指定、同级人民法院移</w:t>
      </w:r>
    </w:p>
    <w:p>
      <w:pPr>
        <w:widowControl/>
        <w:spacing w:line="360" w:lineRule="auto"/>
        <w:jc w:val="left"/>
        <w:rPr>
          <w:rFonts w:hint="eastAsia" w:ascii="Times New Roman" w:eastAsia="仿宋_GB2312"/>
          <w:sz w:val="32"/>
          <w:szCs w:val="32"/>
        </w:rPr>
      </w:pPr>
      <w:r>
        <w:rPr>
          <w:rFonts w:hint="eastAsia" w:ascii="Times New Roman" w:eastAsia="仿宋_GB2312"/>
          <w:sz w:val="32"/>
          <w:szCs w:val="32"/>
        </w:rPr>
        <w:t>送的刑事、民事、行政等第一审案件。​</w:t>
      </w:r>
    </w:p>
    <w:p>
      <w:pPr>
        <w:widowControl/>
        <w:spacing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(四)审查和受理各类申诉案件，审判各类再审案件，</w:t>
      </w:r>
    </w:p>
    <w:p>
      <w:pPr>
        <w:widowControl/>
        <w:spacing w:line="360" w:lineRule="auto"/>
        <w:jc w:val="left"/>
        <w:rPr>
          <w:rFonts w:hint="eastAsia" w:ascii="Times New Roman" w:eastAsia="仿宋_GB2312"/>
          <w:sz w:val="32"/>
          <w:szCs w:val="32"/>
        </w:rPr>
      </w:pPr>
      <w:r>
        <w:rPr>
          <w:rFonts w:hint="eastAsia" w:ascii="Times New Roman" w:eastAsia="仿宋_GB2312"/>
          <w:sz w:val="32"/>
          <w:szCs w:val="32"/>
        </w:rPr>
        <w:t>处理来信来访。 ​</w:t>
      </w:r>
    </w:p>
    <w:p>
      <w:pPr>
        <w:widowControl/>
        <w:spacing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(五)依法办理发生法律效力的民事、行政案件判决</w:t>
      </w:r>
    </w:p>
    <w:p>
      <w:pPr>
        <w:widowControl/>
        <w:spacing w:line="360" w:lineRule="auto"/>
        <w:jc w:val="left"/>
        <w:rPr>
          <w:rFonts w:hint="eastAsia" w:ascii="Times New Roman" w:eastAsia="仿宋_GB2312"/>
          <w:sz w:val="32"/>
          <w:szCs w:val="32"/>
        </w:rPr>
      </w:pPr>
      <w:r>
        <w:rPr>
          <w:rFonts w:hint="eastAsia" w:ascii="Times New Roman" w:eastAsia="仿宋_GB2312"/>
          <w:sz w:val="32"/>
          <w:szCs w:val="32"/>
        </w:rPr>
        <w:t>和裁定执行事项及刑事案件判决和裁定中关于财产部分</w:t>
      </w:r>
    </w:p>
    <w:p>
      <w:pPr>
        <w:widowControl/>
        <w:spacing w:line="360" w:lineRule="auto"/>
        <w:jc w:val="left"/>
        <w:rPr>
          <w:rFonts w:hint="eastAsia" w:ascii="Times New Roman" w:eastAsia="仿宋_GB2312"/>
          <w:sz w:val="32"/>
          <w:szCs w:val="32"/>
        </w:rPr>
      </w:pPr>
      <w:r>
        <w:rPr>
          <w:rFonts w:hint="eastAsia" w:ascii="Times New Roman" w:eastAsia="仿宋_GB2312"/>
          <w:sz w:val="32"/>
          <w:szCs w:val="32"/>
        </w:rPr>
        <w:t>的执行事项；办理法律规定由基层人民法院执行的其他</w:t>
      </w:r>
    </w:p>
    <w:p>
      <w:pPr>
        <w:widowControl/>
        <w:spacing w:line="360" w:lineRule="auto"/>
        <w:jc w:val="left"/>
        <w:rPr>
          <w:rFonts w:hint="eastAsia" w:ascii="Times New Roman" w:eastAsia="仿宋_GB2312"/>
          <w:sz w:val="32"/>
          <w:szCs w:val="32"/>
        </w:rPr>
      </w:pPr>
      <w:r>
        <w:rPr>
          <w:rFonts w:hint="eastAsia" w:ascii="Times New Roman" w:eastAsia="仿宋_GB2312"/>
          <w:sz w:val="32"/>
          <w:szCs w:val="32"/>
        </w:rPr>
        <w:t>法律文书的执行事项。​</w:t>
      </w:r>
    </w:p>
    <w:p>
      <w:pPr>
        <w:widowControl/>
        <w:spacing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(六)负责审判工作的调查研究，总结审判工作经验。</w:t>
      </w:r>
    </w:p>
    <w:p>
      <w:pPr>
        <w:widowControl/>
        <w:spacing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(七)负责干警思想政治教育和业务培训工作；按照</w:t>
      </w:r>
    </w:p>
    <w:p>
      <w:pPr>
        <w:widowControl/>
        <w:spacing w:line="360" w:lineRule="auto"/>
        <w:jc w:val="left"/>
        <w:rPr>
          <w:rFonts w:hint="eastAsia" w:ascii="Times New Roman" w:eastAsia="仿宋_GB2312"/>
          <w:sz w:val="32"/>
          <w:szCs w:val="32"/>
        </w:rPr>
      </w:pPr>
      <w:r>
        <w:rPr>
          <w:rFonts w:hint="eastAsia" w:ascii="Times New Roman" w:eastAsia="仿宋_GB2312"/>
          <w:sz w:val="32"/>
          <w:szCs w:val="32"/>
        </w:rPr>
        <w:t>权限管理法官和其他工作人员。​</w:t>
      </w:r>
    </w:p>
    <w:p>
      <w:pPr>
        <w:widowControl/>
        <w:spacing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(八)管理有关经费和物资装备。​</w:t>
      </w:r>
    </w:p>
    <w:p>
      <w:pPr>
        <w:widowControl/>
        <w:spacing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(九)负责司法技术鉴定、通讯、计算机等技术管理</w:t>
      </w:r>
    </w:p>
    <w:p>
      <w:pPr>
        <w:widowControl/>
        <w:spacing w:line="360" w:lineRule="auto"/>
        <w:jc w:val="left"/>
        <w:rPr>
          <w:rFonts w:hint="eastAsia" w:ascii="Times New Roman" w:eastAsia="仿宋_GB2312"/>
          <w:sz w:val="32"/>
          <w:szCs w:val="32"/>
        </w:rPr>
      </w:pPr>
      <w:r>
        <w:rPr>
          <w:rFonts w:hint="eastAsia" w:ascii="Times New Roman" w:eastAsia="仿宋_GB2312"/>
          <w:sz w:val="32"/>
          <w:szCs w:val="32"/>
        </w:rPr>
        <w:t>工作。 ​</w:t>
      </w:r>
    </w:p>
    <w:p>
      <w:pPr>
        <w:widowControl/>
        <w:spacing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(十)负责审判工作中的法制宣传，教育公民忠于祖</w:t>
      </w:r>
    </w:p>
    <w:p>
      <w:pPr>
        <w:widowControl/>
        <w:spacing w:line="360" w:lineRule="auto"/>
        <w:jc w:val="left"/>
        <w:rPr>
          <w:rFonts w:hint="eastAsia" w:ascii="Times New Roman" w:eastAsia="仿宋_GB2312"/>
          <w:sz w:val="32"/>
          <w:szCs w:val="32"/>
        </w:rPr>
      </w:pPr>
      <w:r>
        <w:rPr>
          <w:rFonts w:hint="eastAsia" w:ascii="Times New Roman" w:eastAsia="仿宋_GB2312"/>
          <w:sz w:val="32"/>
          <w:szCs w:val="32"/>
        </w:rPr>
        <w:t>国，自觉遵守宪法、法律和社会公德。 ​</w:t>
      </w:r>
    </w:p>
    <w:p>
      <w:pPr>
        <w:widowControl/>
        <w:spacing w:line="360" w:lineRule="auto"/>
        <w:ind w:firstLine="640" w:firstLineChars="200"/>
        <w:jc w:val="left"/>
        <w:rPr>
          <w:rFonts w:ascii="Times New Roman" w:eastAsia="仿宋_GB2312"/>
          <w:sz w:val="32"/>
          <w:szCs w:val="32"/>
        </w:rPr>
      </w:pPr>
      <w:r>
        <w:rPr>
          <w:rFonts w:hint="eastAsia" w:ascii="Times New Roman" w:eastAsia="仿宋_GB2312"/>
          <w:sz w:val="32"/>
          <w:szCs w:val="32"/>
        </w:rPr>
        <w:t>(十一)完成其他应由</w:t>
      </w:r>
      <w:r>
        <w:rPr>
          <w:rFonts w:hint="eastAsia" w:ascii="Times New Roman" w:eastAsia="仿宋_GB2312"/>
          <w:sz w:val="32"/>
          <w:szCs w:val="32"/>
          <w:lang w:eastAsia="zh-CN"/>
        </w:rPr>
        <w:t>赞皇</w:t>
      </w:r>
      <w:r>
        <w:rPr>
          <w:rFonts w:hint="eastAsia" w:ascii="Times New Roman" w:eastAsia="仿宋_GB2312"/>
          <w:sz w:val="32"/>
          <w:szCs w:val="32"/>
        </w:rPr>
        <w:t>县人民法院负责的工作。</w:t>
      </w:r>
      <w:bookmarkEnd w:id="0"/>
    </w:p>
    <w:bookmarkEnd w:id="19"/>
    <w:p>
      <w:pPr>
        <w:widowControl/>
        <w:spacing w:line="360" w:lineRule="auto"/>
        <w:jc w:val="left"/>
        <w:outlineLvl w:val="1"/>
        <w:rPr>
          <w:rFonts w:ascii="Times New Roman" w:eastAsia="黑体"/>
          <w:sz w:val="32"/>
          <w:szCs w:val="32"/>
        </w:rPr>
      </w:pPr>
      <w:r>
        <w:rPr>
          <w:rFonts w:ascii="Times New Roman" w:eastAsia="黑体"/>
          <w:sz w:val="32"/>
          <w:szCs w:val="32"/>
        </w:rPr>
        <w:t>二、机构设置</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从决算编报单位构成看，纳入2024年度本部门决算汇编范围的独立核算单位（以下简称“单位”）共</w:t>
      </w:r>
      <w:r>
        <w:rPr>
          <w:rFonts w:hint="eastAsia" w:ascii="Times New Roman" w:eastAsia="仿宋_GB2312"/>
          <w:sz w:val="32"/>
          <w:szCs w:val="32"/>
        </w:rPr>
        <w:t>1</w:t>
      </w:r>
      <w:r>
        <w:rPr>
          <w:rFonts w:ascii="Times New Roman" w:eastAsia="仿宋_GB2312"/>
          <w:sz w:val="32"/>
          <w:szCs w:val="32"/>
        </w:rPr>
        <w:t>个，具体情况如下：</w:t>
      </w:r>
    </w:p>
    <w:tbl>
      <w:tblPr>
        <w:tblStyle w:val="11"/>
        <w:tblpPr w:leftFromText="180" w:rightFromText="180" w:vertAnchor="text" w:horzAnchor="page" w:tblpXSpec="center" w:tblpY="10"/>
        <w:tblOverlap w:val="never"/>
        <w:tblW w:w="958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序号</w:t>
            </w:r>
          </w:p>
        </w:tc>
        <w:tc>
          <w:tcPr>
            <w:tcW w:w="3485" w:type="dxa"/>
            <w:vAlign w:val="center"/>
          </w:tcPr>
          <w:p>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单位名称</w:t>
            </w:r>
          </w:p>
        </w:tc>
        <w:tc>
          <w:tcPr>
            <w:tcW w:w="2445" w:type="dxa"/>
            <w:vAlign w:val="center"/>
          </w:tcPr>
          <w:p>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单位基本性质</w:t>
            </w:r>
          </w:p>
        </w:tc>
        <w:tc>
          <w:tcPr>
            <w:tcW w:w="2665" w:type="dxa"/>
            <w:vAlign w:val="center"/>
          </w:tcPr>
          <w:p>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sz w:val="28"/>
                <w:szCs w:val="28"/>
              </w:rPr>
            </w:pPr>
            <w:r>
              <w:rPr>
                <w:rFonts w:hint="eastAsia" w:ascii="仿宋_GB2312" w:hAnsi="Calibri" w:eastAsia="仿宋_GB2312" w:cs="ArialUnicodeMS"/>
                <w:sz w:val="28"/>
                <w:szCs w:val="28"/>
              </w:rPr>
              <w:t>1</w:t>
            </w:r>
          </w:p>
        </w:tc>
        <w:tc>
          <w:tcPr>
            <w:tcW w:w="3485" w:type="dxa"/>
          </w:tcPr>
          <w:p>
            <w:pPr>
              <w:spacing w:line="560" w:lineRule="exact"/>
              <w:jc w:val="center"/>
              <w:rPr>
                <w:rFonts w:ascii="仿宋_GB2312" w:hAnsi="Calibri" w:eastAsia="仿宋_GB2312" w:cs="ArialUnicodeMS"/>
                <w:sz w:val="28"/>
                <w:szCs w:val="28"/>
              </w:rPr>
            </w:pPr>
            <w:r>
              <w:rPr>
                <w:rFonts w:hint="eastAsia" w:ascii="仿宋_GB2312" w:hAnsi="Calibri" w:eastAsia="仿宋_GB2312" w:cs="ArialUnicodeMS"/>
                <w:sz w:val="28"/>
                <w:szCs w:val="28"/>
              </w:rPr>
              <w:t>赞皇县人民法院（本级）</w:t>
            </w:r>
          </w:p>
        </w:tc>
        <w:tc>
          <w:tcPr>
            <w:tcW w:w="2445" w:type="dxa"/>
          </w:tcPr>
          <w:p>
            <w:pPr>
              <w:spacing w:line="560" w:lineRule="exact"/>
              <w:jc w:val="center"/>
              <w:rPr>
                <w:rFonts w:ascii="仿宋_GB2312" w:hAnsi="Calibri" w:eastAsia="仿宋_GB2312" w:cs="ArialUnicodeMS"/>
                <w:sz w:val="28"/>
                <w:szCs w:val="28"/>
              </w:rPr>
            </w:pPr>
            <w:r>
              <w:rPr>
                <w:rFonts w:ascii="宋体" w:hAnsi="宋体" w:eastAsia="宋体"/>
                <w:sz w:val="28"/>
                <w:szCs w:val="28"/>
              </w:rPr>
              <w:t>行政单位</w:t>
            </w:r>
          </w:p>
        </w:tc>
        <w:tc>
          <w:tcPr>
            <w:tcW w:w="2665" w:type="dxa"/>
          </w:tcPr>
          <w:p>
            <w:pPr>
              <w:spacing w:line="560" w:lineRule="exact"/>
              <w:jc w:val="center"/>
              <w:rPr>
                <w:rFonts w:ascii="仿宋_GB2312" w:hAnsi="Calibri" w:eastAsia="仿宋_GB2312" w:cs="ArialUnicodeMS"/>
                <w:sz w:val="28"/>
                <w:szCs w:val="28"/>
              </w:rPr>
            </w:pPr>
            <w:r>
              <w:rPr>
                <w:rFonts w:ascii="宋体" w:hAnsi="宋体" w:eastAsia="宋体"/>
                <w:sz w:val="28"/>
                <w:szCs w:val="28"/>
              </w:rPr>
              <w:t>财政拨款</w:t>
            </w:r>
          </w:p>
        </w:tc>
      </w:tr>
    </w:tbl>
    <w:p>
      <w:pPr>
        <w:widowControl/>
        <w:spacing w:line="360" w:lineRule="auto"/>
        <w:outlineLvl w:val="0"/>
        <w:rPr>
          <w:rFonts w:hint="eastAsia" w:ascii="Times New Roman" w:hAnsi="Times New Roman" w:eastAsia="黑体" w:cs="Times New Roman"/>
          <w:sz w:val="32"/>
          <w:szCs w:val="32"/>
        </w:rPr>
      </w:pPr>
    </w:p>
    <w:p>
      <w:pPr>
        <w:widowControl/>
        <w:spacing w:line="360" w:lineRule="auto"/>
        <w:jc w:val="center"/>
        <w:outlineLvl w:val="0"/>
        <w:rPr>
          <w:rFonts w:ascii="Times New Roman" w:eastAsia="黑体"/>
          <w:sz w:val="44"/>
          <w:szCs w:val="44"/>
        </w:rPr>
      </w:pPr>
      <w:r>
        <w:rPr>
          <w:rFonts w:ascii="Times New Roman" w:eastAsia="黑体"/>
          <w:sz w:val="44"/>
          <w:szCs w:val="44"/>
        </w:rPr>
        <w:t>第二部分</w:t>
      </w:r>
      <w:r>
        <w:rPr>
          <w:rFonts w:ascii="Times New Roman" w:eastAsia="仿宋_GB2312"/>
          <w:sz w:val="44"/>
          <w:szCs w:val="44"/>
        </w:rPr>
        <w:t>2024</w:t>
      </w:r>
      <w:r>
        <w:rPr>
          <w:rFonts w:ascii="Times New Roman" w:eastAsia="黑体"/>
          <w:sz w:val="44"/>
          <w:szCs w:val="44"/>
        </w:rPr>
        <w:t>年度部门决算表</w:t>
      </w:r>
    </w:p>
    <w:tbl>
      <w:tblPr>
        <w:tblStyle w:val="11"/>
        <w:tblW w:w="11658" w:type="dxa"/>
        <w:tblInd w:w="-1817" w:type="dxa"/>
        <w:tblLayout w:type="fixed"/>
        <w:tblCellMar>
          <w:top w:w="0" w:type="dxa"/>
          <w:left w:w="108" w:type="dxa"/>
          <w:bottom w:w="0" w:type="dxa"/>
          <w:right w:w="108" w:type="dxa"/>
        </w:tblCellMar>
      </w:tblPr>
      <w:tblGrid>
        <w:gridCol w:w="3343"/>
        <w:gridCol w:w="623"/>
        <w:gridCol w:w="613"/>
        <w:gridCol w:w="1317"/>
        <w:gridCol w:w="1625"/>
        <w:gridCol w:w="1548"/>
        <w:gridCol w:w="623"/>
        <w:gridCol w:w="1931"/>
        <w:gridCol w:w="35"/>
      </w:tblGrid>
      <w:tr>
        <w:tblPrEx>
          <w:tblLayout w:type="fixed"/>
          <w:tblCellMar>
            <w:top w:w="0" w:type="dxa"/>
            <w:left w:w="108" w:type="dxa"/>
            <w:bottom w:w="0" w:type="dxa"/>
            <w:right w:w="108" w:type="dxa"/>
          </w:tblCellMar>
        </w:tblPrEx>
        <w:trPr>
          <w:gridAfter w:val="1"/>
          <w:wAfter w:w="35" w:type="dxa"/>
          <w:trHeight w:val="361" w:hRule="atLeast"/>
        </w:trPr>
        <w:tc>
          <w:tcPr>
            <w:tcW w:w="11623" w:type="dxa"/>
            <w:gridSpan w:val="8"/>
            <w:tcBorders>
              <w:top w:val="nil"/>
              <w:left w:val="nil"/>
              <w:bottom w:val="nil"/>
              <w:right w:val="nil"/>
            </w:tcBorders>
            <w:noWrap/>
            <w:vAlign w:val="bottom"/>
          </w:tcPr>
          <w:p>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收入支出决算总表</w:t>
            </w:r>
          </w:p>
        </w:tc>
      </w:tr>
      <w:tr>
        <w:tblPrEx>
          <w:tblLayout w:type="fixed"/>
          <w:tblCellMar>
            <w:top w:w="0" w:type="dxa"/>
            <w:left w:w="108" w:type="dxa"/>
            <w:bottom w:w="0" w:type="dxa"/>
            <w:right w:w="108" w:type="dxa"/>
          </w:tblCellMar>
        </w:tblPrEx>
        <w:trPr>
          <w:gridAfter w:val="1"/>
          <w:wAfter w:w="35" w:type="dxa"/>
          <w:trHeight w:val="357" w:hRule="atLeast"/>
        </w:trPr>
        <w:tc>
          <w:tcPr>
            <w:tcW w:w="11623" w:type="dxa"/>
            <w:gridSpan w:val="8"/>
            <w:tcBorders>
              <w:top w:val="nil"/>
              <w:left w:val="nil"/>
              <w:bottom w:val="nil"/>
              <w:right w:val="nil"/>
            </w:tcBorders>
            <w:noWrap/>
            <w:vAlign w:val="bottom"/>
          </w:tcPr>
          <w:p>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 xml:space="preserve"> 公开</w:t>
            </w:r>
            <w:r>
              <w:rPr>
                <w:rFonts w:hint="eastAsia" w:ascii="Times New Roman" w:hAnsi="Times New Roman" w:eastAsia="宋体" w:cs="Times New Roman"/>
                <w:color w:val="000000"/>
                <w:sz w:val="20"/>
                <w:szCs w:val="20"/>
              </w:rPr>
              <w:t>01</w:t>
            </w:r>
            <w:r>
              <w:rPr>
                <w:rFonts w:hint="eastAsia" w:ascii="方正仿宋_GB2312" w:hAnsi="方正仿宋_GB2312" w:eastAsia="方正仿宋_GB2312" w:cs="方正仿宋_GB2312"/>
                <w:color w:val="000000"/>
                <w:sz w:val="20"/>
                <w:szCs w:val="20"/>
                <w:lang w:bidi="ar"/>
              </w:rPr>
              <w:t>表</w:t>
            </w:r>
          </w:p>
        </w:tc>
      </w:tr>
      <w:tr>
        <w:tblPrEx>
          <w:tblLayout w:type="fixed"/>
          <w:tblCellMar>
            <w:top w:w="0" w:type="dxa"/>
            <w:left w:w="108" w:type="dxa"/>
            <w:bottom w:w="0" w:type="dxa"/>
            <w:right w:w="108" w:type="dxa"/>
          </w:tblCellMar>
        </w:tblPrEx>
        <w:trPr>
          <w:gridAfter w:val="1"/>
          <w:wAfter w:w="35" w:type="dxa"/>
          <w:trHeight w:val="351" w:hRule="atLeast"/>
        </w:trPr>
        <w:tc>
          <w:tcPr>
            <w:tcW w:w="4579" w:type="dxa"/>
            <w:gridSpan w:val="3"/>
            <w:tcBorders>
              <w:top w:val="nil"/>
              <w:left w:val="nil"/>
              <w:bottom w:val="single" w:color="auto" w:sz="4" w:space="0"/>
              <w:right w:val="nil"/>
            </w:tcBorders>
            <w:noWrap/>
            <w:vAlign w:val="bottom"/>
          </w:tcPr>
          <w:p>
            <w:pP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部门（单位）：赞皇县人民法院（本级）</w:t>
            </w:r>
          </w:p>
        </w:tc>
        <w:tc>
          <w:tcPr>
            <w:tcW w:w="2942" w:type="dxa"/>
            <w:gridSpan w:val="2"/>
            <w:tcBorders>
              <w:top w:val="nil"/>
              <w:left w:val="nil"/>
              <w:bottom w:val="single" w:color="auto" w:sz="4" w:space="0"/>
              <w:right w:val="nil"/>
            </w:tcBorders>
            <w:noWrap/>
            <w:vAlign w:val="bottom"/>
          </w:tcPr>
          <w:p>
            <w:pPr>
              <w:jc w:val="center"/>
              <w:rPr>
                <w:rFonts w:ascii="宋体" w:hAnsi="宋体" w:eastAsia="宋体"/>
                <w:color w:val="000000"/>
                <w:sz w:val="20"/>
                <w:szCs w:val="20"/>
                <w:lang w:bidi="ar"/>
              </w:rPr>
            </w:pPr>
            <w:r>
              <w:rPr>
                <w:rFonts w:hint="eastAsia" w:ascii="Times New Roman" w:hAnsi="Times New Roman" w:eastAsia="宋体" w:cs="Times New Roman"/>
                <w:color w:val="000000"/>
                <w:sz w:val="20"/>
                <w:szCs w:val="20"/>
              </w:rPr>
              <w:t>2024</w:t>
            </w:r>
            <w:r>
              <w:rPr>
                <w:rFonts w:hint="eastAsia" w:ascii="方正仿宋_GB2312" w:hAnsi="方正仿宋_GB2312" w:eastAsia="方正仿宋_GB2312" w:cs="方正仿宋_GB2312"/>
                <w:color w:val="000000"/>
                <w:sz w:val="20"/>
                <w:szCs w:val="20"/>
                <w:lang w:bidi="ar"/>
              </w:rPr>
              <w:t>年度</w:t>
            </w:r>
          </w:p>
        </w:tc>
        <w:tc>
          <w:tcPr>
            <w:tcW w:w="4102" w:type="dxa"/>
            <w:gridSpan w:val="3"/>
            <w:tcBorders>
              <w:top w:val="nil"/>
              <w:left w:val="nil"/>
              <w:bottom w:val="single" w:color="auto" w:sz="4" w:space="0"/>
              <w:right w:val="nil"/>
            </w:tcBorders>
            <w:noWrap/>
            <w:vAlign w:val="bottom"/>
          </w:tcPr>
          <w:p>
            <w:pPr>
              <w:jc w:val="right"/>
              <w:rPr>
                <w:rFonts w:ascii="宋体" w:hAnsi="宋体" w:eastAsia="宋体"/>
                <w:color w:val="000000"/>
                <w:sz w:val="20"/>
                <w:szCs w:val="20"/>
                <w:lang w:bidi="ar"/>
              </w:rPr>
            </w:pPr>
            <w:r>
              <w:rPr>
                <w:rFonts w:hint="eastAsia" w:ascii="方正仿宋_GB2312" w:hAnsi="方正仿宋_GB2312" w:eastAsia="方正仿宋_GB2312" w:cs="方正仿宋_GB2312"/>
                <w:color w:val="000000"/>
                <w:sz w:val="20"/>
                <w:szCs w:val="20"/>
                <w:lang w:bidi="ar"/>
              </w:rPr>
              <w:t>金额单位：万元</w:t>
            </w:r>
          </w:p>
        </w:tc>
      </w:tr>
      <w:tr>
        <w:tblPrEx>
          <w:tblLayout w:type="fixed"/>
          <w:tblCellMar>
            <w:top w:w="0" w:type="dxa"/>
            <w:left w:w="108" w:type="dxa"/>
            <w:bottom w:w="0" w:type="dxa"/>
            <w:right w:w="108" w:type="dxa"/>
          </w:tblCellMar>
        </w:tblPrEx>
        <w:trPr>
          <w:gridAfter w:val="1"/>
          <w:wAfter w:w="35" w:type="dxa"/>
          <w:trHeight w:val="544" w:hRule="atLeast"/>
        </w:trPr>
        <w:tc>
          <w:tcPr>
            <w:tcW w:w="5896" w:type="dxa"/>
            <w:gridSpan w:val="4"/>
            <w:tcBorders>
              <w:top w:val="single" w:color="auto" w:sz="4" w:space="0"/>
              <w:left w:val="single" w:color="000000" w:sz="4" w:space="0"/>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收入</w:t>
            </w:r>
          </w:p>
        </w:tc>
        <w:tc>
          <w:tcPr>
            <w:tcW w:w="5727" w:type="dxa"/>
            <w:gridSpan w:val="4"/>
            <w:tcBorders>
              <w:top w:val="single" w:color="auto" w:sz="4" w:space="0"/>
              <w:left w:val="nil"/>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支出</w:t>
            </w:r>
          </w:p>
        </w:tc>
      </w:tr>
      <w:tr>
        <w:tblPrEx>
          <w:tblLayout w:type="fixed"/>
          <w:tblCellMar>
            <w:top w:w="0" w:type="dxa"/>
            <w:left w:w="108" w:type="dxa"/>
            <w:bottom w:w="0" w:type="dxa"/>
            <w:right w:w="108" w:type="dxa"/>
          </w:tblCellMar>
        </w:tblPrEx>
        <w:trPr>
          <w:gridAfter w:val="1"/>
          <w:wAfter w:w="35" w:type="dxa"/>
          <w:trHeight w:val="308" w:hRule="atLeast"/>
        </w:trPr>
        <w:tc>
          <w:tcPr>
            <w:tcW w:w="3343" w:type="dxa"/>
            <w:tcBorders>
              <w:top w:val="nil"/>
              <w:left w:val="single" w:color="000000" w:sz="4" w:space="0"/>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项目</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行次</w:t>
            </w:r>
          </w:p>
        </w:tc>
        <w:tc>
          <w:tcPr>
            <w:tcW w:w="1930" w:type="dxa"/>
            <w:gridSpan w:val="2"/>
            <w:tcBorders>
              <w:top w:val="nil"/>
              <w:left w:val="nil"/>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决算数</w:t>
            </w:r>
          </w:p>
        </w:tc>
        <w:tc>
          <w:tcPr>
            <w:tcW w:w="3173" w:type="dxa"/>
            <w:gridSpan w:val="2"/>
            <w:tcBorders>
              <w:top w:val="nil"/>
              <w:left w:val="nil"/>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项目</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行次</w:t>
            </w:r>
          </w:p>
        </w:tc>
        <w:tc>
          <w:tcPr>
            <w:tcW w:w="1931" w:type="dxa"/>
            <w:tcBorders>
              <w:top w:val="nil"/>
              <w:left w:val="nil"/>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决算数</w:t>
            </w:r>
          </w:p>
        </w:tc>
      </w:tr>
      <w:tr>
        <w:tblPrEx>
          <w:tblLayout w:type="fixed"/>
          <w:tblCellMar>
            <w:top w:w="0" w:type="dxa"/>
            <w:left w:w="108" w:type="dxa"/>
            <w:bottom w:w="0" w:type="dxa"/>
            <w:right w:w="108" w:type="dxa"/>
          </w:tblCellMar>
        </w:tblPrEx>
        <w:trPr>
          <w:gridAfter w:val="1"/>
          <w:wAfter w:w="35" w:type="dxa"/>
          <w:trHeight w:val="476" w:hRule="atLeast"/>
        </w:trPr>
        <w:tc>
          <w:tcPr>
            <w:tcW w:w="3343" w:type="dxa"/>
            <w:tcBorders>
              <w:top w:val="nil"/>
              <w:left w:val="single" w:color="000000" w:sz="4" w:space="0"/>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栏次</w:t>
            </w:r>
          </w:p>
        </w:tc>
        <w:tc>
          <w:tcPr>
            <w:tcW w:w="623" w:type="dxa"/>
            <w:tcBorders>
              <w:top w:val="nil"/>
              <w:left w:val="nil"/>
              <w:bottom w:val="single" w:color="000000" w:sz="4" w:space="0"/>
              <w:right w:val="single" w:color="000000" w:sz="4" w:space="0"/>
            </w:tcBorders>
            <w:noWrap/>
            <w:vAlign w:val="center"/>
          </w:tcPr>
          <w:p>
            <w:pPr>
              <w:jc w:val="center"/>
              <w:rPr>
                <w:rFonts w:ascii="宋体" w:hAnsi="宋体" w:eastAsia="宋体"/>
                <w:color w:val="000000"/>
                <w:sz w:val="20"/>
                <w:szCs w:val="20"/>
              </w:rPr>
            </w:pPr>
          </w:p>
        </w:tc>
        <w:tc>
          <w:tcPr>
            <w:tcW w:w="1930" w:type="dxa"/>
            <w:gridSpan w:val="2"/>
            <w:tcBorders>
              <w:top w:val="nil"/>
              <w:left w:val="nil"/>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Times New Roman" w:hAnsi="Times New Roman" w:eastAsia="宋体" w:cs="Times New Roman"/>
                <w:color w:val="000000"/>
                <w:sz w:val="20"/>
                <w:szCs w:val="20"/>
              </w:rPr>
              <w:t>1</w:t>
            </w:r>
          </w:p>
        </w:tc>
        <w:tc>
          <w:tcPr>
            <w:tcW w:w="3173" w:type="dxa"/>
            <w:gridSpan w:val="2"/>
            <w:tcBorders>
              <w:top w:val="nil"/>
              <w:left w:val="nil"/>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栏次</w:t>
            </w:r>
          </w:p>
        </w:tc>
        <w:tc>
          <w:tcPr>
            <w:tcW w:w="623" w:type="dxa"/>
            <w:tcBorders>
              <w:top w:val="nil"/>
              <w:left w:val="nil"/>
              <w:bottom w:val="single" w:color="000000" w:sz="4" w:space="0"/>
              <w:right w:val="single" w:color="000000" w:sz="4" w:space="0"/>
            </w:tcBorders>
            <w:noWrap/>
            <w:vAlign w:val="center"/>
          </w:tcPr>
          <w:p>
            <w:pPr>
              <w:jc w:val="center"/>
              <w:rPr>
                <w:rFonts w:ascii="宋体" w:hAnsi="宋体" w:eastAsia="宋体"/>
                <w:color w:val="000000"/>
                <w:sz w:val="20"/>
                <w:szCs w:val="20"/>
              </w:rPr>
            </w:pPr>
          </w:p>
        </w:tc>
        <w:tc>
          <w:tcPr>
            <w:tcW w:w="1931" w:type="dxa"/>
            <w:tcBorders>
              <w:top w:val="nil"/>
              <w:left w:val="nil"/>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Times New Roman" w:hAnsi="Times New Roman" w:eastAsia="宋体" w:cs="Times New Roman"/>
                <w:color w:val="000000"/>
                <w:sz w:val="20"/>
                <w:szCs w:val="20"/>
              </w:rPr>
              <w:t>2</w:t>
            </w:r>
          </w:p>
        </w:tc>
      </w:tr>
      <w:tr>
        <w:tblPrEx>
          <w:tblLayout w:type="fixed"/>
          <w:tblCellMar>
            <w:top w:w="0" w:type="dxa"/>
            <w:left w:w="108" w:type="dxa"/>
            <w:bottom w:w="0" w:type="dxa"/>
            <w:right w:w="108" w:type="dxa"/>
          </w:tblCellMar>
        </w:tblPrEx>
        <w:trPr>
          <w:gridAfter w:val="1"/>
          <w:wAfter w:w="35" w:type="dxa"/>
          <w:trHeight w:val="476" w:hRule="atLeast"/>
        </w:trPr>
        <w:tc>
          <w:tcPr>
            <w:tcW w:w="3343" w:type="dxa"/>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一、一般公共预算财政拨款收入</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宋体" w:hAnsi="宋体" w:eastAsia="宋体"/>
                <w:color w:val="000000"/>
                <w:sz w:val="20"/>
                <w:szCs w:val="20"/>
              </w:rPr>
              <w:t>1</w:t>
            </w:r>
          </w:p>
        </w:tc>
        <w:tc>
          <w:tcPr>
            <w:tcW w:w="1930"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1,780.82</w:t>
            </w:r>
          </w:p>
        </w:tc>
        <w:tc>
          <w:tcPr>
            <w:tcW w:w="3173" w:type="dxa"/>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一、一般公共服务支出</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32</w:t>
            </w:r>
          </w:p>
        </w:tc>
        <w:tc>
          <w:tcPr>
            <w:tcW w:w="1931"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gridAfter w:val="1"/>
          <w:wAfter w:w="35" w:type="dxa"/>
          <w:trHeight w:val="476" w:hRule="atLeast"/>
        </w:trPr>
        <w:tc>
          <w:tcPr>
            <w:tcW w:w="3343" w:type="dxa"/>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二、政府性基金预算财政拨款收入</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w:t>
            </w:r>
          </w:p>
        </w:tc>
        <w:tc>
          <w:tcPr>
            <w:tcW w:w="1930"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3173" w:type="dxa"/>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二、外交支出</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33</w:t>
            </w:r>
          </w:p>
        </w:tc>
        <w:tc>
          <w:tcPr>
            <w:tcW w:w="1931"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gridAfter w:val="1"/>
          <w:wAfter w:w="35" w:type="dxa"/>
          <w:trHeight w:val="476" w:hRule="atLeast"/>
        </w:trPr>
        <w:tc>
          <w:tcPr>
            <w:tcW w:w="3343" w:type="dxa"/>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三、国有资本经营预算财政拨款收入</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w:t>
            </w:r>
          </w:p>
        </w:tc>
        <w:tc>
          <w:tcPr>
            <w:tcW w:w="1930"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3173" w:type="dxa"/>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三、国防支出</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34</w:t>
            </w:r>
          </w:p>
        </w:tc>
        <w:tc>
          <w:tcPr>
            <w:tcW w:w="1931"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gridAfter w:val="1"/>
          <w:wAfter w:w="35" w:type="dxa"/>
          <w:trHeight w:val="476" w:hRule="atLeast"/>
        </w:trPr>
        <w:tc>
          <w:tcPr>
            <w:tcW w:w="3343" w:type="dxa"/>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四、上级补助收入</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w:t>
            </w:r>
          </w:p>
        </w:tc>
        <w:tc>
          <w:tcPr>
            <w:tcW w:w="1930"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3173" w:type="dxa"/>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四、公共安全支出</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35</w:t>
            </w:r>
          </w:p>
        </w:tc>
        <w:tc>
          <w:tcPr>
            <w:tcW w:w="1931"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1,552.00</w:t>
            </w:r>
          </w:p>
        </w:tc>
      </w:tr>
      <w:tr>
        <w:tblPrEx>
          <w:tblLayout w:type="fixed"/>
          <w:tblCellMar>
            <w:top w:w="0" w:type="dxa"/>
            <w:left w:w="108" w:type="dxa"/>
            <w:bottom w:w="0" w:type="dxa"/>
            <w:right w:w="108" w:type="dxa"/>
          </w:tblCellMar>
        </w:tblPrEx>
        <w:trPr>
          <w:gridAfter w:val="1"/>
          <w:wAfter w:w="35" w:type="dxa"/>
          <w:trHeight w:val="476" w:hRule="atLeast"/>
        </w:trPr>
        <w:tc>
          <w:tcPr>
            <w:tcW w:w="3343" w:type="dxa"/>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五、事业收入</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w:t>
            </w:r>
          </w:p>
        </w:tc>
        <w:tc>
          <w:tcPr>
            <w:tcW w:w="1930"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3173" w:type="dxa"/>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五、教育支出</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36</w:t>
            </w:r>
          </w:p>
        </w:tc>
        <w:tc>
          <w:tcPr>
            <w:tcW w:w="1931"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gridAfter w:val="1"/>
          <w:wAfter w:w="35" w:type="dxa"/>
          <w:trHeight w:val="476" w:hRule="atLeast"/>
        </w:trPr>
        <w:tc>
          <w:tcPr>
            <w:tcW w:w="3343" w:type="dxa"/>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六、经营收入</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6</w:t>
            </w:r>
          </w:p>
        </w:tc>
        <w:tc>
          <w:tcPr>
            <w:tcW w:w="1930"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3173" w:type="dxa"/>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六、科学技术支出</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37</w:t>
            </w:r>
          </w:p>
        </w:tc>
        <w:tc>
          <w:tcPr>
            <w:tcW w:w="1931"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gridAfter w:val="1"/>
          <w:wAfter w:w="35" w:type="dxa"/>
          <w:trHeight w:val="476" w:hRule="atLeast"/>
        </w:trPr>
        <w:tc>
          <w:tcPr>
            <w:tcW w:w="3343" w:type="dxa"/>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七、附属单位上缴收入</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7</w:t>
            </w:r>
          </w:p>
        </w:tc>
        <w:tc>
          <w:tcPr>
            <w:tcW w:w="1930"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3173" w:type="dxa"/>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七、文化旅游体育与传媒支出</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38</w:t>
            </w:r>
          </w:p>
        </w:tc>
        <w:tc>
          <w:tcPr>
            <w:tcW w:w="1931"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gridAfter w:val="1"/>
          <w:wAfter w:w="35" w:type="dxa"/>
          <w:trHeight w:val="476" w:hRule="atLeast"/>
        </w:trPr>
        <w:tc>
          <w:tcPr>
            <w:tcW w:w="3343" w:type="dxa"/>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八、其他收入</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8</w:t>
            </w:r>
          </w:p>
        </w:tc>
        <w:tc>
          <w:tcPr>
            <w:tcW w:w="1930"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3173" w:type="dxa"/>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八、社会保障和就业支出</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39</w:t>
            </w:r>
          </w:p>
        </w:tc>
        <w:tc>
          <w:tcPr>
            <w:tcW w:w="1931"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110.10</w:t>
            </w:r>
          </w:p>
        </w:tc>
      </w:tr>
      <w:tr>
        <w:tblPrEx>
          <w:tblLayout w:type="fixed"/>
          <w:tblCellMar>
            <w:top w:w="0" w:type="dxa"/>
            <w:left w:w="108" w:type="dxa"/>
            <w:bottom w:w="0" w:type="dxa"/>
            <w:right w:w="108" w:type="dxa"/>
          </w:tblCellMar>
        </w:tblPrEx>
        <w:trPr>
          <w:gridAfter w:val="1"/>
          <w:wAfter w:w="35" w:type="dxa"/>
          <w:trHeight w:val="476" w:hRule="atLeast"/>
        </w:trPr>
        <w:tc>
          <w:tcPr>
            <w:tcW w:w="3343" w:type="dxa"/>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9</w:t>
            </w:r>
          </w:p>
        </w:tc>
        <w:tc>
          <w:tcPr>
            <w:tcW w:w="1930"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3173" w:type="dxa"/>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九、卫生健康支出</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w:t>
            </w:r>
          </w:p>
        </w:tc>
        <w:tc>
          <w:tcPr>
            <w:tcW w:w="1931"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54.95</w:t>
            </w:r>
          </w:p>
        </w:tc>
      </w:tr>
      <w:tr>
        <w:tblPrEx>
          <w:tblLayout w:type="fixed"/>
          <w:tblCellMar>
            <w:top w:w="0" w:type="dxa"/>
            <w:left w:w="108" w:type="dxa"/>
            <w:bottom w:w="0" w:type="dxa"/>
            <w:right w:w="108" w:type="dxa"/>
          </w:tblCellMar>
        </w:tblPrEx>
        <w:trPr>
          <w:gridAfter w:val="1"/>
          <w:wAfter w:w="35" w:type="dxa"/>
          <w:trHeight w:val="476" w:hRule="atLeast"/>
        </w:trPr>
        <w:tc>
          <w:tcPr>
            <w:tcW w:w="3343" w:type="dxa"/>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10</w:t>
            </w:r>
          </w:p>
        </w:tc>
        <w:tc>
          <w:tcPr>
            <w:tcW w:w="1930"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3173" w:type="dxa"/>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十、节能环保支出</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41</w:t>
            </w:r>
          </w:p>
        </w:tc>
        <w:tc>
          <w:tcPr>
            <w:tcW w:w="1931"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gridAfter w:val="1"/>
          <w:wAfter w:w="35" w:type="dxa"/>
          <w:trHeight w:val="476" w:hRule="atLeast"/>
        </w:trPr>
        <w:tc>
          <w:tcPr>
            <w:tcW w:w="3343" w:type="dxa"/>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11</w:t>
            </w:r>
          </w:p>
        </w:tc>
        <w:tc>
          <w:tcPr>
            <w:tcW w:w="1930"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3173" w:type="dxa"/>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十一、城乡社区支出</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42</w:t>
            </w:r>
          </w:p>
        </w:tc>
        <w:tc>
          <w:tcPr>
            <w:tcW w:w="1931"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gridAfter w:val="1"/>
          <w:wAfter w:w="35" w:type="dxa"/>
          <w:trHeight w:val="476" w:hRule="atLeast"/>
        </w:trPr>
        <w:tc>
          <w:tcPr>
            <w:tcW w:w="3343" w:type="dxa"/>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12</w:t>
            </w:r>
          </w:p>
        </w:tc>
        <w:tc>
          <w:tcPr>
            <w:tcW w:w="1930"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3173" w:type="dxa"/>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十二、农林水支出</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43</w:t>
            </w:r>
          </w:p>
        </w:tc>
        <w:tc>
          <w:tcPr>
            <w:tcW w:w="1931"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gridAfter w:val="1"/>
          <w:wAfter w:w="35" w:type="dxa"/>
          <w:trHeight w:val="476" w:hRule="atLeast"/>
        </w:trPr>
        <w:tc>
          <w:tcPr>
            <w:tcW w:w="3343" w:type="dxa"/>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13</w:t>
            </w:r>
          </w:p>
        </w:tc>
        <w:tc>
          <w:tcPr>
            <w:tcW w:w="1930"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3173" w:type="dxa"/>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十三、交通运输支出</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44</w:t>
            </w:r>
          </w:p>
        </w:tc>
        <w:tc>
          <w:tcPr>
            <w:tcW w:w="1931"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gridAfter w:val="1"/>
          <w:wAfter w:w="35" w:type="dxa"/>
          <w:trHeight w:val="476" w:hRule="atLeast"/>
        </w:trPr>
        <w:tc>
          <w:tcPr>
            <w:tcW w:w="3343" w:type="dxa"/>
            <w:tcBorders>
              <w:top w:val="nil"/>
              <w:left w:val="single" w:color="000000" w:sz="4" w:space="0"/>
              <w:bottom w:val="single" w:color="auto" w:sz="4" w:space="0"/>
              <w:right w:val="single" w:color="000000" w:sz="4" w:space="0"/>
            </w:tcBorders>
            <w:noWrap/>
            <w:vAlign w:val="center"/>
          </w:tcPr>
          <w:p>
            <w:pPr>
              <w:jc w:val="left"/>
              <w:rPr>
                <w:rFonts w:ascii="宋体" w:hAnsi="宋体" w:eastAsia="宋体"/>
                <w:color w:val="000000"/>
                <w:sz w:val="20"/>
                <w:szCs w:val="20"/>
              </w:rPr>
            </w:pPr>
          </w:p>
        </w:tc>
        <w:tc>
          <w:tcPr>
            <w:tcW w:w="623" w:type="dxa"/>
            <w:tcBorders>
              <w:top w:val="nil"/>
              <w:left w:val="nil"/>
              <w:bottom w:val="single" w:color="auto"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14</w:t>
            </w:r>
          </w:p>
        </w:tc>
        <w:tc>
          <w:tcPr>
            <w:tcW w:w="1930" w:type="dxa"/>
            <w:gridSpan w:val="2"/>
            <w:tcBorders>
              <w:top w:val="nil"/>
              <w:left w:val="nil"/>
              <w:bottom w:val="single" w:color="auto"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3173" w:type="dxa"/>
            <w:gridSpan w:val="2"/>
            <w:tcBorders>
              <w:top w:val="nil"/>
              <w:left w:val="nil"/>
              <w:bottom w:val="single" w:color="auto"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十四、资源勘探工业信息等支出</w:t>
            </w:r>
          </w:p>
        </w:tc>
        <w:tc>
          <w:tcPr>
            <w:tcW w:w="623" w:type="dxa"/>
            <w:tcBorders>
              <w:top w:val="nil"/>
              <w:left w:val="nil"/>
              <w:bottom w:val="single" w:color="auto"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45</w:t>
            </w:r>
          </w:p>
        </w:tc>
        <w:tc>
          <w:tcPr>
            <w:tcW w:w="1931" w:type="dxa"/>
            <w:tcBorders>
              <w:top w:val="nil"/>
              <w:left w:val="nil"/>
              <w:bottom w:val="single" w:color="auto"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gridAfter w:val="1"/>
          <w:wAfter w:w="35" w:type="dxa"/>
          <w:trHeight w:val="476" w:hRule="atLeast"/>
        </w:trPr>
        <w:tc>
          <w:tcPr>
            <w:tcW w:w="3343" w:type="dxa"/>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62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15</w:t>
            </w:r>
          </w:p>
        </w:tc>
        <w:tc>
          <w:tcPr>
            <w:tcW w:w="193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3173"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十五、商业服务业等支出</w:t>
            </w:r>
          </w:p>
        </w:tc>
        <w:tc>
          <w:tcPr>
            <w:tcW w:w="62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46</w:t>
            </w:r>
          </w:p>
        </w:tc>
        <w:tc>
          <w:tcPr>
            <w:tcW w:w="1931"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gridAfter w:val="1"/>
          <w:wAfter w:w="35" w:type="dxa"/>
          <w:trHeight w:val="476" w:hRule="atLeast"/>
        </w:trPr>
        <w:tc>
          <w:tcPr>
            <w:tcW w:w="3343" w:type="dxa"/>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62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16</w:t>
            </w:r>
          </w:p>
        </w:tc>
        <w:tc>
          <w:tcPr>
            <w:tcW w:w="193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3173"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十六、金融支出</w:t>
            </w:r>
          </w:p>
        </w:tc>
        <w:tc>
          <w:tcPr>
            <w:tcW w:w="62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47</w:t>
            </w:r>
          </w:p>
        </w:tc>
        <w:tc>
          <w:tcPr>
            <w:tcW w:w="1931"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gridAfter w:val="1"/>
          <w:wAfter w:w="35" w:type="dxa"/>
          <w:trHeight w:val="476" w:hRule="atLeast"/>
        </w:trPr>
        <w:tc>
          <w:tcPr>
            <w:tcW w:w="3343" w:type="dxa"/>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62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17</w:t>
            </w:r>
          </w:p>
        </w:tc>
        <w:tc>
          <w:tcPr>
            <w:tcW w:w="193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3173"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十七、援助其他地区支出</w:t>
            </w:r>
          </w:p>
        </w:tc>
        <w:tc>
          <w:tcPr>
            <w:tcW w:w="62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48</w:t>
            </w:r>
          </w:p>
        </w:tc>
        <w:tc>
          <w:tcPr>
            <w:tcW w:w="1931"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gridAfter w:val="1"/>
          <w:wAfter w:w="35" w:type="dxa"/>
          <w:trHeight w:val="476" w:hRule="atLeast"/>
        </w:trPr>
        <w:tc>
          <w:tcPr>
            <w:tcW w:w="3343" w:type="dxa"/>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62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18</w:t>
            </w:r>
          </w:p>
        </w:tc>
        <w:tc>
          <w:tcPr>
            <w:tcW w:w="193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3173"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十八、自然资源海洋气象等支出</w:t>
            </w:r>
          </w:p>
        </w:tc>
        <w:tc>
          <w:tcPr>
            <w:tcW w:w="62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49</w:t>
            </w:r>
          </w:p>
        </w:tc>
        <w:tc>
          <w:tcPr>
            <w:tcW w:w="1931"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gridAfter w:val="1"/>
          <w:wAfter w:w="35" w:type="dxa"/>
          <w:trHeight w:val="476" w:hRule="atLeast"/>
        </w:trPr>
        <w:tc>
          <w:tcPr>
            <w:tcW w:w="3343" w:type="dxa"/>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62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19</w:t>
            </w:r>
          </w:p>
        </w:tc>
        <w:tc>
          <w:tcPr>
            <w:tcW w:w="193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3173"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十九、住房保障支出</w:t>
            </w:r>
          </w:p>
        </w:tc>
        <w:tc>
          <w:tcPr>
            <w:tcW w:w="62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50</w:t>
            </w:r>
          </w:p>
        </w:tc>
        <w:tc>
          <w:tcPr>
            <w:tcW w:w="1931"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63.77</w:t>
            </w:r>
          </w:p>
        </w:tc>
      </w:tr>
      <w:tr>
        <w:tblPrEx>
          <w:tblLayout w:type="fixed"/>
          <w:tblCellMar>
            <w:top w:w="0" w:type="dxa"/>
            <w:left w:w="108" w:type="dxa"/>
            <w:bottom w:w="0" w:type="dxa"/>
            <w:right w:w="108" w:type="dxa"/>
          </w:tblCellMar>
        </w:tblPrEx>
        <w:trPr>
          <w:gridAfter w:val="1"/>
          <w:wAfter w:w="35" w:type="dxa"/>
          <w:trHeight w:val="476" w:hRule="atLeast"/>
        </w:trPr>
        <w:tc>
          <w:tcPr>
            <w:tcW w:w="3343" w:type="dxa"/>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62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20</w:t>
            </w:r>
          </w:p>
        </w:tc>
        <w:tc>
          <w:tcPr>
            <w:tcW w:w="193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3173"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二十、粮油物资储备支出</w:t>
            </w:r>
          </w:p>
        </w:tc>
        <w:tc>
          <w:tcPr>
            <w:tcW w:w="62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51</w:t>
            </w:r>
          </w:p>
        </w:tc>
        <w:tc>
          <w:tcPr>
            <w:tcW w:w="1931"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gridAfter w:val="1"/>
          <w:wAfter w:w="35" w:type="dxa"/>
          <w:trHeight w:val="476" w:hRule="atLeast"/>
        </w:trPr>
        <w:tc>
          <w:tcPr>
            <w:tcW w:w="3343" w:type="dxa"/>
            <w:tcBorders>
              <w:top w:val="single" w:color="auto" w:sz="4" w:space="0"/>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623" w:type="dxa"/>
            <w:tcBorders>
              <w:top w:val="single" w:color="auto" w:sz="4" w:space="0"/>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21</w:t>
            </w:r>
          </w:p>
        </w:tc>
        <w:tc>
          <w:tcPr>
            <w:tcW w:w="1930" w:type="dxa"/>
            <w:gridSpan w:val="2"/>
            <w:tcBorders>
              <w:top w:val="single" w:color="auto" w:sz="4" w:space="0"/>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3173" w:type="dxa"/>
            <w:gridSpan w:val="2"/>
            <w:tcBorders>
              <w:top w:val="single" w:color="auto" w:sz="4" w:space="0"/>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二十一、国有资本经营预算支出</w:t>
            </w:r>
          </w:p>
        </w:tc>
        <w:tc>
          <w:tcPr>
            <w:tcW w:w="623" w:type="dxa"/>
            <w:tcBorders>
              <w:top w:val="single" w:color="auto" w:sz="4" w:space="0"/>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52</w:t>
            </w:r>
          </w:p>
        </w:tc>
        <w:tc>
          <w:tcPr>
            <w:tcW w:w="1931" w:type="dxa"/>
            <w:tcBorders>
              <w:top w:val="single" w:color="auto" w:sz="4" w:space="0"/>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gridAfter w:val="1"/>
          <w:wAfter w:w="35" w:type="dxa"/>
          <w:trHeight w:val="476" w:hRule="atLeast"/>
        </w:trPr>
        <w:tc>
          <w:tcPr>
            <w:tcW w:w="3343" w:type="dxa"/>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22</w:t>
            </w:r>
          </w:p>
        </w:tc>
        <w:tc>
          <w:tcPr>
            <w:tcW w:w="1930"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3173" w:type="dxa"/>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二十二、灾害防治及应急管理支出</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53</w:t>
            </w:r>
          </w:p>
        </w:tc>
        <w:tc>
          <w:tcPr>
            <w:tcW w:w="1931"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gridAfter w:val="1"/>
          <w:wAfter w:w="35" w:type="dxa"/>
          <w:trHeight w:val="476" w:hRule="atLeast"/>
        </w:trPr>
        <w:tc>
          <w:tcPr>
            <w:tcW w:w="3343" w:type="dxa"/>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23</w:t>
            </w:r>
          </w:p>
        </w:tc>
        <w:tc>
          <w:tcPr>
            <w:tcW w:w="1930"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3173" w:type="dxa"/>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二十三、其他支出</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54</w:t>
            </w:r>
          </w:p>
        </w:tc>
        <w:tc>
          <w:tcPr>
            <w:tcW w:w="1931"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gridAfter w:val="1"/>
          <w:wAfter w:w="35" w:type="dxa"/>
          <w:trHeight w:val="476" w:hRule="atLeast"/>
        </w:trPr>
        <w:tc>
          <w:tcPr>
            <w:tcW w:w="3343" w:type="dxa"/>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24</w:t>
            </w:r>
          </w:p>
        </w:tc>
        <w:tc>
          <w:tcPr>
            <w:tcW w:w="1930"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3173" w:type="dxa"/>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二十四、债务还本支出</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55</w:t>
            </w:r>
          </w:p>
        </w:tc>
        <w:tc>
          <w:tcPr>
            <w:tcW w:w="1931"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gridAfter w:val="1"/>
          <w:wAfter w:w="35" w:type="dxa"/>
          <w:trHeight w:val="476" w:hRule="atLeast"/>
        </w:trPr>
        <w:tc>
          <w:tcPr>
            <w:tcW w:w="3343" w:type="dxa"/>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25</w:t>
            </w:r>
          </w:p>
        </w:tc>
        <w:tc>
          <w:tcPr>
            <w:tcW w:w="1930"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3173" w:type="dxa"/>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二十五、债务付息支出</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56</w:t>
            </w:r>
          </w:p>
        </w:tc>
        <w:tc>
          <w:tcPr>
            <w:tcW w:w="1931"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gridAfter w:val="1"/>
          <w:wAfter w:w="35" w:type="dxa"/>
          <w:trHeight w:val="476" w:hRule="atLeast"/>
        </w:trPr>
        <w:tc>
          <w:tcPr>
            <w:tcW w:w="3343" w:type="dxa"/>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26</w:t>
            </w:r>
          </w:p>
        </w:tc>
        <w:tc>
          <w:tcPr>
            <w:tcW w:w="1930"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3173" w:type="dxa"/>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二十六、抗疫特别国债安排的支出</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57</w:t>
            </w:r>
          </w:p>
        </w:tc>
        <w:tc>
          <w:tcPr>
            <w:tcW w:w="1931"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gridAfter w:val="1"/>
          <w:wAfter w:w="35" w:type="dxa"/>
          <w:trHeight w:val="476" w:hRule="atLeast"/>
        </w:trPr>
        <w:tc>
          <w:tcPr>
            <w:tcW w:w="3343" w:type="dxa"/>
            <w:tcBorders>
              <w:top w:val="nil"/>
              <w:left w:val="single" w:color="000000" w:sz="4" w:space="0"/>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lang w:bidi="ar"/>
              </w:rPr>
              <w:t>本年收入合计</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27</w:t>
            </w:r>
          </w:p>
        </w:tc>
        <w:tc>
          <w:tcPr>
            <w:tcW w:w="1930"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1,780.82</w:t>
            </w:r>
          </w:p>
        </w:tc>
        <w:tc>
          <w:tcPr>
            <w:tcW w:w="3173" w:type="dxa"/>
            <w:gridSpan w:val="2"/>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lang w:bidi="ar"/>
              </w:rPr>
              <w:t>本年支出合计</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58</w:t>
            </w:r>
          </w:p>
        </w:tc>
        <w:tc>
          <w:tcPr>
            <w:tcW w:w="1931"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1,780.82</w:t>
            </w:r>
          </w:p>
        </w:tc>
      </w:tr>
      <w:tr>
        <w:tblPrEx>
          <w:tblLayout w:type="fixed"/>
          <w:tblCellMar>
            <w:top w:w="0" w:type="dxa"/>
            <w:left w:w="108" w:type="dxa"/>
            <w:bottom w:w="0" w:type="dxa"/>
            <w:right w:w="108" w:type="dxa"/>
          </w:tblCellMar>
        </w:tblPrEx>
        <w:trPr>
          <w:gridAfter w:val="1"/>
          <w:wAfter w:w="35" w:type="dxa"/>
          <w:trHeight w:val="476" w:hRule="atLeast"/>
        </w:trPr>
        <w:tc>
          <w:tcPr>
            <w:tcW w:w="3343" w:type="dxa"/>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使用非财政拨款结余（含专用结余）</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28</w:t>
            </w:r>
          </w:p>
        </w:tc>
        <w:tc>
          <w:tcPr>
            <w:tcW w:w="1930"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3173" w:type="dxa"/>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结余分配</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59</w:t>
            </w:r>
          </w:p>
        </w:tc>
        <w:tc>
          <w:tcPr>
            <w:tcW w:w="1931"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gridAfter w:val="1"/>
          <w:wAfter w:w="35" w:type="dxa"/>
          <w:trHeight w:val="476" w:hRule="atLeast"/>
        </w:trPr>
        <w:tc>
          <w:tcPr>
            <w:tcW w:w="3343" w:type="dxa"/>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年初结转和结余</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29</w:t>
            </w:r>
          </w:p>
        </w:tc>
        <w:tc>
          <w:tcPr>
            <w:tcW w:w="1930"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3173" w:type="dxa"/>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年末结转和结余</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60</w:t>
            </w:r>
          </w:p>
        </w:tc>
        <w:tc>
          <w:tcPr>
            <w:tcW w:w="1931"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gridAfter w:val="1"/>
          <w:wAfter w:w="35" w:type="dxa"/>
          <w:trHeight w:val="476" w:hRule="atLeast"/>
        </w:trPr>
        <w:tc>
          <w:tcPr>
            <w:tcW w:w="3343" w:type="dxa"/>
            <w:tcBorders>
              <w:top w:val="nil"/>
              <w:left w:val="single" w:color="000000" w:sz="4" w:space="0"/>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b/>
                <w:bCs/>
                <w:color w:val="000000"/>
                <w:sz w:val="20"/>
                <w:szCs w:val="20"/>
                <w:lang w:bidi="ar"/>
              </w:rPr>
            </w:pP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lang w:bidi="ar"/>
              </w:rPr>
            </w:pPr>
            <w:r>
              <w:rPr>
                <w:rFonts w:ascii="Times New Roman" w:hAnsi="Times New Roman" w:eastAsia="宋体" w:cs="Times New Roman"/>
                <w:color w:val="000000"/>
                <w:sz w:val="20"/>
                <w:szCs w:val="20"/>
                <w:lang w:bidi="ar"/>
              </w:rPr>
              <w:t>30</w:t>
            </w:r>
          </w:p>
        </w:tc>
        <w:tc>
          <w:tcPr>
            <w:tcW w:w="1930"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3173" w:type="dxa"/>
            <w:gridSpan w:val="2"/>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b/>
                <w:bCs/>
                <w:color w:val="000000"/>
                <w:sz w:val="20"/>
                <w:szCs w:val="20"/>
                <w:lang w:bidi="ar"/>
              </w:rPr>
            </w:pP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lang w:bidi="ar"/>
              </w:rPr>
            </w:pPr>
            <w:r>
              <w:rPr>
                <w:rFonts w:ascii="Times New Roman" w:hAnsi="Times New Roman" w:eastAsia="宋体" w:cs="Times New Roman"/>
                <w:color w:val="000000"/>
                <w:sz w:val="20"/>
                <w:szCs w:val="20"/>
                <w:lang w:bidi="ar"/>
              </w:rPr>
              <w:t>61</w:t>
            </w:r>
          </w:p>
        </w:tc>
        <w:tc>
          <w:tcPr>
            <w:tcW w:w="1931"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gridAfter w:val="1"/>
          <w:wAfter w:w="35" w:type="dxa"/>
          <w:trHeight w:val="308" w:hRule="atLeast"/>
        </w:trPr>
        <w:tc>
          <w:tcPr>
            <w:tcW w:w="3343" w:type="dxa"/>
            <w:tcBorders>
              <w:top w:val="nil"/>
              <w:left w:val="single" w:color="000000" w:sz="4" w:space="0"/>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lang w:bidi="ar"/>
              </w:rPr>
              <w:t>总计</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31</w:t>
            </w:r>
          </w:p>
        </w:tc>
        <w:tc>
          <w:tcPr>
            <w:tcW w:w="1930"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1,780.82</w:t>
            </w:r>
          </w:p>
        </w:tc>
        <w:tc>
          <w:tcPr>
            <w:tcW w:w="3173" w:type="dxa"/>
            <w:gridSpan w:val="2"/>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lang w:bidi="ar"/>
              </w:rPr>
              <w:t>总计</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62</w:t>
            </w:r>
          </w:p>
        </w:tc>
        <w:tc>
          <w:tcPr>
            <w:tcW w:w="1931"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1,780.82</w:t>
            </w:r>
          </w:p>
        </w:tc>
      </w:tr>
      <w:tr>
        <w:tblPrEx>
          <w:tblLayout w:type="fixed"/>
          <w:tblCellMar>
            <w:top w:w="0" w:type="dxa"/>
            <w:left w:w="108" w:type="dxa"/>
            <w:bottom w:w="0" w:type="dxa"/>
            <w:right w:w="108" w:type="dxa"/>
          </w:tblCellMar>
        </w:tblPrEx>
        <w:trPr>
          <w:trHeight w:val="308" w:hRule="atLeast"/>
        </w:trPr>
        <w:tc>
          <w:tcPr>
            <w:tcW w:w="11658" w:type="dxa"/>
            <w:gridSpan w:val="9"/>
            <w:tcBorders>
              <w:top w:val="nil"/>
              <w:left w:val="nil"/>
              <w:bottom w:val="nil"/>
              <w:right w:val="nil"/>
            </w:tcBorders>
            <w:noWrap/>
            <w:vAlign w:val="center"/>
          </w:tcPr>
          <w:p>
            <w:pPr>
              <w:widowControl/>
              <w:jc w:val="left"/>
              <w:textAlignment w:val="center"/>
              <w:rPr>
                <w:rFonts w:ascii="方正仿宋_GB2312" w:hAnsi="方正仿宋_GB2312" w:eastAsia="方正仿宋_GB2312" w:cs="方正仿宋_GB2312"/>
                <w:color w:val="000000"/>
                <w:sz w:val="20"/>
                <w:szCs w:val="20"/>
                <w:lang w:bidi="ar"/>
              </w:rPr>
            </w:pPr>
            <w:r>
              <w:rPr>
                <w:rFonts w:hint="eastAsia" w:ascii="方正仿宋_GB2312" w:hAnsi="方正仿宋_GB2312" w:eastAsia="方正仿宋_GB2312" w:cs="方正仿宋_GB2312"/>
                <w:color w:val="000000"/>
                <w:sz w:val="20"/>
                <w:szCs w:val="20"/>
                <w:lang w:bidi="ar"/>
              </w:rPr>
              <w:t>注：1.本表反映部门本年度的总收支和年末结转结余情况。</w:t>
            </w:r>
          </w:p>
          <w:p>
            <w:pPr>
              <w:widowControl/>
              <w:ind w:firstLine="400" w:firstLineChars="200"/>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2.本套报表金额转换时可能存在尾数误差。</w:t>
            </w:r>
          </w:p>
        </w:tc>
      </w:tr>
    </w:tbl>
    <w:p>
      <w:pPr>
        <w:rPr>
          <w:rFonts w:ascii="仿宋_GB2312" w:hAnsi="宋体" w:eastAsia="仿宋_GB2312"/>
          <w:b/>
          <w:sz w:val="32"/>
          <w:szCs w:val="32"/>
        </w:rPr>
      </w:pPr>
    </w:p>
    <w:p>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9230" w:type="dxa"/>
        <w:jc w:val="center"/>
        <w:tblInd w:w="0" w:type="dxa"/>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tblPrEx>
          <w:tblLayout w:type="fixed"/>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收入决算表</w:t>
            </w:r>
          </w:p>
        </w:tc>
      </w:tr>
      <w:tr>
        <w:tblPrEx>
          <w:tblLayout w:type="fixed"/>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公开</w:t>
            </w:r>
            <w:r>
              <w:rPr>
                <w:rFonts w:hint="eastAsia" w:ascii="Times New Roman" w:hAnsi="Times New Roman" w:eastAsia="宋体" w:cs="Times New Roman"/>
                <w:color w:val="000000"/>
                <w:sz w:val="20"/>
                <w:szCs w:val="20"/>
              </w:rPr>
              <w:t>02</w:t>
            </w:r>
            <w:r>
              <w:rPr>
                <w:rFonts w:hint="eastAsia" w:ascii="方正仿宋_GB2312" w:hAnsi="方正仿宋_GB2312" w:eastAsia="方正仿宋_GB2312" w:cs="方正仿宋_GB2312"/>
                <w:color w:val="000000"/>
                <w:sz w:val="20"/>
                <w:szCs w:val="20"/>
                <w:lang w:bidi="ar"/>
              </w:rPr>
              <w:t>表</w:t>
            </w:r>
          </w:p>
        </w:tc>
      </w:tr>
      <w:tr>
        <w:tblPrEx>
          <w:tblLayout w:type="fixed"/>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pP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 xml:space="preserve">部门（单位）：赞皇县人民法院（本级）                                                                                                         </w:t>
            </w:r>
          </w:p>
        </w:tc>
        <w:tc>
          <w:tcPr>
            <w:tcW w:w="3405" w:type="dxa"/>
            <w:gridSpan w:val="4"/>
            <w:tcBorders>
              <w:top w:val="nil"/>
              <w:left w:val="nil"/>
              <w:bottom w:val="single" w:color="auto" w:sz="4" w:space="0"/>
              <w:right w:val="nil"/>
            </w:tcBorders>
            <w:noWrap/>
            <w:vAlign w:val="bottom"/>
          </w:tcPr>
          <w:p>
            <w:pPr>
              <w:jc w:val="center"/>
              <w:rPr>
                <w:rFonts w:ascii="方正仿宋_GB2312" w:hAnsi="方正仿宋_GB2312" w:eastAsia="方正仿宋_GB2312" w:cs="方正仿宋_GB2312"/>
                <w:color w:val="000000"/>
                <w:sz w:val="20"/>
                <w:szCs w:val="20"/>
                <w:lang w:bidi="ar"/>
              </w:rPr>
            </w:pPr>
            <w:r>
              <w:rPr>
                <w:rFonts w:ascii="Times New Roman" w:hAnsi="Times New Roman" w:eastAsia="方正仿宋_GB2312" w:cs="Times New Roman"/>
                <w:color w:val="000000"/>
                <w:sz w:val="20"/>
                <w:szCs w:val="20"/>
              </w:rPr>
              <w:t>202</w:t>
            </w:r>
            <w:r>
              <w:rPr>
                <w:rFonts w:hint="eastAsia" w:ascii="Times New Roman" w:hAnsi="Times New Roman" w:eastAsia="方正仿宋_GB2312" w:cs="Times New Roman"/>
                <w:color w:val="000000"/>
                <w:sz w:val="20"/>
                <w:szCs w:val="20"/>
              </w:rPr>
              <w:t>4</w:t>
            </w:r>
            <w:r>
              <w:rPr>
                <w:rFonts w:hint="eastAsia" w:ascii="方正仿宋_GB2312" w:hAnsi="方正仿宋_GB2312" w:eastAsia="方正仿宋_GB2312" w:cs="方正仿宋_GB2312"/>
                <w:color w:val="000000"/>
                <w:sz w:val="20"/>
                <w:szCs w:val="20"/>
                <w:lang w:bidi="ar"/>
              </w:rPr>
              <w:t>年度</w:t>
            </w:r>
          </w:p>
        </w:tc>
        <w:tc>
          <w:tcPr>
            <w:tcW w:w="2588" w:type="dxa"/>
            <w:gridSpan w:val="3"/>
            <w:tcBorders>
              <w:top w:val="nil"/>
              <w:left w:val="nil"/>
              <w:bottom w:val="single" w:color="auto" w:sz="4" w:space="0"/>
              <w:right w:val="nil"/>
            </w:tcBorders>
            <w:noWrap/>
            <w:vAlign w:val="bottom"/>
          </w:tcPr>
          <w:p>
            <w:pPr>
              <w:jc w:val="right"/>
              <w:rPr>
                <w:rFonts w:ascii="方正仿宋_GB2312" w:hAnsi="方正仿宋_GB2312" w:eastAsia="方正仿宋_GB2312" w:cs="方正仿宋_GB2312"/>
                <w:color w:val="000000"/>
                <w:sz w:val="20"/>
                <w:szCs w:val="20"/>
                <w:lang w:bidi="ar"/>
              </w:rPr>
            </w:pPr>
            <w:r>
              <w:rPr>
                <w:rFonts w:hint="eastAsia" w:ascii="方正仿宋_GB2312" w:hAnsi="方正仿宋_GB2312" w:eastAsia="方正仿宋_GB2312" w:cs="方正仿宋_GB2312"/>
                <w:color w:val="000000"/>
                <w:sz w:val="20"/>
                <w:szCs w:val="20"/>
                <w:lang w:bidi="ar"/>
              </w:rPr>
              <w:t>金额单位：万元</w:t>
            </w:r>
          </w:p>
        </w:tc>
      </w:tr>
      <w:tr>
        <w:tblPrEx>
          <w:tblLayout w:type="fixed"/>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项目</w:t>
            </w:r>
          </w:p>
        </w:tc>
        <w:tc>
          <w:tcPr>
            <w:tcW w:w="1037"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本年收入合计</w:t>
            </w:r>
          </w:p>
        </w:tc>
        <w:tc>
          <w:tcPr>
            <w:tcW w:w="1037"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财政拨款收入</w:t>
            </w:r>
          </w:p>
        </w:tc>
        <w:tc>
          <w:tcPr>
            <w:tcW w:w="1037"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上级补助收入</w:t>
            </w:r>
          </w:p>
        </w:tc>
        <w:tc>
          <w:tcPr>
            <w:tcW w:w="964" w:type="dxa"/>
            <w:vMerge w:val="restart"/>
            <w:tcBorders>
              <w:top w:val="single" w:color="auto" w:sz="4" w:space="0"/>
              <w:left w:val="nil"/>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事业收入</w:t>
            </w:r>
          </w:p>
        </w:tc>
        <w:tc>
          <w:tcPr>
            <w:tcW w:w="964" w:type="dxa"/>
            <w:gridSpan w:val="2"/>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经营收入</w:t>
            </w:r>
          </w:p>
        </w:tc>
        <w:tc>
          <w:tcPr>
            <w:tcW w:w="1027"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附属单位上缴收入</w:t>
            </w:r>
          </w:p>
        </w:tc>
        <w:tc>
          <w:tcPr>
            <w:tcW w:w="964"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其他收入</w:t>
            </w:r>
          </w:p>
        </w:tc>
      </w:tr>
      <w:tr>
        <w:tblPrEx>
          <w:tblLayout w:type="fixed"/>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1160" w:type="dxa"/>
            <w:vMerge w:val="restart"/>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科目名称</w:t>
            </w: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964" w:type="dxa"/>
            <w:vMerge w:val="continue"/>
            <w:tcBorders>
              <w:left w:val="nil"/>
              <w:right w:val="single" w:color="000000" w:sz="4" w:space="0"/>
            </w:tcBorders>
            <w:vAlign w:val="center"/>
          </w:tcPr>
          <w:p>
            <w:pPr>
              <w:widowControl/>
              <w:jc w:val="center"/>
              <w:textAlignment w:val="center"/>
              <w:rPr>
                <w:rFonts w:ascii="宋体" w:hAnsi="宋体" w:eastAsia="宋体"/>
                <w:color w:val="000000"/>
                <w:sz w:val="20"/>
                <w:szCs w:val="20"/>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1027"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964"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r>
      <w:tr>
        <w:tblPrEx>
          <w:tblLayout w:type="fixed"/>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1160" w:type="dxa"/>
            <w:vMerge w:val="continue"/>
            <w:tcBorders>
              <w:top w:val="nil"/>
              <w:left w:val="nil"/>
              <w:bottom w:val="single" w:color="000000" w:sz="4" w:space="0"/>
              <w:right w:val="single" w:color="000000" w:sz="4" w:space="0"/>
            </w:tcBorders>
            <w:noWrap/>
            <w:vAlign w:val="center"/>
          </w:tcPr>
          <w:p>
            <w:pPr>
              <w:jc w:val="center"/>
              <w:rPr>
                <w:rFonts w:ascii="方正仿宋_GB2312" w:hAnsi="方正仿宋_GB2312" w:eastAsia="方正仿宋_GB2312" w:cs="方正仿宋_GB2312"/>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964" w:type="dxa"/>
            <w:vMerge w:val="continue"/>
            <w:tcBorders>
              <w:left w:val="nil"/>
              <w:right w:val="single" w:color="000000" w:sz="4" w:space="0"/>
            </w:tcBorders>
            <w:vAlign w:val="center"/>
          </w:tcPr>
          <w:p>
            <w:pPr>
              <w:jc w:val="center"/>
              <w:rPr>
                <w:rFonts w:ascii="宋体" w:hAnsi="宋体" w:eastAsia="宋体"/>
                <w:color w:val="000000"/>
                <w:sz w:val="20"/>
                <w:szCs w:val="20"/>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1027"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964"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r>
      <w:tr>
        <w:tblPrEx>
          <w:tblLayout w:type="fixed"/>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1160" w:type="dxa"/>
            <w:vMerge w:val="continue"/>
            <w:tcBorders>
              <w:top w:val="nil"/>
              <w:left w:val="nil"/>
              <w:bottom w:val="single" w:color="000000" w:sz="4" w:space="0"/>
              <w:right w:val="single" w:color="000000" w:sz="4" w:space="0"/>
            </w:tcBorders>
            <w:noWrap/>
            <w:vAlign w:val="center"/>
          </w:tcPr>
          <w:p>
            <w:pPr>
              <w:jc w:val="center"/>
              <w:rPr>
                <w:rFonts w:ascii="方正仿宋_GB2312" w:hAnsi="方正仿宋_GB2312" w:eastAsia="方正仿宋_GB2312" w:cs="方正仿宋_GB2312"/>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964" w:type="dxa"/>
            <w:vMerge w:val="continue"/>
            <w:tcBorders>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1027"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964"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r>
      <w:tr>
        <w:tblPrEx>
          <w:tblLayout w:type="fixed"/>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栏次</w:t>
            </w:r>
          </w:p>
        </w:tc>
        <w:tc>
          <w:tcPr>
            <w:tcW w:w="1037" w:type="dxa"/>
            <w:tcBorders>
              <w:top w:val="nil"/>
              <w:left w:val="nil"/>
              <w:bottom w:val="single" w:color="000000" w:sz="4" w:space="0"/>
              <w:right w:val="single" w:color="000000" w:sz="4" w:space="0"/>
            </w:tcBorders>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1</w:t>
            </w:r>
          </w:p>
        </w:tc>
        <w:tc>
          <w:tcPr>
            <w:tcW w:w="1037" w:type="dxa"/>
            <w:tcBorders>
              <w:top w:val="nil"/>
              <w:left w:val="nil"/>
              <w:bottom w:val="single" w:color="000000" w:sz="4" w:space="0"/>
              <w:right w:val="single" w:color="000000" w:sz="4" w:space="0"/>
            </w:tcBorders>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2</w:t>
            </w:r>
          </w:p>
        </w:tc>
        <w:tc>
          <w:tcPr>
            <w:tcW w:w="1037" w:type="dxa"/>
            <w:tcBorders>
              <w:top w:val="nil"/>
              <w:left w:val="nil"/>
              <w:bottom w:val="single" w:color="000000" w:sz="4" w:space="0"/>
              <w:right w:val="single" w:color="000000" w:sz="4" w:space="0"/>
            </w:tcBorders>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3</w:t>
            </w:r>
          </w:p>
        </w:tc>
        <w:tc>
          <w:tcPr>
            <w:tcW w:w="964" w:type="dxa"/>
            <w:tcBorders>
              <w:top w:val="nil"/>
              <w:left w:val="nil"/>
              <w:bottom w:val="single" w:color="000000" w:sz="4" w:space="0"/>
              <w:right w:val="single" w:color="000000" w:sz="4" w:space="0"/>
            </w:tcBorders>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4</w:t>
            </w:r>
          </w:p>
        </w:tc>
        <w:tc>
          <w:tcPr>
            <w:tcW w:w="964" w:type="dxa"/>
            <w:gridSpan w:val="2"/>
            <w:tcBorders>
              <w:top w:val="nil"/>
              <w:left w:val="nil"/>
              <w:bottom w:val="single" w:color="000000" w:sz="4" w:space="0"/>
              <w:right w:val="single" w:color="000000" w:sz="4" w:space="0"/>
            </w:tcBorders>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5</w:t>
            </w:r>
          </w:p>
        </w:tc>
        <w:tc>
          <w:tcPr>
            <w:tcW w:w="1027" w:type="dxa"/>
            <w:tcBorders>
              <w:top w:val="nil"/>
              <w:left w:val="nil"/>
              <w:bottom w:val="single" w:color="000000" w:sz="4" w:space="0"/>
              <w:right w:val="single" w:color="000000" w:sz="4" w:space="0"/>
            </w:tcBorders>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6</w:t>
            </w:r>
          </w:p>
        </w:tc>
        <w:tc>
          <w:tcPr>
            <w:tcW w:w="964" w:type="dxa"/>
            <w:tcBorders>
              <w:top w:val="nil"/>
              <w:left w:val="nil"/>
              <w:bottom w:val="single" w:color="000000" w:sz="4" w:space="0"/>
              <w:right w:val="single" w:color="000000" w:sz="4" w:space="0"/>
            </w:tcBorders>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7</w:t>
            </w:r>
          </w:p>
        </w:tc>
      </w:tr>
      <w:tr>
        <w:tblPrEx>
          <w:tblLayout w:type="fixed"/>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合计</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1,780.82</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1,780.82</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204</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公共安全支出</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1,552.00</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1,552.00</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20405</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法院</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1,552.00</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1,552.00</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2040501</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行政运行</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691.39</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691.39</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2040502</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一般行政管理事务</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550.13</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550.13</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2040599</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其他法院支出</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310.48</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310.48</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社会保障和就业支出</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110.10</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110.10</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20805</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行政事业单位养老支出</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110.10</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110.10</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2080501</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行政单位离退休</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54.64</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54.64</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2080505</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机关事业单位基本养老保险缴费支出</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55.46</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55.46</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210</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卫生健康支出</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54.95</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54.95</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21011</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行政事业单位医疗</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54.95</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54.95</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2101102</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事业单位医疗</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28.83</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28.83</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2101103</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公务员医疗补助</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26.12</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26.12</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221</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住房保障支出</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63.77</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63.77</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22102</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住房改革支出</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63.77</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63.77</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2210201</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住房公积金</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63.77</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63.77</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pPr>
              <w:widowControl/>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注：本表反映部门本年度取得的各项收入情况。</w:t>
            </w:r>
          </w:p>
        </w:tc>
      </w:tr>
    </w:tbl>
    <w:p>
      <w:pPr>
        <w:rPr>
          <w:rFonts w:ascii="仿宋_GB2312" w:hAnsi="宋体" w:eastAsia="仿宋_GB2312"/>
          <w:b/>
          <w:sz w:val="32"/>
          <w:szCs w:val="32"/>
        </w:rPr>
      </w:pPr>
    </w:p>
    <w:p>
      <w:pPr>
        <w:rPr>
          <w:rFonts w:ascii="黑体" w:hAnsi="黑体" w:eastAsia="黑体"/>
          <w:bCs/>
          <w:sz w:val="32"/>
          <w:szCs w:val="32"/>
        </w:rPr>
      </w:pPr>
      <w:r>
        <w:rPr>
          <w:rFonts w:hint="eastAsia" w:ascii="仿宋_GB2312" w:hAnsi="宋体" w:eastAsia="仿宋_GB2312"/>
          <w:b/>
          <w:sz w:val="32"/>
          <w:szCs w:val="32"/>
        </w:rPr>
        <w:br w:type="page"/>
      </w:r>
    </w:p>
    <w:tbl>
      <w:tblPr>
        <w:tblStyle w:val="11"/>
        <w:tblW w:w="9346" w:type="dxa"/>
        <w:jc w:val="center"/>
        <w:tblInd w:w="0" w:type="dxa"/>
        <w:tblLayout w:type="fixed"/>
        <w:tblCellMar>
          <w:top w:w="0" w:type="dxa"/>
          <w:left w:w="108" w:type="dxa"/>
          <w:bottom w:w="0" w:type="dxa"/>
          <w:right w:w="108" w:type="dxa"/>
        </w:tblCellMar>
      </w:tblPr>
      <w:tblGrid>
        <w:gridCol w:w="1040"/>
        <w:gridCol w:w="1187"/>
        <w:gridCol w:w="1127"/>
        <w:gridCol w:w="127"/>
        <w:gridCol w:w="998"/>
        <w:gridCol w:w="1125"/>
        <w:gridCol w:w="499"/>
        <w:gridCol w:w="626"/>
        <w:gridCol w:w="1125"/>
        <w:gridCol w:w="1492"/>
      </w:tblGrid>
      <w:tr>
        <w:tblPrEx>
          <w:tblLayout w:type="fixed"/>
          <w:tblCellMar>
            <w:top w:w="0" w:type="dxa"/>
            <w:left w:w="108" w:type="dxa"/>
            <w:bottom w:w="0" w:type="dxa"/>
            <w:right w:w="108" w:type="dxa"/>
          </w:tblCellMar>
        </w:tblPrEx>
        <w:trPr>
          <w:trHeight w:val="550" w:hRule="atLeast"/>
          <w:jc w:val="center"/>
        </w:trPr>
        <w:tc>
          <w:tcPr>
            <w:tcW w:w="9346" w:type="dxa"/>
            <w:gridSpan w:val="10"/>
            <w:tcBorders>
              <w:top w:val="nil"/>
              <w:left w:val="nil"/>
              <w:bottom w:val="nil"/>
              <w:right w:val="nil"/>
            </w:tcBorders>
            <w:noWrap/>
            <w:vAlign w:val="bottom"/>
          </w:tcPr>
          <w:p>
            <w:pPr>
              <w:jc w:val="center"/>
              <w:outlineLvl w:val="1"/>
              <w:rPr>
                <w:rFonts w:ascii="宋体" w:hAnsi="宋体" w:eastAsia="宋体"/>
                <w:color w:val="000000"/>
                <w:sz w:val="20"/>
                <w:szCs w:val="20"/>
              </w:rPr>
            </w:pPr>
            <w:r>
              <w:rPr>
                <w:rFonts w:hint="eastAsia" w:ascii="方正仿宋_GB2312" w:hAnsi="方正仿宋_GB2312" w:eastAsia="方正仿宋_GB2312" w:cs="方正仿宋_GB2312"/>
                <w:bCs/>
                <w:sz w:val="32"/>
                <w:szCs w:val="32"/>
              </w:rPr>
              <w:br w:type="page"/>
            </w:r>
            <w:r>
              <w:rPr>
                <w:rFonts w:hint="eastAsia" w:ascii="方正仿宋_GB2312" w:hAnsi="方正仿宋_GB2312" w:eastAsia="方正仿宋_GB2312" w:cs="方正仿宋_GB2312"/>
                <w:bCs/>
                <w:sz w:val="32"/>
                <w:szCs w:val="32"/>
              </w:rPr>
              <w:t>支出决算表</w:t>
            </w:r>
          </w:p>
        </w:tc>
      </w:tr>
      <w:tr>
        <w:tblPrEx>
          <w:tblLayout w:type="fixed"/>
          <w:tblCellMar>
            <w:top w:w="0" w:type="dxa"/>
            <w:left w:w="108" w:type="dxa"/>
            <w:bottom w:w="0" w:type="dxa"/>
            <w:right w:w="108" w:type="dxa"/>
          </w:tblCellMar>
        </w:tblPrEx>
        <w:trPr>
          <w:trHeight w:val="300" w:hRule="atLeast"/>
          <w:jc w:val="center"/>
        </w:trPr>
        <w:tc>
          <w:tcPr>
            <w:tcW w:w="9346" w:type="dxa"/>
            <w:gridSpan w:val="10"/>
            <w:tcBorders>
              <w:top w:val="nil"/>
              <w:left w:val="nil"/>
              <w:bottom w:val="nil"/>
              <w:right w:val="nil"/>
            </w:tcBorders>
            <w:noWrap/>
            <w:vAlign w:val="bottom"/>
          </w:tcPr>
          <w:p>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公开</w:t>
            </w:r>
            <w:r>
              <w:rPr>
                <w:rFonts w:ascii="Times New Roman" w:hAnsi="Times New Roman" w:eastAsia="宋体" w:cs="Times New Roman"/>
                <w:color w:val="000000"/>
                <w:sz w:val="20"/>
                <w:szCs w:val="20"/>
                <w:lang w:bidi="ar"/>
              </w:rPr>
              <w:t>03</w:t>
            </w:r>
            <w:r>
              <w:rPr>
                <w:rFonts w:hint="eastAsia" w:ascii="方正仿宋_GB2312" w:hAnsi="方正仿宋_GB2312" w:eastAsia="方正仿宋_GB2312" w:cs="方正仿宋_GB2312"/>
                <w:color w:val="000000"/>
                <w:sz w:val="20"/>
                <w:szCs w:val="20"/>
                <w:lang w:bidi="ar"/>
              </w:rPr>
              <w:t>表</w:t>
            </w:r>
          </w:p>
        </w:tc>
      </w:tr>
      <w:tr>
        <w:tblPrEx>
          <w:tblLayout w:type="fixed"/>
          <w:tblCellMar>
            <w:top w:w="0" w:type="dxa"/>
            <w:left w:w="108" w:type="dxa"/>
            <w:bottom w:w="0" w:type="dxa"/>
            <w:right w:w="108" w:type="dxa"/>
          </w:tblCellMar>
        </w:tblPrEx>
        <w:trPr>
          <w:trHeight w:val="300" w:hRule="atLeast"/>
          <w:jc w:val="center"/>
        </w:trPr>
        <w:tc>
          <w:tcPr>
            <w:tcW w:w="3481" w:type="dxa"/>
            <w:gridSpan w:val="4"/>
            <w:tcBorders>
              <w:top w:val="nil"/>
              <w:left w:val="nil"/>
              <w:bottom w:val="single" w:color="auto" w:sz="4" w:space="0"/>
              <w:right w:val="nil"/>
            </w:tcBorders>
            <w:noWrap/>
            <w:vAlign w:val="bottom"/>
          </w:tcPr>
          <w:p>
            <w:pPr>
              <w:widowControl/>
              <w:jc w:val="lef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 xml:space="preserve">部门（单位）：赞皇县人民法院（本级） </w:t>
            </w:r>
            <w:r>
              <w:rPr>
                <w:rFonts w:hint="eastAsia" w:asciiTheme="minorEastAsia" w:hAnsiTheme="minorEastAsia" w:cstheme="minorEastAsia"/>
                <w:color w:val="000000"/>
                <w:sz w:val="20"/>
                <w:szCs w:val="20"/>
                <w:lang w:bidi="ar"/>
              </w:rPr>
              <w:t xml:space="preserve">                                                                                                         </w:t>
            </w:r>
          </w:p>
        </w:tc>
        <w:tc>
          <w:tcPr>
            <w:tcW w:w="2622" w:type="dxa"/>
            <w:gridSpan w:val="3"/>
            <w:tcBorders>
              <w:top w:val="nil"/>
              <w:left w:val="nil"/>
              <w:bottom w:val="single" w:color="auto" w:sz="4" w:space="0"/>
              <w:right w:val="nil"/>
            </w:tcBorders>
            <w:noWrap/>
            <w:vAlign w:val="bottom"/>
          </w:tcPr>
          <w:p>
            <w:pPr>
              <w:widowControl/>
              <w:jc w:val="center"/>
              <w:textAlignment w:val="bottom"/>
              <w:rPr>
                <w:rFonts w:asciiTheme="minorEastAsia" w:hAnsiTheme="minorEastAsia" w:cstheme="minorEastAsia"/>
                <w:color w:val="000000"/>
                <w:sz w:val="20"/>
                <w:szCs w:val="20"/>
                <w:lang w:bidi="ar"/>
              </w:rPr>
            </w:pPr>
            <w:r>
              <w:rPr>
                <w:rFonts w:ascii="Times New Roman" w:hAnsi="Times New Roman" w:cs="Times New Roman"/>
                <w:color w:val="000000"/>
                <w:sz w:val="20"/>
                <w:szCs w:val="20"/>
                <w:lang w:bidi="ar"/>
              </w:rPr>
              <w:t>202</w:t>
            </w:r>
            <w:r>
              <w:rPr>
                <w:rFonts w:hint="eastAsia" w:ascii="Times New Roman" w:hAnsi="Times New Roman" w:cs="Times New Roman"/>
                <w:color w:val="000000"/>
                <w:sz w:val="20"/>
                <w:szCs w:val="20"/>
                <w:lang w:bidi="ar"/>
              </w:rPr>
              <w:t>4</w:t>
            </w:r>
            <w:r>
              <w:rPr>
                <w:rFonts w:hint="eastAsia" w:ascii="方正仿宋_GB2312" w:hAnsi="方正仿宋_GB2312" w:eastAsia="方正仿宋_GB2312" w:cs="方正仿宋_GB2312"/>
                <w:color w:val="000000"/>
                <w:sz w:val="20"/>
                <w:szCs w:val="20"/>
                <w:lang w:bidi="ar"/>
              </w:rPr>
              <w:t>年度</w:t>
            </w:r>
          </w:p>
        </w:tc>
        <w:tc>
          <w:tcPr>
            <w:tcW w:w="3243" w:type="dxa"/>
            <w:gridSpan w:val="3"/>
            <w:tcBorders>
              <w:top w:val="nil"/>
              <w:left w:val="nil"/>
              <w:bottom w:val="single" w:color="auto" w:sz="4" w:space="0"/>
              <w:right w:val="nil"/>
            </w:tcBorders>
            <w:noWrap/>
            <w:vAlign w:val="bottom"/>
          </w:tcPr>
          <w:p>
            <w:pPr>
              <w:widowControl/>
              <w:jc w:val="right"/>
              <w:textAlignment w:val="bottom"/>
              <w:rPr>
                <w:rFonts w:asciiTheme="minorEastAsia" w:hAnsiTheme="minorEastAsia" w:cstheme="minorEastAsia"/>
                <w:color w:val="000000"/>
                <w:sz w:val="20"/>
                <w:szCs w:val="20"/>
                <w:lang w:bidi="ar"/>
              </w:rPr>
            </w:pPr>
            <w:r>
              <w:rPr>
                <w:rFonts w:hint="eastAsia" w:ascii="方正仿宋_GB2312" w:hAnsi="方正仿宋_GB2312" w:eastAsia="方正仿宋_GB2312" w:cs="方正仿宋_GB2312"/>
                <w:color w:val="000000"/>
                <w:sz w:val="20"/>
                <w:szCs w:val="20"/>
                <w:lang w:bidi="ar"/>
              </w:rPr>
              <w:t xml:space="preserve"> 金额单位：万元</w:t>
            </w:r>
          </w:p>
        </w:tc>
      </w:tr>
      <w:tr>
        <w:tblPrEx>
          <w:tblLayout w:type="fixed"/>
          <w:tblCellMar>
            <w:top w:w="0" w:type="dxa"/>
            <w:left w:w="108" w:type="dxa"/>
            <w:bottom w:w="0" w:type="dxa"/>
            <w:right w:w="108" w:type="dxa"/>
          </w:tblCellMar>
        </w:tblPrEx>
        <w:trPr>
          <w:trHeight w:val="510" w:hRule="atLeast"/>
          <w:jc w:val="center"/>
        </w:trPr>
        <w:tc>
          <w:tcPr>
            <w:tcW w:w="2227" w:type="dxa"/>
            <w:gridSpan w:val="2"/>
            <w:tcBorders>
              <w:top w:val="single" w:color="auto" w:sz="4" w:space="0"/>
              <w:left w:val="single" w:color="000000" w:sz="4" w:space="0"/>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项目</w:t>
            </w:r>
          </w:p>
        </w:tc>
        <w:tc>
          <w:tcPr>
            <w:tcW w:w="1127"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本年支出合计</w:t>
            </w:r>
          </w:p>
        </w:tc>
        <w:tc>
          <w:tcPr>
            <w:tcW w:w="1125" w:type="dxa"/>
            <w:gridSpan w:val="2"/>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基本支出</w:t>
            </w:r>
          </w:p>
        </w:tc>
        <w:tc>
          <w:tcPr>
            <w:tcW w:w="1125"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项目支出</w:t>
            </w:r>
          </w:p>
        </w:tc>
        <w:tc>
          <w:tcPr>
            <w:tcW w:w="1125" w:type="dxa"/>
            <w:gridSpan w:val="2"/>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上缴上级支出</w:t>
            </w:r>
          </w:p>
        </w:tc>
        <w:tc>
          <w:tcPr>
            <w:tcW w:w="1125"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经营支出</w:t>
            </w:r>
          </w:p>
        </w:tc>
        <w:tc>
          <w:tcPr>
            <w:tcW w:w="1492"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对附属单位补助支出</w:t>
            </w:r>
          </w:p>
        </w:tc>
      </w:tr>
      <w:tr>
        <w:tblPrEx>
          <w:tblLayout w:type="fixed"/>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1187" w:type="dxa"/>
            <w:vMerge w:val="restart"/>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科目名称</w:t>
            </w:r>
          </w:p>
        </w:tc>
        <w:tc>
          <w:tcPr>
            <w:tcW w:w="1127"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1125" w:type="dxa"/>
            <w:gridSpan w:val="2"/>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1125"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1125" w:type="dxa"/>
            <w:gridSpan w:val="2"/>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1125"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1492"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r>
      <w:tr>
        <w:tblPrEx>
          <w:tblLayout w:type="fixed"/>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1187" w:type="dxa"/>
            <w:vMerge w:val="continue"/>
            <w:tcBorders>
              <w:top w:val="nil"/>
              <w:left w:val="nil"/>
              <w:bottom w:val="single" w:color="000000" w:sz="4" w:space="0"/>
              <w:right w:val="single" w:color="000000" w:sz="4" w:space="0"/>
            </w:tcBorders>
            <w:noWrap/>
            <w:vAlign w:val="center"/>
          </w:tcPr>
          <w:p>
            <w:pPr>
              <w:jc w:val="center"/>
              <w:rPr>
                <w:rFonts w:ascii="宋体" w:hAnsi="宋体" w:eastAsia="宋体"/>
                <w:color w:val="000000"/>
                <w:sz w:val="20"/>
                <w:szCs w:val="20"/>
              </w:rPr>
            </w:pPr>
          </w:p>
        </w:tc>
        <w:tc>
          <w:tcPr>
            <w:tcW w:w="1127"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1125" w:type="dxa"/>
            <w:gridSpan w:val="2"/>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1125"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1125" w:type="dxa"/>
            <w:gridSpan w:val="2"/>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1125"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1492"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r>
      <w:tr>
        <w:tblPrEx>
          <w:tblLayout w:type="fixed"/>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1187" w:type="dxa"/>
            <w:vMerge w:val="continue"/>
            <w:tcBorders>
              <w:top w:val="nil"/>
              <w:left w:val="nil"/>
              <w:bottom w:val="single" w:color="000000" w:sz="4" w:space="0"/>
              <w:right w:val="single" w:color="000000" w:sz="4" w:space="0"/>
            </w:tcBorders>
            <w:noWrap/>
            <w:vAlign w:val="center"/>
          </w:tcPr>
          <w:p>
            <w:pPr>
              <w:jc w:val="center"/>
              <w:rPr>
                <w:rFonts w:ascii="宋体" w:hAnsi="宋体" w:eastAsia="宋体"/>
                <w:color w:val="000000"/>
                <w:sz w:val="20"/>
                <w:szCs w:val="20"/>
              </w:rPr>
            </w:pPr>
          </w:p>
        </w:tc>
        <w:tc>
          <w:tcPr>
            <w:tcW w:w="1127"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1125" w:type="dxa"/>
            <w:gridSpan w:val="2"/>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1125"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1125" w:type="dxa"/>
            <w:gridSpan w:val="2"/>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1125"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1492"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r>
      <w:tr>
        <w:tblPrEx>
          <w:tblLayout w:type="fixed"/>
          <w:tblCellMar>
            <w:top w:w="0" w:type="dxa"/>
            <w:left w:w="108" w:type="dxa"/>
            <w:bottom w:w="0" w:type="dxa"/>
            <w:right w:w="108" w:type="dxa"/>
          </w:tblCellMar>
        </w:tblPrEx>
        <w:trPr>
          <w:trHeight w:val="454" w:hRule="atLeast"/>
          <w:jc w:val="center"/>
        </w:trPr>
        <w:tc>
          <w:tcPr>
            <w:tcW w:w="2227" w:type="dxa"/>
            <w:gridSpan w:val="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栏次</w:t>
            </w:r>
          </w:p>
        </w:tc>
        <w:tc>
          <w:tcPr>
            <w:tcW w:w="1127"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w:t>
            </w:r>
          </w:p>
        </w:tc>
        <w:tc>
          <w:tcPr>
            <w:tcW w:w="1125"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w:t>
            </w:r>
          </w:p>
        </w:tc>
        <w:tc>
          <w:tcPr>
            <w:tcW w:w="1125"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w:t>
            </w:r>
          </w:p>
        </w:tc>
        <w:tc>
          <w:tcPr>
            <w:tcW w:w="1125"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w:t>
            </w:r>
          </w:p>
        </w:tc>
        <w:tc>
          <w:tcPr>
            <w:tcW w:w="1125"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w:t>
            </w:r>
          </w:p>
        </w:tc>
        <w:tc>
          <w:tcPr>
            <w:tcW w:w="1492"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6</w:t>
            </w:r>
          </w:p>
        </w:tc>
      </w:tr>
      <w:tr>
        <w:tblPrEx>
          <w:tblLayout w:type="fixed"/>
          <w:tblCellMar>
            <w:top w:w="0" w:type="dxa"/>
            <w:left w:w="108" w:type="dxa"/>
            <w:bottom w:w="0" w:type="dxa"/>
            <w:right w:w="108" w:type="dxa"/>
          </w:tblCellMar>
        </w:tblPrEx>
        <w:trPr>
          <w:trHeight w:val="308" w:hRule="atLeast"/>
          <w:jc w:val="center"/>
        </w:trPr>
        <w:tc>
          <w:tcPr>
            <w:tcW w:w="2227" w:type="dxa"/>
            <w:gridSpan w:val="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合计</w:t>
            </w:r>
          </w:p>
        </w:tc>
        <w:tc>
          <w:tcPr>
            <w:tcW w:w="11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1,780.82</w:t>
            </w:r>
          </w:p>
        </w:tc>
        <w:tc>
          <w:tcPr>
            <w:tcW w:w="1125"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920.21</w:t>
            </w:r>
          </w:p>
        </w:tc>
        <w:tc>
          <w:tcPr>
            <w:tcW w:w="1125"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860.61</w:t>
            </w:r>
          </w:p>
        </w:tc>
        <w:tc>
          <w:tcPr>
            <w:tcW w:w="1125"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125"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492"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204</w:t>
            </w:r>
          </w:p>
        </w:tc>
        <w:tc>
          <w:tcPr>
            <w:tcW w:w="1187"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公共安全支出</w:t>
            </w:r>
          </w:p>
        </w:tc>
        <w:tc>
          <w:tcPr>
            <w:tcW w:w="11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1,552.00</w:t>
            </w:r>
          </w:p>
        </w:tc>
        <w:tc>
          <w:tcPr>
            <w:tcW w:w="1125"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691.39</w:t>
            </w:r>
          </w:p>
        </w:tc>
        <w:tc>
          <w:tcPr>
            <w:tcW w:w="1125"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860.61</w:t>
            </w:r>
          </w:p>
        </w:tc>
        <w:tc>
          <w:tcPr>
            <w:tcW w:w="1125"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125"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492"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20405</w:t>
            </w:r>
          </w:p>
        </w:tc>
        <w:tc>
          <w:tcPr>
            <w:tcW w:w="1187"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法院</w:t>
            </w:r>
          </w:p>
        </w:tc>
        <w:tc>
          <w:tcPr>
            <w:tcW w:w="11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1,552.00</w:t>
            </w:r>
          </w:p>
        </w:tc>
        <w:tc>
          <w:tcPr>
            <w:tcW w:w="1125"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691.39</w:t>
            </w:r>
          </w:p>
        </w:tc>
        <w:tc>
          <w:tcPr>
            <w:tcW w:w="1125"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860.61</w:t>
            </w:r>
          </w:p>
        </w:tc>
        <w:tc>
          <w:tcPr>
            <w:tcW w:w="1125"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125"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492"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2040501</w:t>
            </w:r>
          </w:p>
        </w:tc>
        <w:tc>
          <w:tcPr>
            <w:tcW w:w="1187"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行政运行</w:t>
            </w:r>
          </w:p>
        </w:tc>
        <w:tc>
          <w:tcPr>
            <w:tcW w:w="11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691.39</w:t>
            </w:r>
          </w:p>
        </w:tc>
        <w:tc>
          <w:tcPr>
            <w:tcW w:w="1125"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691.39</w:t>
            </w:r>
          </w:p>
        </w:tc>
        <w:tc>
          <w:tcPr>
            <w:tcW w:w="1125"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125"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125"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492"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2040502</w:t>
            </w:r>
          </w:p>
        </w:tc>
        <w:tc>
          <w:tcPr>
            <w:tcW w:w="1187"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一般行政管理事务</w:t>
            </w:r>
          </w:p>
        </w:tc>
        <w:tc>
          <w:tcPr>
            <w:tcW w:w="11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550.13</w:t>
            </w:r>
          </w:p>
        </w:tc>
        <w:tc>
          <w:tcPr>
            <w:tcW w:w="1125"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125"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550.13</w:t>
            </w:r>
          </w:p>
        </w:tc>
        <w:tc>
          <w:tcPr>
            <w:tcW w:w="1125"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125"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492"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2040599</w:t>
            </w:r>
          </w:p>
        </w:tc>
        <w:tc>
          <w:tcPr>
            <w:tcW w:w="1187"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其他法院支出</w:t>
            </w:r>
          </w:p>
        </w:tc>
        <w:tc>
          <w:tcPr>
            <w:tcW w:w="11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310.48</w:t>
            </w:r>
          </w:p>
        </w:tc>
        <w:tc>
          <w:tcPr>
            <w:tcW w:w="1125"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125"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310.48</w:t>
            </w:r>
          </w:p>
        </w:tc>
        <w:tc>
          <w:tcPr>
            <w:tcW w:w="1125"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125"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492"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w:t>
            </w:r>
          </w:p>
        </w:tc>
        <w:tc>
          <w:tcPr>
            <w:tcW w:w="1187"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社会保障和就业支出</w:t>
            </w:r>
          </w:p>
        </w:tc>
        <w:tc>
          <w:tcPr>
            <w:tcW w:w="11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110.10</w:t>
            </w:r>
          </w:p>
        </w:tc>
        <w:tc>
          <w:tcPr>
            <w:tcW w:w="1125"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110.10</w:t>
            </w:r>
          </w:p>
        </w:tc>
        <w:tc>
          <w:tcPr>
            <w:tcW w:w="1125"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125"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125"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492"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w:t>
            </w:r>
          </w:p>
        </w:tc>
        <w:tc>
          <w:tcPr>
            <w:tcW w:w="1187"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行政事业单位养老支出</w:t>
            </w:r>
          </w:p>
        </w:tc>
        <w:tc>
          <w:tcPr>
            <w:tcW w:w="11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110.10</w:t>
            </w:r>
          </w:p>
        </w:tc>
        <w:tc>
          <w:tcPr>
            <w:tcW w:w="1125"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110.10</w:t>
            </w:r>
          </w:p>
        </w:tc>
        <w:tc>
          <w:tcPr>
            <w:tcW w:w="1125"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125"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125"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492"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2080501</w:t>
            </w:r>
          </w:p>
        </w:tc>
        <w:tc>
          <w:tcPr>
            <w:tcW w:w="1187"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行政单位离退休</w:t>
            </w:r>
          </w:p>
        </w:tc>
        <w:tc>
          <w:tcPr>
            <w:tcW w:w="11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54.64</w:t>
            </w:r>
          </w:p>
        </w:tc>
        <w:tc>
          <w:tcPr>
            <w:tcW w:w="1125"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54.64</w:t>
            </w:r>
          </w:p>
        </w:tc>
        <w:tc>
          <w:tcPr>
            <w:tcW w:w="1125"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125"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125"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492"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2080505</w:t>
            </w:r>
          </w:p>
        </w:tc>
        <w:tc>
          <w:tcPr>
            <w:tcW w:w="1187"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机关事业单位基本养老保险缴费支出</w:t>
            </w:r>
          </w:p>
        </w:tc>
        <w:tc>
          <w:tcPr>
            <w:tcW w:w="11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55.46</w:t>
            </w:r>
          </w:p>
        </w:tc>
        <w:tc>
          <w:tcPr>
            <w:tcW w:w="1125"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55.46</w:t>
            </w:r>
          </w:p>
        </w:tc>
        <w:tc>
          <w:tcPr>
            <w:tcW w:w="1125"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125"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125"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492"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w:t>
            </w:r>
          </w:p>
        </w:tc>
        <w:tc>
          <w:tcPr>
            <w:tcW w:w="1187"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卫生健康支出</w:t>
            </w:r>
          </w:p>
        </w:tc>
        <w:tc>
          <w:tcPr>
            <w:tcW w:w="11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54.95</w:t>
            </w:r>
          </w:p>
        </w:tc>
        <w:tc>
          <w:tcPr>
            <w:tcW w:w="1125"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54.95</w:t>
            </w:r>
          </w:p>
        </w:tc>
        <w:tc>
          <w:tcPr>
            <w:tcW w:w="1125"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125"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125"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492"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w:t>
            </w:r>
          </w:p>
        </w:tc>
        <w:tc>
          <w:tcPr>
            <w:tcW w:w="1187"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行政事业单位医疗</w:t>
            </w:r>
          </w:p>
        </w:tc>
        <w:tc>
          <w:tcPr>
            <w:tcW w:w="11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54.95</w:t>
            </w:r>
          </w:p>
        </w:tc>
        <w:tc>
          <w:tcPr>
            <w:tcW w:w="1125"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54.95</w:t>
            </w:r>
          </w:p>
        </w:tc>
        <w:tc>
          <w:tcPr>
            <w:tcW w:w="1125"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125"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125"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492"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2101102</w:t>
            </w:r>
          </w:p>
        </w:tc>
        <w:tc>
          <w:tcPr>
            <w:tcW w:w="1187"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事业单位医疗</w:t>
            </w:r>
          </w:p>
        </w:tc>
        <w:tc>
          <w:tcPr>
            <w:tcW w:w="11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28.83</w:t>
            </w:r>
          </w:p>
        </w:tc>
        <w:tc>
          <w:tcPr>
            <w:tcW w:w="1125"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28.83</w:t>
            </w:r>
          </w:p>
        </w:tc>
        <w:tc>
          <w:tcPr>
            <w:tcW w:w="1125"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125"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125"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492"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2101103</w:t>
            </w:r>
          </w:p>
        </w:tc>
        <w:tc>
          <w:tcPr>
            <w:tcW w:w="1187"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公务员医疗补助</w:t>
            </w:r>
          </w:p>
        </w:tc>
        <w:tc>
          <w:tcPr>
            <w:tcW w:w="11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26.12</w:t>
            </w:r>
          </w:p>
        </w:tc>
        <w:tc>
          <w:tcPr>
            <w:tcW w:w="1125"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26.12</w:t>
            </w:r>
          </w:p>
        </w:tc>
        <w:tc>
          <w:tcPr>
            <w:tcW w:w="1125"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125"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125"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492"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w:t>
            </w:r>
          </w:p>
        </w:tc>
        <w:tc>
          <w:tcPr>
            <w:tcW w:w="1187"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住房保障支出</w:t>
            </w:r>
          </w:p>
        </w:tc>
        <w:tc>
          <w:tcPr>
            <w:tcW w:w="11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63.77</w:t>
            </w:r>
          </w:p>
        </w:tc>
        <w:tc>
          <w:tcPr>
            <w:tcW w:w="1125"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63.77</w:t>
            </w:r>
          </w:p>
        </w:tc>
        <w:tc>
          <w:tcPr>
            <w:tcW w:w="1125"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125"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125"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492"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w:t>
            </w:r>
          </w:p>
        </w:tc>
        <w:tc>
          <w:tcPr>
            <w:tcW w:w="1187"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住房改革支出</w:t>
            </w:r>
          </w:p>
        </w:tc>
        <w:tc>
          <w:tcPr>
            <w:tcW w:w="11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63.77</w:t>
            </w:r>
          </w:p>
        </w:tc>
        <w:tc>
          <w:tcPr>
            <w:tcW w:w="1125"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63.77</w:t>
            </w:r>
          </w:p>
        </w:tc>
        <w:tc>
          <w:tcPr>
            <w:tcW w:w="1125"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125"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125"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492"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2210201</w:t>
            </w:r>
          </w:p>
        </w:tc>
        <w:tc>
          <w:tcPr>
            <w:tcW w:w="1187"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住房公积金</w:t>
            </w:r>
          </w:p>
        </w:tc>
        <w:tc>
          <w:tcPr>
            <w:tcW w:w="11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63.77</w:t>
            </w:r>
          </w:p>
        </w:tc>
        <w:tc>
          <w:tcPr>
            <w:tcW w:w="1125"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63.77</w:t>
            </w:r>
          </w:p>
        </w:tc>
        <w:tc>
          <w:tcPr>
            <w:tcW w:w="1125"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125"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125"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492"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jc w:val="center"/>
        </w:trPr>
        <w:tc>
          <w:tcPr>
            <w:tcW w:w="9346" w:type="dxa"/>
            <w:gridSpan w:val="10"/>
            <w:tcBorders>
              <w:top w:val="nil"/>
              <w:left w:val="nil"/>
              <w:bottom w:val="nil"/>
              <w:right w:val="nil"/>
            </w:tcBorders>
            <w:noWrap/>
            <w:vAlign w:val="center"/>
          </w:tcPr>
          <w:p>
            <w:pPr>
              <w:widowControl/>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注：本表反映部门本年度各项支出情况。</w:t>
            </w:r>
          </w:p>
        </w:tc>
      </w:tr>
    </w:tbl>
    <w:p>
      <w:pPr>
        <w:rPr>
          <w:rFonts w:ascii="仿宋_GB2312" w:hAnsi="宋体" w:eastAsia="仿宋_GB2312"/>
          <w:b/>
          <w:sz w:val="32"/>
          <w:szCs w:val="32"/>
        </w:rPr>
      </w:pPr>
    </w:p>
    <w:p>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11708" w:type="dxa"/>
        <w:tblInd w:w="-1857" w:type="dxa"/>
        <w:tblLayout w:type="fixed"/>
        <w:tblCellMar>
          <w:top w:w="0" w:type="dxa"/>
          <w:left w:w="108" w:type="dxa"/>
          <w:bottom w:w="0" w:type="dxa"/>
          <w:right w:w="108" w:type="dxa"/>
        </w:tblCellMar>
      </w:tblPr>
      <w:tblGrid>
        <w:gridCol w:w="1982"/>
        <w:gridCol w:w="623"/>
        <w:gridCol w:w="1428"/>
        <w:gridCol w:w="1658"/>
        <w:gridCol w:w="438"/>
        <w:gridCol w:w="623"/>
        <w:gridCol w:w="459"/>
        <w:gridCol w:w="834"/>
        <w:gridCol w:w="1218"/>
        <w:gridCol w:w="1218"/>
        <w:gridCol w:w="1227"/>
      </w:tblGrid>
      <w:tr>
        <w:tblPrEx>
          <w:tblLayout w:type="fixed"/>
          <w:tblCellMar>
            <w:top w:w="0" w:type="dxa"/>
            <w:left w:w="108" w:type="dxa"/>
            <w:bottom w:w="0" w:type="dxa"/>
            <w:right w:w="108" w:type="dxa"/>
          </w:tblCellMar>
        </w:tblPrEx>
        <w:trPr>
          <w:trHeight w:val="550" w:hRule="atLeast"/>
        </w:trPr>
        <w:tc>
          <w:tcPr>
            <w:tcW w:w="11708" w:type="dxa"/>
            <w:gridSpan w:val="11"/>
            <w:tcBorders>
              <w:top w:val="nil"/>
              <w:left w:val="nil"/>
              <w:bottom w:val="nil"/>
              <w:right w:val="nil"/>
            </w:tcBorders>
            <w:noWrap/>
            <w:vAlign w:val="bottom"/>
          </w:tcPr>
          <w:p>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财政拨款收入支出决算总表</w:t>
            </w:r>
          </w:p>
        </w:tc>
      </w:tr>
      <w:tr>
        <w:tblPrEx>
          <w:tblLayout w:type="fixed"/>
          <w:tblCellMar>
            <w:top w:w="0" w:type="dxa"/>
            <w:left w:w="108" w:type="dxa"/>
            <w:bottom w:w="0" w:type="dxa"/>
            <w:right w:w="108" w:type="dxa"/>
          </w:tblCellMar>
        </w:tblPrEx>
        <w:trPr>
          <w:trHeight w:val="300" w:hRule="atLeast"/>
        </w:trPr>
        <w:tc>
          <w:tcPr>
            <w:tcW w:w="11708" w:type="dxa"/>
            <w:gridSpan w:val="11"/>
            <w:tcBorders>
              <w:top w:val="nil"/>
              <w:left w:val="nil"/>
              <w:bottom w:val="nil"/>
              <w:right w:val="nil"/>
            </w:tcBorders>
            <w:noWrap/>
            <w:vAlign w:val="bottom"/>
          </w:tcPr>
          <w:p>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公开04表</w:t>
            </w:r>
          </w:p>
        </w:tc>
      </w:tr>
      <w:tr>
        <w:tblPrEx>
          <w:tblLayout w:type="fixed"/>
          <w:tblCellMar>
            <w:top w:w="0" w:type="dxa"/>
            <w:left w:w="108" w:type="dxa"/>
            <w:bottom w:w="0" w:type="dxa"/>
            <w:right w:w="108" w:type="dxa"/>
          </w:tblCellMar>
        </w:tblPrEx>
        <w:trPr>
          <w:trHeight w:val="300" w:hRule="atLeast"/>
        </w:trPr>
        <w:tc>
          <w:tcPr>
            <w:tcW w:w="5691" w:type="dxa"/>
            <w:gridSpan w:val="4"/>
            <w:tcBorders>
              <w:top w:val="nil"/>
              <w:left w:val="nil"/>
              <w:bottom w:val="single" w:color="auto" w:sz="4" w:space="0"/>
              <w:right w:val="nil"/>
            </w:tcBorders>
            <w:noWrap/>
            <w:vAlign w:val="bottom"/>
          </w:tcPr>
          <w:p>
            <w:pPr>
              <w:rPr>
                <w:rFonts w:ascii="仿宋" w:hAnsi="仿宋" w:eastAsia="仿宋" w:cs="仿宋"/>
                <w:color w:val="000000"/>
                <w:sz w:val="20"/>
                <w:szCs w:val="20"/>
              </w:rPr>
            </w:pPr>
            <w:r>
              <w:rPr>
                <w:rFonts w:hint="eastAsia" w:ascii="方正仿宋_GB2312" w:hAnsi="方正仿宋_GB2312" w:eastAsia="方正仿宋_GB2312" w:cs="方正仿宋_GB2312"/>
                <w:color w:val="000000"/>
                <w:sz w:val="20"/>
                <w:szCs w:val="20"/>
                <w:lang w:bidi="ar"/>
              </w:rPr>
              <w:t xml:space="preserve">部门（单位）：赞皇县人民法院（本级） </w:t>
            </w:r>
            <w:r>
              <w:rPr>
                <w:rFonts w:hint="eastAsia" w:asciiTheme="minorEastAsia" w:hAnsiTheme="minorEastAsia" w:cstheme="minorEastAsia"/>
                <w:color w:val="000000"/>
                <w:sz w:val="20"/>
                <w:szCs w:val="20"/>
                <w:lang w:bidi="ar"/>
              </w:rPr>
              <w:t xml:space="preserve">                                                                                                   </w:t>
            </w:r>
          </w:p>
        </w:tc>
        <w:tc>
          <w:tcPr>
            <w:tcW w:w="1520" w:type="dxa"/>
            <w:gridSpan w:val="3"/>
            <w:tcBorders>
              <w:top w:val="nil"/>
              <w:left w:val="nil"/>
              <w:bottom w:val="single" w:color="auto" w:sz="4" w:space="0"/>
              <w:right w:val="nil"/>
            </w:tcBorders>
            <w:noWrap/>
            <w:vAlign w:val="bottom"/>
          </w:tcPr>
          <w:p>
            <w:pPr>
              <w:jc w:val="center"/>
              <w:rPr>
                <w:rFonts w:asciiTheme="minorEastAsia" w:hAnsiTheme="minorEastAsia" w:cstheme="minorEastAsia"/>
                <w:color w:val="000000"/>
                <w:sz w:val="20"/>
                <w:szCs w:val="20"/>
                <w:lang w:bidi="ar"/>
              </w:rPr>
            </w:pPr>
            <w:r>
              <w:rPr>
                <w:rFonts w:ascii="Times New Roman" w:hAnsi="Times New Roman" w:cs="Times New Roman"/>
                <w:color w:val="000000"/>
                <w:sz w:val="20"/>
                <w:szCs w:val="20"/>
                <w:lang w:bidi="ar"/>
              </w:rPr>
              <w:t>202</w:t>
            </w:r>
            <w:r>
              <w:rPr>
                <w:rFonts w:hint="eastAsia" w:ascii="Times New Roman" w:hAnsi="Times New Roman" w:cs="Times New Roman"/>
                <w:color w:val="000000"/>
                <w:sz w:val="20"/>
                <w:szCs w:val="20"/>
                <w:lang w:bidi="ar"/>
              </w:rPr>
              <w:t>4</w:t>
            </w:r>
            <w:r>
              <w:rPr>
                <w:rFonts w:hint="eastAsia" w:ascii="方正仿宋_GB2312" w:hAnsi="方正仿宋_GB2312" w:eastAsia="方正仿宋_GB2312" w:cs="方正仿宋_GB2312"/>
                <w:color w:val="000000"/>
                <w:sz w:val="20"/>
                <w:szCs w:val="20"/>
                <w:lang w:bidi="ar"/>
              </w:rPr>
              <w:t>年度</w:t>
            </w:r>
          </w:p>
        </w:tc>
        <w:tc>
          <w:tcPr>
            <w:tcW w:w="4497" w:type="dxa"/>
            <w:gridSpan w:val="4"/>
            <w:tcBorders>
              <w:top w:val="nil"/>
              <w:left w:val="nil"/>
              <w:bottom w:val="single" w:color="auto" w:sz="4" w:space="0"/>
              <w:right w:val="nil"/>
            </w:tcBorders>
            <w:noWrap/>
            <w:vAlign w:val="bottom"/>
          </w:tcPr>
          <w:p>
            <w:pPr>
              <w:jc w:val="right"/>
              <w:rPr>
                <w:rFonts w:asciiTheme="minorEastAsia" w:hAnsiTheme="minorEastAsia" w:cstheme="minorEastAsia"/>
                <w:color w:val="000000"/>
                <w:sz w:val="20"/>
                <w:szCs w:val="20"/>
                <w:lang w:bidi="ar"/>
              </w:rPr>
            </w:pPr>
            <w:r>
              <w:rPr>
                <w:rFonts w:hint="eastAsia" w:ascii="方正仿宋_GB2312" w:hAnsi="方正仿宋_GB2312" w:eastAsia="方正仿宋_GB2312" w:cs="方正仿宋_GB2312"/>
                <w:color w:val="000000"/>
                <w:sz w:val="20"/>
                <w:szCs w:val="20"/>
                <w:lang w:bidi="ar"/>
              </w:rPr>
              <w:t>金额单位：万元</w:t>
            </w:r>
          </w:p>
        </w:tc>
      </w:tr>
      <w:tr>
        <w:tblPrEx>
          <w:tblLayout w:type="fixed"/>
          <w:tblCellMar>
            <w:top w:w="0" w:type="dxa"/>
            <w:left w:w="108" w:type="dxa"/>
            <w:bottom w:w="0" w:type="dxa"/>
            <w:right w:w="108" w:type="dxa"/>
          </w:tblCellMar>
        </w:tblPrEx>
        <w:trPr>
          <w:trHeight w:val="308" w:hRule="atLeast"/>
        </w:trPr>
        <w:tc>
          <w:tcPr>
            <w:tcW w:w="4033" w:type="dxa"/>
            <w:gridSpan w:val="3"/>
            <w:tcBorders>
              <w:top w:val="single" w:color="auto" w:sz="4" w:space="0"/>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收入</w:t>
            </w:r>
          </w:p>
        </w:tc>
        <w:tc>
          <w:tcPr>
            <w:tcW w:w="7675" w:type="dxa"/>
            <w:gridSpan w:val="8"/>
            <w:tcBorders>
              <w:top w:val="single" w:color="auto" w:sz="4" w:space="0"/>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支出</w:t>
            </w:r>
          </w:p>
        </w:tc>
      </w:tr>
      <w:tr>
        <w:tblPrEx>
          <w:tblLayout w:type="fixed"/>
          <w:tblCellMar>
            <w:top w:w="0" w:type="dxa"/>
            <w:left w:w="108" w:type="dxa"/>
            <w:bottom w:w="0" w:type="dxa"/>
            <w:right w:w="108" w:type="dxa"/>
          </w:tblCellMar>
        </w:tblPrEx>
        <w:trPr>
          <w:trHeight w:val="312" w:hRule="atLeast"/>
        </w:trPr>
        <w:tc>
          <w:tcPr>
            <w:tcW w:w="1982" w:type="dxa"/>
            <w:vMerge w:val="restart"/>
            <w:tcBorders>
              <w:top w:val="nil"/>
              <w:left w:val="single" w:color="000000" w:sz="4" w:space="0"/>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项    目</w:t>
            </w:r>
          </w:p>
        </w:tc>
        <w:tc>
          <w:tcPr>
            <w:tcW w:w="623" w:type="dxa"/>
            <w:vMerge w:val="restart"/>
            <w:tcBorders>
              <w:top w:val="nil"/>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行次</w:t>
            </w:r>
          </w:p>
        </w:tc>
        <w:tc>
          <w:tcPr>
            <w:tcW w:w="1428" w:type="dxa"/>
            <w:vMerge w:val="restart"/>
            <w:tcBorders>
              <w:top w:val="nil"/>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金额</w:t>
            </w:r>
          </w:p>
        </w:tc>
        <w:tc>
          <w:tcPr>
            <w:tcW w:w="2096" w:type="dxa"/>
            <w:gridSpan w:val="2"/>
            <w:vMerge w:val="restart"/>
            <w:tcBorders>
              <w:top w:val="nil"/>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项目</w:t>
            </w:r>
          </w:p>
        </w:tc>
        <w:tc>
          <w:tcPr>
            <w:tcW w:w="623" w:type="dxa"/>
            <w:vMerge w:val="restart"/>
            <w:tcBorders>
              <w:top w:val="nil"/>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行次</w:t>
            </w:r>
          </w:p>
        </w:tc>
        <w:tc>
          <w:tcPr>
            <w:tcW w:w="1293" w:type="dxa"/>
            <w:gridSpan w:val="2"/>
            <w:vMerge w:val="restart"/>
            <w:tcBorders>
              <w:top w:val="nil"/>
              <w:left w:val="nil"/>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1218" w:type="dxa"/>
            <w:vMerge w:val="restart"/>
            <w:tcBorders>
              <w:top w:val="nil"/>
              <w:left w:val="nil"/>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一般公共预算财政拨款</w:t>
            </w:r>
          </w:p>
        </w:tc>
        <w:tc>
          <w:tcPr>
            <w:tcW w:w="1218" w:type="dxa"/>
            <w:vMerge w:val="restart"/>
            <w:tcBorders>
              <w:top w:val="nil"/>
              <w:left w:val="nil"/>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政府性基金预算财政拨款</w:t>
            </w:r>
          </w:p>
        </w:tc>
        <w:tc>
          <w:tcPr>
            <w:tcW w:w="1227" w:type="dxa"/>
            <w:vMerge w:val="restart"/>
            <w:tcBorders>
              <w:top w:val="nil"/>
              <w:left w:val="nil"/>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国有资本经营预算财政拨款</w:t>
            </w:r>
          </w:p>
        </w:tc>
      </w:tr>
      <w:tr>
        <w:tblPrEx>
          <w:tblLayout w:type="fixed"/>
          <w:tblCellMar>
            <w:top w:w="0" w:type="dxa"/>
            <w:left w:w="108" w:type="dxa"/>
            <w:bottom w:w="0" w:type="dxa"/>
            <w:right w:w="108" w:type="dxa"/>
          </w:tblCellMar>
        </w:tblPrEx>
        <w:trPr>
          <w:trHeight w:val="312" w:hRule="atLeast"/>
        </w:trPr>
        <w:tc>
          <w:tcPr>
            <w:tcW w:w="1982" w:type="dxa"/>
            <w:vMerge w:val="continue"/>
            <w:tcBorders>
              <w:top w:val="nil"/>
              <w:left w:val="single" w:color="000000" w:sz="4" w:space="0"/>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623" w:type="dxa"/>
            <w:vMerge w:val="continue"/>
            <w:tcBorders>
              <w:top w:val="nil"/>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1428" w:type="dxa"/>
            <w:vMerge w:val="continue"/>
            <w:tcBorders>
              <w:top w:val="nil"/>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2096" w:type="dxa"/>
            <w:gridSpan w:val="2"/>
            <w:vMerge w:val="continue"/>
            <w:tcBorders>
              <w:top w:val="nil"/>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623" w:type="dxa"/>
            <w:vMerge w:val="continue"/>
            <w:tcBorders>
              <w:top w:val="nil"/>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1293" w:type="dxa"/>
            <w:gridSpan w:val="2"/>
            <w:vMerge w:val="continue"/>
            <w:tcBorders>
              <w:left w:val="nil"/>
              <w:bottom w:val="single" w:color="000000" w:sz="4" w:space="0"/>
              <w:right w:val="single" w:color="000000" w:sz="8" w:space="0"/>
            </w:tcBorders>
            <w:vAlign w:val="center"/>
          </w:tcPr>
          <w:p>
            <w:pPr>
              <w:widowControl/>
              <w:jc w:val="center"/>
              <w:textAlignment w:val="center"/>
              <w:rPr>
                <w:rFonts w:ascii="方正仿宋_GB2312" w:hAnsi="方正仿宋_GB2312" w:eastAsia="方正仿宋_GB2312" w:cs="方正仿宋_GB2312"/>
                <w:color w:val="000000"/>
                <w:sz w:val="20"/>
                <w:szCs w:val="20"/>
              </w:rPr>
            </w:pPr>
          </w:p>
        </w:tc>
        <w:tc>
          <w:tcPr>
            <w:tcW w:w="1218" w:type="dxa"/>
            <w:vMerge w:val="continue"/>
            <w:tcBorders>
              <w:left w:val="nil"/>
              <w:bottom w:val="single" w:color="000000" w:sz="4" w:space="0"/>
              <w:right w:val="single" w:color="000000" w:sz="8" w:space="0"/>
            </w:tcBorders>
            <w:vAlign w:val="center"/>
          </w:tcPr>
          <w:p>
            <w:pPr>
              <w:widowControl/>
              <w:jc w:val="center"/>
              <w:textAlignment w:val="center"/>
              <w:rPr>
                <w:rFonts w:ascii="方正仿宋_GB2312" w:hAnsi="方正仿宋_GB2312" w:eastAsia="方正仿宋_GB2312" w:cs="方正仿宋_GB2312"/>
                <w:color w:val="000000"/>
                <w:sz w:val="20"/>
                <w:szCs w:val="20"/>
              </w:rPr>
            </w:pPr>
          </w:p>
        </w:tc>
        <w:tc>
          <w:tcPr>
            <w:tcW w:w="1218" w:type="dxa"/>
            <w:vMerge w:val="continue"/>
            <w:tcBorders>
              <w:left w:val="nil"/>
              <w:bottom w:val="single" w:color="000000" w:sz="4" w:space="0"/>
              <w:right w:val="single" w:color="000000" w:sz="8" w:space="0"/>
            </w:tcBorders>
            <w:vAlign w:val="center"/>
          </w:tcPr>
          <w:p>
            <w:pPr>
              <w:widowControl/>
              <w:jc w:val="center"/>
              <w:textAlignment w:val="center"/>
              <w:rPr>
                <w:rFonts w:ascii="方正仿宋_GB2312" w:hAnsi="方正仿宋_GB2312" w:eastAsia="方正仿宋_GB2312" w:cs="方正仿宋_GB2312"/>
                <w:color w:val="000000"/>
                <w:sz w:val="20"/>
                <w:szCs w:val="20"/>
              </w:rPr>
            </w:pPr>
          </w:p>
        </w:tc>
        <w:tc>
          <w:tcPr>
            <w:tcW w:w="1227" w:type="dxa"/>
            <w:vMerge w:val="continue"/>
            <w:tcBorders>
              <w:left w:val="nil"/>
              <w:bottom w:val="single" w:color="000000" w:sz="4" w:space="0"/>
              <w:right w:val="single" w:color="000000" w:sz="8" w:space="0"/>
            </w:tcBorders>
            <w:vAlign w:val="center"/>
          </w:tcPr>
          <w:p>
            <w:pPr>
              <w:widowControl/>
              <w:jc w:val="center"/>
              <w:textAlignment w:val="center"/>
              <w:rPr>
                <w:rFonts w:ascii="方正仿宋_GB2312" w:hAnsi="方正仿宋_GB2312" w:eastAsia="方正仿宋_GB2312" w:cs="方正仿宋_GB2312"/>
                <w:color w:val="000000"/>
                <w:sz w:val="20"/>
                <w:szCs w:val="20"/>
              </w:rPr>
            </w:pPr>
          </w:p>
        </w:tc>
      </w:tr>
      <w:tr>
        <w:tblPrEx>
          <w:tblLayout w:type="fixed"/>
          <w:tblCellMar>
            <w:top w:w="0" w:type="dxa"/>
            <w:left w:w="108" w:type="dxa"/>
            <w:bottom w:w="0" w:type="dxa"/>
            <w:right w:w="108" w:type="dxa"/>
          </w:tblCellMar>
        </w:tblPrEx>
        <w:trPr>
          <w:trHeight w:val="308" w:hRule="atLeast"/>
        </w:trPr>
        <w:tc>
          <w:tcPr>
            <w:tcW w:w="1982" w:type="dxa"/>
            <w:tcBorders>
              <w:top w:val="nil"/>
              <w:left w:val="single" w:color="000000" w:sz="4" w:space="0"/>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栏    次</w:t>
            </w:r>
          </w:p>
        </w:tc>
        <w:tc>
          <w:tcPr>
            <w:tcW w:w="623" w:type="dxa"/>
            <w:tcBorders>
              <w:top w:val="nil"/>
              <w:left w:val="nil"/>
              <w:bottom w:val="single" w:color="000000" w:sz="4" w:space="0"/>
              <w:right w:val="single" w:color="000000" w:sz="4" w:space="0"/>
            </w:tcBorders>
            <w:noWrap/>
            <w:vAlign w:val="center"/>
          </w:tcPr>
          <w:p>
            <w:pPr>
              <w:jc w:val="center"/>
              <w:rPr>
                <w:rFonts w:ascii="宋体" w:hAnsi="宋体" w:eastAsia="宋体"/>
                <w:color w:val="000000"/>
                <w:sz w:val="20"/>
                <w:szCs w:val="20"/>
              </w:rPr>
            </w:pPr>
          </w:p>
        </w:tc>
        <w:tc>
          <w:tcPr>
            <w:tcW w:w="1428" w:type="dxa"/>
            <w:tcBorders>
              <w:top w:val="nil"/>
              <w:left w:val="nil"/>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1</w:t>
            </w:r>
          </w:p>
        </w:tc>
        <w:tc>
          <w:tcPr>
            <w:tcW w:w="2096" w:type="dxa"/>
            <w:gridSpan w:val="2"/>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栏    次</w:t>
            </w:r>
          </w:p>
        </w:tc>
        <w:tc>
          <w:tcPr>
            <w:tcW w:w="623" w:type="dxa"/>
            <w:tcBorders>
              <w:top w:val="nil"/>
              <w:left w:val="nil"/>
              <w:bottom w:val="single" w:color="000000" w:sz="4" w:space="0"/>
              <w:right w:val="single" w:color="000000" w:sz="4" w:space="0"/>
            </w:tcBorders>
            <w:noWrap/>
            <w:vAlign w:val="center"/>
          </w:tcPr>
          <w:p>
            <w:pPr>
              <w:jc w:val="center"/>
              <w:rPr>
                <w:rFonts w:ascii="宋体" w:hAnsi="宋体" w:eastAsia="宋体"/>
                <w:color w:val="000000"/>
                <w:sz w:val="20"/>
                <w:szCs w:val="20"/>
              </w:rPr>
            </w:pPr>
          </w:p>
        </w:tc>
        <w:tc>
          <w:tcPr>
            <w:tcW w:w="1293" w:type="dxa"/>
            <w:gridSpan w:val="2"/>
            <w:tcBorders>
              <w:top w:val="nil"/>
              <w:left w:val="nil"/>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2</w:t>
            </w:r>
          </w:p>
        </w:tc>
        <w:tc>
          <w:tcPr>
            <w:tcW w:w="1218" w:type="dxa"/>
            <w:tcBorders>
              <w:top w:val="nil"/>
              <w:left w:val="nil"/>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3</w:t>
            </w:r>
          </w:p>
        </w:tc>
        <w:tc>
          <w:tcPr>
            <w:tcW w:w="1218" w:type="dxa"/>
            <w:tcBorders>
              <w:top w:val="nil"/>
              <w:left w:val="nil"/>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4</w:t>
            </w:r>
          </w:p>
        </w:tc>
        <w:tc>
          <w:tcPr>
            <w:tcW w:w="1227" w:type="dxa"/>
            <w:tcBorders>
              <w:top w:val="nil"/>
              <w:left w:val="nil"/>
              <w:bottom w:val="single" w:color="000000" w:sz="4" w:space="0"/>
              <w:right w:val="single" w:color="000000" w:sz="8" w:space="0"/>
            </w:tcBorders>
            <w:noWrap/>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5</w:t>
            </w:r>
          </w:p>
        </w:tc>
      </w:tr>
      <w:tr>
        <w:tblPrEx>
          <w:tblLayout w:type="fixed"/>
          <w:tblCellMar>
            <w:top w:w="0" w:type="dxa"/>
            <w:left w:w="108" w:type="dxa"/>
            <w:bottom w:w="0" w:type="dxa"/>
            <w:right w:w="108" w:type="dxa"/>
          </w:tblCellMar>
        </w:tblPrEx>
        <w:trPr>
          <w:trHeight w:val="308" w:hRule="atLeast"/>
        </w:trPr>
        <w:tc>
          <w:tcPr>
            <w:tcW w:w="1982" w:type="dxa"/>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一、一般公共预算财政拨款</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w:t>
            </w:r>
          </w:p>
        </w:tc>
        <w:tc>
          <w:tcPr>
            <w:tcW w:w="142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1,780.82</w:t>
            </w:r>
          </w:p>
        </w:tc>
        <w:tc>
          <w:tcPr>
            <w:tcW w:w="2096" w:type="dxa"/>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一、一般公共服务支出</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33</w:t>
            </w:r>
          </w:p>
        </w:tc>
        <w:tc>
          <w:tcPr>
            <w:tcW w:w="1293"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1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1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27" w:type="dxa"/>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trPr>
        <w:tc>
          <w:tcPr>
            <w:tcW w:w="1982" w:type="dxa"/>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二、政府性基金预算财政拨款</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w:t>
            </w:r>
          </w:p>
        </w:tc>
        <w:tc>
          <w:tcPr>
            <w:tcW w:w="142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2096" w:type="dxa"/>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二、外交支出</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34</w:t>
            </w:r>
          </w:p>
        </w:tc>
        <w:tc>
          <w:tcPr>
            <w:tcW w:w="1293"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1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1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27" w:type="dxa"/>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trPr>
        <w:tc>
          <w:tcPr>
            <w:tcW w:w="1982" w:type="dxa"/>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三、国有资本经营预算财政拨款</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w:t>
            </w:r>
          </w:p>
        </w:tc>
        <w:tc>
          <w:tcPr>
            <w:tcW w:w="142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2096" w:type="dxa"/>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三、国防支出</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35</w:t>
            </w:r>
          </w:p>
        </w:tc>
        <w:tc>
          <w:tcPr>
            <w:tcW w:w="1293"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1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1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27" w:type="dxa"/>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trPr>
        <w:tc>
          <w:tcPr>
            <w:tcW w:w="1982" w:type="dxa"/>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w:t>
            </w:r>
          </w:p>
        </w:tc>
        <w:tc>
          <w:tcPr>
            <w:tcW w:w="142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2096" w:type="dxa"/>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四、公共安全支出</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36</w:t>
            </w:r>
          </w:p>
        </w:tc>
        <w:tc>
          <w:tcPr>
            <w:tcW w:w="1293"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1,552.00</w:t>
            </w:r>
          </w:p>
        </w:tc>
        <w:tc>
          <w:tcPr>
            <w:tcW w:w="121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1,552.00</w:t>
            </w:r>
          </w:p>
        </w:tc>
        <w:tc>
          <w:tcPr>
            <w:tcW w:w="121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27" w:type="dxa"/>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trPr>
        <w:tc>
          <w:tcPr>
            <w:tcW w:w="1982" w:type="dxa"/>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w:t>
            </w:r>
          </w:p>
        </w:tc>
        <w:tc>
          <w:tcPr>
            <w:tcW w:w="142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2096" w:type="dxa"/>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五、教育支出</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37</w:t>
            </w:r>
          </w:p>
        </w:tc>
        <w:tc>
          <w:tcPr>
            <w:tcW w:w="1293"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1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1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27" w:type="dxa"/>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trPr>
        <w:tc>
          <w:tcPr>
            <w:tcW w:w="1982" w:type="dxa"/>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6</w:t>
            </w:r>
          </w:p>
        </w:tc>
        <w:tc>
          <w:tcPr>
            <w:tcW w:w="142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2096" w:type="dxa"/>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六、科学技术支出</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38</w:t>
            </w:r>
          </w:p>
        </w:tc>
        <w:tc>
          <w:tcPr>
            <w:tcW w:w="1293"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1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1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27" w:type="dxa"/>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trPr>
        <w:tc>
          <w:tcPr>
            <w:tcW w:w="1982" w:type="dxa"/>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7</w:t>
            </w:r>
          </w:p>
        </w:tc>
        <w:tc>
          <w:tcPr>
            <w:tcW w:w="142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2096" w:type="dxa"/>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七、文化旅游体育与传媒支出</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39</w:t>
            </w:r>
          </w:p>
        </w:tc>
        <w:tc>
          <w:tcPr>
            <w:tcW w:w="1293"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1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1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27" w:type="dxa"/>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trPr>
        <w:tc>
          <w:tcPr>
            <w:tcW w:w="1982" w:type="dxa"/>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8</w:t>
            </w:r>
          </w:p>
        </w:tc>
        <w:tc>
          <w:tcPr>
            <w:tcW w:w="142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2096" w:type="dxa"/>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八、社会保障和就业支出</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40</w:t>
            </w:r>
          </w:p>
        </w:tc>
        <w:tc>
          <w:tcPr>
            <w:tcW w:w="1293"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110.10</w:t>
            </w:r>
          </w:p>
        </w:tc>
        <w:tc>
          <w:tcPr>
            <w:tcW w:w="121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110.10</w:t>
            </w:r>
          </w:p>
        </w:tc>
        <w:tc>
          <w:tcPr>
            <w:tcW w:w="121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27" w:type="dxa"/>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trPr>
        <w:tc>
          <w:tcPr>
            <w:tcW w:w="1982" w:type="dxa"/>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9</w:t>
            </w:r>
          </w:p>
        </w:tc>
        <w:tc>
          <w:tcPr>
            <w:tcW w:w="142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2096" w:type="dxa"/>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九、卫生健康支出</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41</w:t>
            </w:r>
          </w:p>
        </w:tc>
        <w:tc>
          <w:tcPr>
            <w:tcW w:w="1293"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54.95</w:t>
            </w:r>
          </w:p>
        </w:tc>
        <w:tc>
          <w:tcPr>
            <w:tcW w:w="121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54.95</w:t>
            </w:r>
          </w:p>
        </w:tc>
        <w:tc>
          <w:tcPr>
            <w:tcW w:w="121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27" w:type="dxa"/>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trPr>
        <w:tc>
          <w:tcPr>
            <w:tcW w:w="1982" w:type="dxa"/>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10</w:t>
            </w:r>
          </w:p>
        </w:tc>
        <w:tc>
          <w:tcPr>
            <w:tcW w:w="142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2096" w:type="dxa"/>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十、节能环保支出</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42</w:t>
            </w:r>
          </w:p>
        </w:tc>
        <w:tc>
          <w:tcPr>
            <w:tcW w:w="1293"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1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1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27" w:type="dxa"/>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trPr>
        <w:tc>
          <w:tcPr>
            <w:tcW w:w="1982" w:type="dxa"/>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11</w:t>
            </w:r>
          </w:p>
        </w:tc>
        <w:tc>
          <w:tcPr>
            <w:tcW w:w="142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2096" w:type="dxa"/>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十一、城乡社区支出</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43</w:t>
            </w:r>
          </w:p>
        </w:tc>
        <w:tc>
          <w:tcPr>
            <w:tcW w:w="1293"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1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1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27" w:type="dxa"/>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trPr>
        <w:tc>
          <w:tcPr>
            <w:tcW w:w="1982" w:type="dxa"/>
            <w:tcBorders>
              <w:top w:val="nil"/>
              <w:left w:val="single" w:color="000000" w:sz="4" w:space="0"/>
              <w:bottom w:val="single" w:color="auto" w:sz="4" w:space="0"/>
              <w:right w:val="single" w:color="000000" w:sz="4" w:space="0"/>
            </w:tcBorders>
            <w:noWrap/>
            <w:vAlign w:val="center"/>
          </w:tcPr>
          <w:p>
            <w:pPr>
              <w:jc w:val="left"/>
              <w:rPr>
                <w:rFonts w:ascii="宋体" w:hAnsi="宋体" w:eastAsia="宋体"/>
                <w:color w:val="000000"/>
                <w:sz w:val="20"/>
                <w:szCs w:val="20"/>
              </w:rPr>
            </w:pPr>
          </w:p>
        </w:tc>
        <w:tc>
          <w:tcPr>
            <w:tcW w:w="623" w:type="dxa"/>
            <w:tcBorders>
              <w:top w:val="nil"/>
              <w:left w:val="nil"/>
              <w:bottom w:val="single" w:color="auto"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12</w:t>
            </w:r>
          </w:p>
        </w:tc>
        <w:tc>
          <w:tcPr>
            <w:tcW w:w="1428" w:type="dxa"/>
            <w:tcBorders>
              <w:top w:val="nil"/>
              <w:left w:val="nil"/>
              <w:bottom w:val="single" w:color="auto"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2096" w:type="dxa"/>
            <w:gridSpan w:val="2"/>
            <w:tcBorders>
              <w:top w:val="nil"/>
              <w:left w:val="nil"/>
              <w:bottom w:val="single" w:color="auto"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十二、农林水支出</w:t>
            </w:r>
          </w:p>
        </w:tc>
        <w:tc>
          <w:tcPr>
            <w:tcW w:w="623" w:type="dxa"/>
            <w:tcBorders>
              <w:top w:val="nil"/>
              <w:left w:val="nil"/>
              <w:bottom w:val="single" w:color="auto"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44</w:t>
            </w:r>
          </w:p>
        </w:tc>
        <w:tc>
          <w:tcPr>
            <w:tcW w:w="1293" w:type="dxa"/>
            <w:gridSpan w:val="2"/>
            <w:tcBorders>
              <w:top w:val="nil"/>
              <w:left w:val="nil"/>
              <w:bottom w:val="single" w:color="auto"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18" w:type="dxa"/>
            <w:tcBorders>
              <w:top w:val="nil"/>
              <w:left w:val="nil"/>
              <w:bottom w:val="single" w:color="auto"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18" w:type="dxa"/>
            <w:tcBorders>
              <w:top w:val="nil"/>
              <w:left w:val="nil"/>
              <w:bottom w:val="single" w:color="auto"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27" w:type="dxa"/>
            <w:tcBorders>
              <w:top w:val="nil"/>
              <w:left w:val="nil"/>
              <w:bottom w:val="single" w:color="auto"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trPr>
        <w:tc>
          <w:tcPr>
            <w:tcW w:w="1982" w:type="dxa"/>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62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13</w:t>
            </w:r>
          </w:p>
        </w:tc>
        <w:tc>
          <w:tcPr>
            <w:tcW w:w="142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2096"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十三、交通运输支出</w:t>
            </w:r>
          </w:p>
        </w:tc>
        <w:tc>
          <w:tcPr>
            <w:tcW w:w="62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45</w:t>
            </w:r>
          </w:p>
        </w:tc>
        <w:tc>
          <w:tcPr>
            <w:tcW w:w="1293"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21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21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227"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trPr>
        <w:tc>
          <w:tcPr>
            <w:tcW w:w="1982" w:type="dxa"/>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62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14</w:t>
            </w:r>
          </w:p>
        </w:tc>
        <w:tc>
          <w:tcPr>
            <w:tcW w:w="142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2096"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十四、资源勘探工业信息等支出</w:t>
            </w:r>
          </w:p>
        </w:tc>
        <w:tc>
          <w:tcPr>
            <w:tcW w:w="62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46</w:t>
            </w:r>
          </w:p>
        </w:tc>
        <w:tc>
          <w:tcPr>
            <w:tcW w:w="1293"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21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21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227"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trPr>
        <w:tc>
          <w:tcPr>
            <w:tcW w:w="1982" w:type="dxa"/>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62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15</w:t>
            </w:r>
          </w:p>
        </w:tc>
        <w:tc>
          <w:tcPr>
            <w:tcW w:w="142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2096"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十五、商业服务业等支出</w:t>
            </w:r>
          </w:p>
        </w:tc>
        <w:tc>
          <w:tcPr>
            <w:tcW w:w="62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47</w:t>
            </w:r>
          </w:p>
        </w:tc>
        <w:tc>
          <w:tcPr>
            <w:tcW w:w="1293"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21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21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227"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trPr>
        <w:tc>
          <w:tcPr>
            <w:tcW w:w="1982" w:type="dxa"/>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62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16</w:t>
            </w:r>
          </w:p>
        </w:tc>
        <w:tc>
          <w:tcPr>
            <w:tcW w:w="142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2096"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十六、金融支出</w:t>
            </w:r>
          </w:p>
        </w:tc>
        <w:tc>
          <w:tcPr>
            <w:tcW w:w="62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48</w:t>
            </w:r>
          </w:p>
        </w:tc>
        <w:tc>
          <w:tcPr>
            <w:tcW w:w="1293"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21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21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227"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trPr>
        <w:tc>
          <w:tcPr>
            <w:tcW w:w="1982" w:type="dxa"/>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62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17</w:t>
            </w:r>
          </w:p>
        </w:tc>
        <w:tc>
          <w:tcPr>
            <w:tcW w:w="142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2096"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十七、援助其他地区支出</w:t>
            </w:r>
          </w:p>
        </w:tc>
        <w:tc>
          <w:tcPr>
            <w:tcW w:w="62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49</w:t>
            </w:r>
          </w:p>
        </w:tc>
        <w:tc>
          <w:tcPr>
            <w:tcW w:w="1293"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21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21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227"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trPr>
        <w:tc>
          <w:tcPr>
            <w:tcW w:w="1982" w:type="dxa"/>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62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18</w:t>
            </w:r>
          </w:p>
        </w:tc>
        <w:tc>
          <w:tcPr>
            <w:tcW w:w="142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2096"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十八、自然资源海洋气象等支出</w:t>
            </w:r>
          </w:p>
        </w:tc>
        <w:tc>
          <w:tcPr>
            <w:tcW w:w="62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50</w:t>
            </w:r>
          </w:p>
        </w:tc>
        <w:tc>
          <w:tcPr>
            <w:tcW w:w="1293"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21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21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227"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trPr>
        <w:tc>
          <w:tcPr>
            <w:tcW w:w="1982" w:type="dxa"/>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62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19</w:t>
            </w:r>
          </w:p>
        </w:tc>
        <w:tc>
          <w:tcPr>
            <w:tcW w:w="142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2096"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十九、住房保障支出</w:t>
            </w:r>
          </w:p>
        </w:tc>
        <w:tc>
          <w:tcPr>
            <w:tcW w:w="62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51</w:t>
            </w:r>
          </w:p>
        </w:tc>
        <w:tc>
          <w:tcPr>
            <w:tcW w:w="1293"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63.77</w:t>
            </w:r>
          </w:p>
        </w:tc>
        <w:tc>
          <w:tcPr>
            <w:tcW w:w="121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63.77</w:t>
            </w:r>
          </w:p>
        </w:tc>
        <w:tc>
          <w:tcPr>
            <w:tcW w:w="121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227"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trPr>
        <w:tc>
          <w:tcPr>
            <w:tcW w:w="1982" w:type="dxa"/>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62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20</w:t>
            </w:r>
          </w:p>
        </w:tc>
        <w:tc>
          <w:tcPr>
            <w:tcW w:w="142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2096"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二十、粮油物资储备支出</w:t>
            </w:r>
          </w:p>
        </w:tc>
        <w:tc>
          <w:tcPr>
            <w:tcW w:w="62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52</w:t>
            </w:r>
          </w:p>
        </w:tc>
        <w:tc>
          <w:tcPr>
            <w:tcW w:w="1293"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21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21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227"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trPr>
        <w:tc>
          <w:tcPr>
            <w:tcW w:w="1982" w:type="dxa"/>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62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21</w:t>
            </w:r>
          </w:p>
        </w:tc>
        <w:tc>
          <w:tcPr>
            <w:tcW w:w="142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2096"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二十一、国有资本经营预算支出</w:t>
            </w:r>
          </w:p>
        </w:tc>
        <w:tc>
          <w:tcPr>
            <w:tcW w:w="62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53</w:t>
            </w:r>
          </w:p>
        </w:tc>
        <w:tc>
          <w:tcPr>
            <w:tcW w:w="1293"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21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21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227"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trPr>
        <w:tc>
          <w:tcPr>
            <w:tcW w:w="1982" w:type="dxa"/>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62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22</w:t>
            </w:r>
          </w:p>
        </w:tc>
        <w:tc>
          <w:tcPr>
            <w:tcW w:w="142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2096"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二十二、灾害防治及应急管理支出</w:t>
            </w:r>
          </w:p>
        </w:tc>
        <w:tc>
          <w:tcPr>
            <w:tcW w:w="62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54</w:t>
            </w:r>
          </w:p>
        </w:tc>
        <w:tc>
          <w:tcPr>
            <w:tcW w:w="1293"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21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21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227"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trPr>
        <w:tc>
          <w:tcPr>
            <w:tcW w:w="1982" w:type="dxa"/>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62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23</w:t>
            </w:r>
          </w:p>
        </w:tc>
        <w:tc>
          <w:tcPr>
            <w:tcW w:w="142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2096"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二十三、其他支出</w:t>
            </w:r>
          </w:p>
        </w:tc>
        <w:tc>
          <w:tcPr>
            <w:tcW w:w="62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55</w:t>
            </w:r>
          </w:p>
        </w:tc>
        <w:tc>
          <w:tcPr>
            <w:tcW w:w="1293"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21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21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227"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trPr>
        <w:tc>
          <w:tcPr>
            <w:tcW w:w="1982" w:type="dxa"/>
            <w:tcBorders>
              <w:top w:val="single" w:color="auto" w:sz="4" w:space="0"/>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623" w:type="dxa"/>
            <w:tcBorders>
              <w:top w:val="single" w:color="auto" w:sz="4" w:space="0"/>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24</w:t>
            </w:r>
          </w:p>
        </w:tc>
        <w:tc>
          <w:tcPr>
            <w:tcW w:w="1428" w:type="dxa"/>
            <w:tcBorders>
              <w:top w:val="single" w:color="auto" w:sz="4" w:space="0"/>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2096" w:type="dxa"/>
            <w:gridSpan w:val="2"/>
            <w:tcBorders>
              <w:top w:val="single" w:color="auto" w:sz="4" w:space="0"/>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二十四、债务还本支出</w:t>
            </w:r>
          </w:p>
        </w:tc>
        <w:tc>
          <w:tcPr>
            <w:tcW w:w="623" w:type="dxa"/>
            <w:tcBorders>
              <w:top w:val="single" w:color="auto" w:sz="4" w:space="0"/>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56</w:t>
            </w:r>
          </w:p>
        </w:tc>
        <w:tc>
          <w:tcPr>
            <w:tcW w:w="1293" w:type="dxa"/>
            <w:gridSpan w:val="2"/>
            <w:tcBorders>
              <w:top w:val="single" w:color="auto" w:sz="4" w:space="0"/>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18" w:type="dxa"/>
            <w:tcBorders>
              <w:top w:val="single" w:color="auto" w:sz="4" w:space="0"/>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18" w:type="dxa"/>
            <w:tcBorders>
              <w:top w:val="single" w:color="auto" w:sz="4" w:space="0"/>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27" w:type="dxa"/>
            <w:tcBorders>
              <w:top w:val="single" w:color="auto" w:sz="4" w:space="0"/>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trPr>
        <w:tc>
          <w:tcPr>
            <w:tcW w:w="1982" w:type="dxa"/>
            <w:tcBorders>
              <w:top w:val="nil"/>
              <w:left w:val="single" w:color="000000" w:sz="4" w:space="0"/>
              <w:bottom w:val="single" w:color="000000" w:sz="4" w:space="0"/>
              <w:right w:val="single" w:color="000000" w:sz="4" w:space="0"/>
            </w:tcBorders>
            <w:noWrap/>
            <w:vAlign w:val="center"/>
          </w:tcPr>
          <w:p>
            <w:pPr>
              <w:jc w:val="center"/>
              <w:rPr>
                <w:rFonts w:ascii="宋体" w:hAnsi="宋体" w:eastAsia="宋体"/>
                <w:b/>
                <w:bCs/>
                <w:color w:val="000000"/>
                <w:sz w:val="20"/>
                <w:szCs w:val="20"/>
              </w:rPr>
            </w:pP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25</w:t>
            </w:r>
          </w:p>
        </w:tc>
        <w:tc>
          <w:tcPr>
            <w:tcW w:w="142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2096" w:type="dxa"/>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二十五、债务付息支出</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57</w:t>
            </w:r>
          </w:p>
        </w:tc>
        <w:tc>
          <w:tcPr>
            <w:tcW w:w="1293"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1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1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27" w:type="dxa"/>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trPr>
        <w:tc>
          <w:tcPr>
            <w:tcW w:w="1982" w:type="dxa"/>
            <w:tcBorders>
              <w:top w:val="nil"/>
              <w:left w:val="single" w:color="000000" w:sz="4" w:space="0"/>
              <w:bottom w:val="single" w:color="000000" w:sz="4" w:space="0"/>
              <w:right w:val="single" w:color="000000" w:sz="4" w:space="0"/>
            </w:tcBorders>
            <w:noWrap/>
            <w:vAlign w:val="center"/>
          </w:tcPr>
          <w:p>
            <w:pPr>
              <w:jc w:val="center"/>
              <w:rPr>
                <w:rFonts w:ascii="宋体" w:hAnsi="宋体" w:eastAsia="宋体"/>
                <w:color w:val="000000"/>
                <w:sz w:val="20"/>
                <w:szCs w:val="20"/>
              </w:rPr>
            </w:pP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26</w:t>
            </w:r>
          </w:p>
        </w:tc>
        <w:tc>
          <w:tcPr>
            <w:tcW w:w="142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2096" w:type="dxa"/>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二十六、抗疫特别国债安排的支出</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58</w:t>
            </w:r>
          </w:p>
        </w:tc>
        <w:tc>
          <w:tcPr>
            <w:tcW w:w="1293"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1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1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27" w:type="dxa"/>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trPr>
        <w:tc>
          <w:tcPr>
            <w:tcW w:w="1982" w:type="dxa"/>
            <w:tcBorders>
              <w:top w:val="nil"/>
              <w:left w:val="single" w:color="000000" w:sz="4" w:space="0"/>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lang w:bidi="ar"/>
              </w:rPr>
              <w:t>本年收入合计</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27</w:t>
            </w:r>
          </w:p>
        </w:tc>
        <w:tc>
          <w:tcPr>
            <w:tcW w:w="142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1,780.82</w:t>
            </w:r>
          </w:p>
        </w:tc>
        <w:tc>
          <w:tcPr>
            <w:tcW w:w="2096" w:type="dxa"/>
            <w:gridSpan w:val="2"/>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lang w:bidi="ar"/>
              </w:rPr>
              <w:t>本年支出合计</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59</w:t>
            </w:r>
          </w:p>
        </w:tc>
        <w:tc>
          <w:tcPr>
            <w:tcW w:w="1293"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1,780.82</w:t>
            </w:r>
          </w:p>
        </w:tc>
        <w:tc>
          <w:tcPr>
            <w:tcW w:w="121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1,780.82</w:t>
            </w:r>
          </w:p>
        </w:tc>
        <w:tc>
          <w:tcPr>
            <w:tcW w:w="121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27" w:type="dxa"/>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trPr>
        <w:tc>
          <w:tcPr>
            <w:tcW w:w="1982" w:type="dxa"/>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年初财政拨款结转和结余</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28</w:t>
            </w:r>
          </w:p>
        </w:tc>
        <w:tc>
          <w:tcPr>
            <w:tcW w:w="142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2096" w:type="dxa"/>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年末财政拨款结转和结余</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60</w:t>
            </w:r>
          </w:p>
        </w:tc>
        <w:tc>
          <w:tcPr>
            <w:tcW w:w="1293"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18" w:type="dxa"/>
            <w:tcBorders>
              <w:top w:val="nil"/>
              <w:left w:val="nil"/>
              <w:bottom w:val="single" w:color="000000" w:sz="4" w:space="0"/>
              <w:right w:val="single" w:color="000000" w:sz="4" w:space="0"/>
            </w:tcBorders>
            <w:noWrap/>
            <w:vAlign w:val="center"/>
          </w:tcPr>
          <w:p>
            <w:pPr>
              <w:rPr>
                <w:rFonts w:ascii="Times New Roman" w:hAnsi="Times New Roman" w:eastAsia="宋体" w:cs="Times New Roman"/>
                <w:color w:val="000000"/>
                <w:sz w:val="20"/>
                <w:szCs w:val="20"/>
              </w:rPr>
            </w:pPr>
          </w:p>
        </w:tc>
        <w:tc>
          <w:tcPr>
            <w:tcW w:w="121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27" w:type="dxa"/>
            <w:tcBorders>
              <w:top w:val="nil"/>
              <w:left w:val="nil"/>
              <w:bottom w:val="single" w:color="000000" w:sz="4" w:space="0"/>
              <w:right w:val="single" w:color="000000" w:sz="8" w:space="0"/>
            </w:tcBorders>
            <w:noWrap/>
            <w:vAlign w:val="center"/>
          </w:tcPr>
          <w:p>
            <w:pPr>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trPr>
        <w:tc>
          <w:tcPr>
            <w:tcW w:w="1982" w:type="dxa"/>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一、一般公共预算财政拨款</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29</w:t>
            </w:r>
          </w:p>
        </w:tc>
        <w:tc>
          <w:tcPr>
            <w:tcW w:w="142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2096" w:type="dxa"/>
            <w:gridSpan w:val="2"/>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61</w:t>
            </w:r>
          </w:p>
        </w:tc>
        <w:tc>
          <w:tcPr>
            <w:tcW w:w="1293"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1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1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27" w:type="dxa"/>
            <w:tcBorders>
              <w:top w:val="nil"/>
              <w:left w:val="nil"/>
              <w:bottom w:val="single" w:color="000000" w:sz="4" w:space="0"/>
              <w:right w:val="single" w:color="000000" w:sz="8" w:space="0"/>
            </w:tcBorders>
            <w:noWrap/>
            <w:vAlign w:val="center"/>
          </w:tcPr>
          <w:p>
            <w:pPr>
              <w:jc w:val="lef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trPr>
        <w:tc>
          <w:tcPr>
            <w:tcW w:w="1982" w:type="dxa"/>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二、政府性基金预算财政拨款</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30</w:t>
            </w:r>
          </w:p>
        </w:tc>
        <w:tc>
          <w:tcPr>
            <w:tcW w:w="142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2096" w:type="dxa"/>
            <w:gridSpan w:val="2"/>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62</w:t>
            </w:r>
          </w:p>
        </w:tc>
        <w:tc>
          <w:tcPr>
            <w:tcW w:w="1293"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1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1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27" w:type="dxa"/>
            <w:tcBorders>
              <w:top w:val="nil"/>
              <w:left w:val="nil"/>
              <w:bottom w:val="single" w:color="000000" w:sz="4" w:space="0"/>
              <w:right w:val="single" w:color="000000" w:sz="8" w:space="0"/>
            </w:tcBorders>
            <w:noWrap/>
            <w:vAlign w:val="center"/>
          </w:tcPr>
          <w:p>
            <w:pPr>
              <w:jc w:val="lef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trPr>
        <w:tc>
          <w:tcPr>
            <w:tcW w:w="1982" w:type="dxa"/>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三、国有资本经营预算财政拨款</w:t>
            </w: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31</w:t>
            </w:r>
          </w:p>
        </w:tc>
        <w:tc>
          <w:tcPr>
            <w:tcW w:w="142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2096" w:type="dxa"/>
            <w:gridSpan w:val="2"/>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p>
        </w:tc>
        <w:tc>
          <w:tcPr>
            <w:tcW w:w="62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63</w:t>
            </w:r>
          </w:p>
        </w:tc>
        <w:tc>
          <w:tcPr>
            <w:tcW w:w="1293"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1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1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27" w:type="dxa"/>
            <w:tcBorders>
              <w:top w:val="nil"/>
              <w:left w:val="nil"/>
              <w:bottom w:val="single" w:color="000000" w:sz="4" w:space="0"/>
              <w:right w:val="single" w:color="000000" w:sz="8" w:space="0"/>
            </w:tcBorders>
            <w:noWrap/>
            <w:vAlign w:val="center"/>
          </w:tcPr>
          <w:p>
            <w:pPr>
              <w:jc w:val="lef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trPr>
        <w:tc>
          <w:tcPr>
            <w:tcW w:w="1982" w:type="dxa"/>
            <w:tcBorders>
              <w:top w:val="nil"/>
              <w:left w:val="single" w:color="000000" w:sz="4" w:space="0"/>
              <w:bottom w:val="single" w:color="000000" w:sz="8" w:space="0"/>
              <w:right w:val="single" w:color="000000" w:sz="4" w:space="0"/>
            </w:tcBorders>
            <w:noWrap/>
            <w:vAlign w:val="center"/>
          </w:tcPr>
          <w:p>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lang w:bidi="ar"/>
              </w:rPr>
              <w:t>总计</w:t>
            </w:r>
          </w:p>
        </w:tc>
        <w:tc>
          <w:tcPr>
            <w:tcW w:w="623" w:type="dxa"/>
            <w:tcBorders>
              <w:top w:val="nil"/>
              <w:left w:val="nil"/>
              <w:bottom w:val="single" w:color="000000" w:sz="8"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32</w:t>
            </w:r>
          </w:p>
        </w:tc>
        <w:tc>
          <w:tcPr>
            <w:tcW w:w="1428" w:type="dxa"/>
            <w:tcBorders>
              <w:top w:val="nil"/>
              <w:left w:val="nil"/>
              <w:bottom w:val="single" w:color="000000" w:sz="8"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1,780.82</w:t>
            </w:r>
          </w:p>
        </w:tc>
        <w:tc>
          <w:tcPr>
            <w:tcW w:w="2096" w:type="dxa"/>
            <w:gridSpan w:val="2"/>
            <w:tcBorders>
              <w:top w:val="nil"/>
              <w:left w:val="nil"/>
              <w:bottom w:val="single" w:color="000000" w:sz="8" w:space="0"/>
              <w:right w:val="single" w:color="000000" w:sz="4" w:space="0"/>
            </w:tcBorders>
            <w:noWrap/>
            <w:vAlign w:val="center"/>
          </w:tcPr>
          <w:p>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lang w:bidi="ar"/>
              </w:rPr>
              <w:t>总计</w:t>
            </w:r>
          </w:p>
        </w:tc>
        <w:tc>
          <w:tcPr>
            <w:tcW w:w="623" w:type="dxa"/>
            <w:tcBorders>
              <w:top w:val="nil"/>
              <w:left w:val="nil"/>
              <w:bottom w:val="single" w:color="000000" w:sz="8"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64</w:t>
            </w:r>
          </w:p>
        </w:tc>
        <w:tc>
          <w:tcPr>
            <w:tcW w:w="1293" w:type="dxa"/>
            <w:gridSpan w:val="2"/>
            <w:tcBorders>
              <w:top w:val="nil"/>
              <w:left w:val="nil"/>
              <w:bottom w:val="single" w:color="000000" w:sz="8"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1,780.82</w:t>
            </w:r>
          </w:p>
        </w:tc>
        <w:tc>
          <w:tcPr>
            <w:tcW w:w="1218" w:type="dxa"/>
            <w:tcBorders>
              <w:top w:val="nil"/>
              <w:left w:val="nil"/>
              <w:bottom w:val="single" w:color="000000" w:sz="8" w:space="0"/>
              <w:right w:val="single" w:color="000000" w:sz="4" w:space="0"/>
            </w:tcBorders>
            <w:noWrap/>
            <w:vAlign w:val="center"/>
          </w:tcPr>
          <w:p>
            <w:pPr>
              <w:jc w:val="right"/>
              <w:rPr>
                <w:rFonts w:ascii="Times New Roman" w:hAnsi="Times New Roman" w:cs="Times New Roman"/>
                <w:sz w:val="20"/>
                <w:szCs w:val="20"/>
              </w:rPr>
            </w:pPr>
          </w:p>
          <w:p>
            <w:pPr>
              <w:jc w:val="right"/>
              <w:rPr>
                <w:rFonts w:ascii="Times New Roman" w:hAnsi="Times New Roman" w:cs="Times New Roman"/>
                <w:sz w:val="20"/>
                <w:szCs w:val="20"/>
              </w:rPr>
            </w:pPr>
            <w:r>
              <w:rPr>
                <w:rFonts w:ascii="Times New Roman" w:hAnsi="Times New Roman" w:cs="Times New Roman"/>
                <w:sz w:val="20"/>
                <w:szCs w:val="20"/>
              </w:rPr>
              <w:t>1,780.82</w:t>
            </w:r>
          </w:p>
          <w:p>
            <w:pPr>
              <w:jc w:val="right"/>
              <w:rPr>
                <w:rFonts w:ascii="Times New Roman" w:hAnsi="Times New Roman" w:eastAsia="宋体" w:cs="Times New Roman"/>
                <w:color w:val="000000"/>
                <w:sz w:val="20"/>
                <w:szCs w:val="20"/>
              </w:rPr>
            </w:pPr>
          </w:p>
        </w:tc>
        <w:tc>
          <w:tcPr>
            <w:tcW w:w="1218" w:type="dxa"/>
            <w:tcBorders>
              <w:top w:val="nil"/>
              <w:left w:val="nil"/>
              <w:bottom w:val="single" w:color="000000" w:sz="8"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227" w:type="dxa"/>
            <w:tcBorders>
              <w:top w:val="nil"/>
              <w:left w:val="nil"/>
              <w:bottom w:val="single" w:color="000000" w:sz="8"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trPr>
        <w:tc>
          <w:tcPr>
            <w:tcW w:w="11708" w:type="dxa"/>
            <w:gridSpan w:val="11"/>
            <w:tcBorders>
              <w:top w:val="nil"/>
              <w:left w:val="nil"/>
              <w:bottom w:val="nil"/>
              <w:right w:val="nil"/>
            </w:tcBorders>
            <w:noWrap/>
            <w:vAlign w:val="center"/>
          </w:tcPr>
          <w:p>
            <w:pPr>
              <w:widowControl/>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注：本表反映部门本年度一般公共预算财政拨款、政府性基金预算财政拨款和国有资本经营预算财政拨款的总收支和年末结转结余情况。</w:t>
            </w:r>
          </w:p>
        </w:tc>
      </w:tr>
    </w:tbl>
    <w:p>
      <w:pPr>
        <w:rPr>
          <w:rFonts w:ascii="仿宋_GB2312" w:hAnsi="宋体" w:eastAsia="仿宋_GB2312"/>
          <w:b/>
          <w:sz w:val="32"/>
          <w:szCs w:val="32"/>
        </w:rPr>
      </w:pPr>
    </w:p>
    <w:p>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8600" w:type="dxa"/>
        <w:tblInd w:w="-657" w:type="dxa"/>
        <w:tblLayout w:type="fixed"/>
        <w:tblCellMar>
          <w:top w:w="0" w:type="dxa"/>
          <w:left w:w="108" w:type="dxa"/>
          <w:bottom w:w="0" w:type="dxa"/>
          <w:right w:w="108" w:type="dxa"/>
        </w:tblCellMar>
      </w:tblPr>
      <w:tblGrid>
        <w:gridCol w:w="908"/>
        <w:gridCol w:w="3416"/>
        <w:gridCol w:w="322"/>
        <w:gridCol w:w="918"/>
        <w:gridCol w:w="1003"/>
        <w:gridCol w:w="378"/>
        <w:gridCol w:w="1655"/>
      </w:tblGrid>
      <w:tr>
        <w:tblPrEx>
          <w:tblLayout w:type="fixed"/>
          <w:tblCellMar>
            <w:top w:w="0" w:type="dxa"/>
            <w:left w:w="108" w:type="dxa"/>
            <w:bottom w:w="0" w:type="dxa"/>
            <w:right w:w="108" w:type="dxa"/>
          </w:tblCellMar>
        </w:tblPrEx>
        <w:trPr>
          <w:trHeight w:val="657" w:hRule="atLeast"/>
        </w:trPr>
        <w:tc>
          <w:tcPr>
            <w:tcW w:w="8600" w:type="dxa"/>
            <w:gridSpan w:val="7"/>
            <w:tcBorders>
              <w:top w:val="nil"/>
              <w:left w:val="nil"/>
              <w:bottom w:val="nil"/>
              <w:right w:val="nil"/>
            </w:tcBorders>
            <w:noWrap/>
            <w:vAlign w:val="bottom"/>
          </w:tcPr>
          <w:p>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一般公共预算财政拨款支出决算表</w:t>
            </w:r>
          </w:p>
        </w:tc>
      </w:tr>
      <w:tr>
        <w:tblPrEx>
          <w:tblLayout w:type="fixed"/>
          <w:tblCellMar>
            <w:top w:w="0" w:type="dxa"/>
            <w:left w:w="108" w:type="dxa"/>
            <w:bottom w:w="0" w:type="dxa"/>
            <w:right w:w="108" w:type="dxa"/>
          </w:tblCellMar>
        </w:tblPrEx>
        <w:trPr>
          <w:trHeight w:val="329" w:hRule="atLeast"/>
        </w:trPr>
        <w:tc>
          <w:tcPr>
            <w:tcW w:w="8600" w:type="dxa"/>
            <w:gridSpan w:val="7"/>
            <w:tcBorders>
              <w:top w:val="nil"/>
              <w:left w:val="nil"/>
              <w:bottom w:val="nil"/>
              <w:right w:val="nil"/>
            </w:tcBorders>
            <w:noWrap/>
            <w:vAlign w:val="bottom"/>
          </w:tcPr>
          <w:p>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公开</w:t>
            </w:r>
            <w:r>
              <w:rPr>
                <w:rFonts w:ascii="Times New Roman" w:hAnsi="Times New Roman" w:eastAsia="方正仿宋_GB2312" w:cs="Times New Roman"/>
                <w:color w:val="000000"/>
                <w:sz w:val="20"/>
                <w:szCs w:val="20"/>
                <w:lang w:bidi="ar"/>
              </w:rPr>
              <w:t>05</w:t>
            </w:r>
            <w:r>
              <w:rPr>
                <w:rFonts w:hint="eastAsia" w:ascii="方正仿宋_GB2312" w:hAnsi="方正仿宋_GB2312" w:eastAsia="方正仿宋_GB2312" w:cs="方正仿宋_GB2312"/>
                <w:color w:val="000000"/>
                <w:sz w:val="20"/>
                <w:szCs w:val="20"/>
                <w:lang w:bidi="ar"/>
              </w:rPr>
              <w:t>表</w:t>
            </w:r>
          </w:p>
        </w:tc>
      </w:tr>
      <w:tr>
        <w:tblPrEx>
          <w:tblLayout w:type="fixed"/>
          <w:tblCellMar>
            <w:top w:w="0" w:type="dxa"/>
            <w:left w:w="108" w:type="dxa"/>
            <w:bottom w:w="0" w:type="dxa"/>
            <w:right w:w="108" w:type="dxa"/>
          </w:tblCellMar>
        </w:tblPrEx>
        <w:trPr>
          <w:trHeight w:val="329" w:hRule="atLeast"/>
        </w:trPr>
        <w:tc>
          <w:tcPr>
            <w:tcW w:w="4646" w:type="dxa"/>
            <w:gridSpan w:val="3"/>
            <w:tcBorders>
              <w:top w:val="nil"/>
              <w:left w:val="nil"/>
              <w:bottom w:val="single" w:color="auto" w:sz="4" w:space="0"/>
              <w:right w:val="nil"/>
            </w:tcBorders>
            <w:noWrap/>
            <w:vAlign w:val="bottom"/>
          </w:tcPr>
          <w:p>
            <w:pPr>
              <w:widowControl/>
              <w:jc w:val="lef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编制部门（单位）：赞皇县人民法院（本级）</w:t>
            </w:r>
          </w:p>
        </w:tc>
        <w:tc>
          <w:tcPr>
            <w:tcW w:w="1921" w:type="dxa"/>
            <w:gridSpan w:val="2"/>
            <w:tcBorders>
              <w:top w:val="nil"/>
              <w:left w:val="nil"/>
              <w:bottom w:val="single" w:color="auto" w:sz="4" w:space="0"/>
              <w:right w:val="nil"/>
            </w:tcBorders>
            <w:noWrap/>
            <w:vAlign w:val="bottom"/>
          </w:tcPr>
          <w:p>
            <w:pPr>
              <w:widowControl/>
              <w:jc w:val="center"/>
              <w:textAlignment w:val="bottom"/>
              <w:rPr>
                <w:rFonts w:asciiTheme="minorEastAsia" w:hAnsiTheme="minorEastAsia" w:cstheme="minorEastAsia"/>
                <w:color w:val="000000"/>
                <w:sz w:val="20"/>
                <w:szCs w:val="20"/>
                <w:lang w:bidi="ar"/>
              </w:rPr>
            </w:pPr>
            <w:r>
              <w:rPr>
                <w:rFonts w:ascii="Times New Roman" w:hAnsi="Times New Roman" w:cs="Times New Roman"/>
                <w:color w:val="000000"/>
                <w:sz w:val="20"/>
                <w:szCs w:val="20"/>
                <w:lang w:bidi="ar"/>
              </w:rPr>
              <w:t>202</w:t>
            </w:r>
            <w:r>
              <w:rPr>
                <w:rFonts w:hint="eastAsia" w:ascii="Times New Roman" w:hAnsi="Times New Roman" w:cs="Times New Roman"/>
                <w:color w:val="000000"/>
                <w:sz w:val="20"/>
                <w:szCs w:val="20"/>
                <w:lang w:bidi="ar"/>
              </w:rPr>
              <w:t>4</w:t>
            </w:r>
            <w:r>
              <w:rPr>
                <w:rFonts w:hint="eastAsia" w:ascii="方正仿宋_GB2312" w:hAnsi="方正仿宋_GB2312" w:eastAsia="方正仿宋_GB2312" w:cs="方正仿宋_GB2312"/>
                <w:color w:val="000000"/>
                <w:sz w:val="20"/>
                <w:szCs w:val="20"/>
                <w:lang w:bidi="ar"/>
              </w:rPr>
              <w:t>年度</w:t>
            </w:r>
          </w:p>
        </w:tc>
        <w:tc>
          <w:tcPr>
            <w:tcW w:w="2033" w:type="dxa"/>
            <w:gridSpan w:val="2"/>
            <w:tcBorders>
              <w:top w:val="nil"/>
              <w:left w:val="nil"/>
              <w:bottom w:val="single" w:color="auto" w:sz="4" w:space="0"/>
              <w:right w:val="nil"/>
            </w:tcBorders>
            <w:noWrap/>
            <w:vAlign w:val="bottom"/>
          </w:tcPr>
          <w:p>
            <w:pPr>
              <w:widowControl/>
              <w:jc w:val="right"/>
              <w:textAlignment w:val="bottom"/>
              <w:rPr>
                <w:rFonts w:ascii="方正仿宋_GB2312" w:hAnsi="方正仿宋_GB2312" w:eastAsia="方正仿宋_GB2312" w:cs="方正仿宋_GB2312"/>
                <w:color w:val="000000"/>
                <w:sz w:val="20"/>
                <w:szCs w:val="20"/>
                <w:lang w:bidi="ar"/>
              </w:rPr>
            </w:pPr>
            <w:r>
              <w:rPr>
                <w:rFonts w:hint="eastAsia" w:ascii="方正仿宋_GB2312" w:hAnsi="方正仿宋_GB2312" w:eastAsia="方正仿宋_GB2312" w:cs="方正仿宋_GB2312"/>
                <w:color w:val="000000"/>
                <w:sz w:val="20"/>
                <w:szCs w:val="20"/>
                <w:lang w:bidi="ar"/>
              </w:rPr>
              <w:t>金额单位：万元</w:t>
            </w:r>
          </w:p>
        </w:tc>
      </w:tr>
      <w:tr>
        <w:tblPrEx>
          <w:tblLayout w:type="fixed"/>
          <w:tblCellMar>
            <w:top w:w="0" w:type="dxa"/>
            <w:left w:w="108" w:type="dxa"/>
            <w:bottom w:w="0" w:type="dxa"/>
            <w:right w:w="108" w:type="dxa"/>
          </w:tblCellMar>
        </w:tblPrEx>
        <w:trPr>
          <w:trHeight w:val="510" w:hRule="atLeast"/>
        </w:trPr>
        <w:tc>
          <w:tcPr>
            <w:tcW w:w="4324" w:type="dxa"/>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项目</w:t>
            </w:r>
          </w:p>
        </w:tc>
        <w:tc>
          <w:tcPr>
            <w:tcW w:w="4276" w:type="dxa"/>
            <w:gridSpan w:val="5"/>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本年支出</w:t>
            </w:r>
          </w:p>
        </w:tc>
      </w:tr>
      <w:tr>
        <w:tblPrEx>
          <w:tblLayout w:type="fixed"/>
          <w:tblCellMar>
            <w:top w:w="0" w:type="dxa"/>
            <w:left w:w="108" w:type="dxa"/>
            <w:bottom w:w="0" w:type="dxa"/>
            <w:right w:w="108" w:type="dxa"/>
          </w:tblCellMar>
        </w:tblPrEx>
        <w:trPr>
          <w:trHeight w:val="369" w:hRule="atLeast"/>
        </w:trPr>
        <w:tc>
          <w:tcPr>
            <w:tcW w:w="908"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科目代码</w:t>
            </w:r>
          </w:p>
        </w:tc>
        <w:tc>
          <w:tcPr>
            <w:tcW w:w="3416"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科目名称</w:t>
            </w:r>
          </w:p>
        </w:tc>
        <w:tc>
          <w:tcPr>
            <w:tcW w:w="1240"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小计</w:t>
            </w:r>
          </w:p>
        </w:tc>
        <w:tc>
          <w:tcPr>
            <w:tcW w:w="1381"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基本支出</w:t>
            </w:r>
          </w:p>
        </w:tc>
        <w:tc>
          <w:tcPr>
            <w:tcW w:w="1655"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项目支出</w:t>
            </w:r>
          </w:p>
        </w:tc>
      </w:tr>
      <w:tr>
        <w:tblPrEx>
          <w:tblLayout w:type="fixed"/>
          <w:tblCellMar>
            <w:top w:w="0" w:type="dxa"/>
            <w:left w:w="108" w:type="dxa"/>
            <w:bottom w:w="0" w:type="dxa"/>
            <w:right w:w="108" w:type="dxa"/>
          </w:tblCellMar>
        </w:tblPrEx>
        <w:trPr>
          <w:trHeight w:val="346" w:hRule="atLeast"/>
        </w:trPr>
        <w:tc>
          <w:tcPr>
            <w:tcW w:w="908"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olor w:val="000000"/>
                <w:sz w:val="20"/>
                <w:szCs w:val="20"/>
              </w:rPr>
            </w:pPr>
          </w:p>
        </w:tc>
        <w:tc>
          <w:tcPr>
            <w:tcW w:w="3416"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olor w:val="000000"/>
                <w:sz w:val="20"/>
                <w:szCs w:val="20"/>
              </w:rPr>
            </w:pPr>
          </w:p>
        </w:tc>
        <w:tc>
          <w:tcPr>
            <w:tcW w:w="1240" w:type="dxa"/>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olor w:val="000000"/>
                <w:sz w:val="20"/>
                <w:szCs w:val="20"/>
              </w:rPr>
            </w:pPr>
          </w:p>
        </w:tc>
        <w:tc>
          <w:tcPr>
            <w:tcW w:w="1381" w:type="dxa"/>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olor w:val="000000"/>
                <w:sz w:val="20"/>
                <w:szCs w:val="20"/>
              </w:rPr>
            </w:pPr>
          </w:p>
        </w:tc>
        <w:tc>
          <w:tcPr>
            <w:tcW w:w="1655"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olor w:val="000000"/>
                <w:sz w:val="20"/>
                <w:szCs w:val="20"/>
              </w:rPr>
            </w:pPr>
          </w:p>
        </w:tc>
      </w:tr>
      <w:tr>
        <w:tblPrEx>
          <w:tblLayout w:type="fixed"/>
          <w:tblCellMar>
            <w:top w:w="0" w:type="dxa"/>
            <w:left w:w="108" w:type="dxa"/>
            <w:bottom w:w="0" w:type="dxa"/>
            <w:right w:w="108" w:type="dxa"/>
          </w:tblCellMar>
        </w:tblPrEx>
        <w:trPr>
          <w:trHeight w:val="369" w:hRule="atLeast"/>
        </w:trPr>
        <w:tc>
          <w:tcPr>
            <w:tcW w:w="908"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olor w:val="000000"/>
                <w:sz w:val="20"/>
                <w:szCs w:val="20"/>
              </w:rPr>
            </w:pPr>
          </w:p>
        </w:tc>
        <w:tc>
          <w:tcPr>
            <w:tcW w:w="3416"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olor w:val="000000"/>
                <w:sz w:val="20"/>
                <w:szCs w:val="20"/>
              </w:rPr>
            </w:pPr>
          </w:p>
        </w:tc>
        <w:tc>
          <w:tcPr>
            <w:tcW w:w="1240" w:type="dxa"/>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olor w:val="000000"/>
                <w:sz w:val="20"/>
                <w:szCs w:val="20"/>
              </w:rPr>
            </w:pPr>
          </w:p>
        </w:tc>
        <w:tc>
          <w:tcPr>
            <w:tcW w:w="1381" w:type="dxa"/>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olor w:val="000000"/>
                <w:sz w:val="20"/>
                <w:szCs w:val="20"/>
              </w:rPr>
            </w:pPr>
          </w:p>
        </w:tc>
        <w:tc>
          <w:tcPr>
            <w:tcW w:w="1655"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olor w:val="000000"/>
                <w:sz w:val="20"/>
                <w:szCs w:val="20"/>
              </w:rPr>
            </w:pPr>
          </w:p>
        </w:tc>
      </w:tr>
      <w:tr>
        <w:tblPrEx>
          <w:tblLayout w:type="fixed"/>
          <w:tblCellMar>
            <w:top w:w="0" w:type="dxa"/>
            <w:left w:w="108" w:type="dxa"/>
            <w:bottom w:w="0" w:type="dxa"/>
            <w:right w:w="108" w:type="dxa"/>
          </w:tblCellMar>
        </w:tblPrEx>
        <w:trPr>
          <w:trHeight w:val="369" w:hRule="atLeast"/>
        </w:trPr>
        <w:tc>
          <w:tcPr>
            <w:tcW w:w="4324" w:type="dxa"/>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栏次</w:t>
            </w:r>
          </w:p>
        </w:tc>
        <w:tc>
          <w:tcPr>
            <w:tcW w:w="1240" w:type="dxa"/>
            <w:gridSpan w:val="2"/>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1</w:t>
            </w:r>
          </w:p>
        </w:tc>
        <w:tc>
          <w:tcPr>
            <w:tcW w:w="1381" w:type="dxa"/>
            <w:gridSpan w:val="2"/>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2</w:t>
            </w:r>
          </w:p>
        </w:tc>
        <w:tc>
          <w:tcPr>
            <w:tcW w:w="1655"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3</w:t>
            </w:r>
          </w:p>
        </w:tc>
      </w:tr>
      <w:tr>
        <w:tblPrEx>
          <w:tblLayout w:type="fixed"/>
          <w:tblCellMar>
            <w:top w:w="0" w:type="dxa"/>
            <w:left w:w="108" w:type="dxa"/>
            <w:bottom w:w="0" w:type="dxa"/>
            <w:right w:w="108" w:type="dxa"/>
          </w:tblCellMar>
        </w:tblPrEx>
        <w:trPr>
          <w:trHeight w:val="369" w:hRule="atLeast"/>
        </w:trPr>
        <w:tc>
          <w:tcPr>
            <w:tcW w:w="4324" w:type="dxa"/>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合计</w:t>
            </w:r>
          </w:p>
        </w:tc>
        <w:tc>
          <w:tcPr>
            <w:tcW w:w="124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1,780.82</w:t>
            </w:r>
          </w:p>
        </w:tc>
        <w:tc>
          <w:tcPr>
            <w:tcW w:w="138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920.21</w:t>
            </w:r>
          </w:p>
        </w:tc>
        <w:tc>
          <w:tcPr>
            <w:tcW w:w="1655"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860.61</w:t>
            </w:r>
          </w:p>
        </w:tc>
      </w:tr>
      <w:tr>
        <w:tblPrEx>
          <w:tblLayout w:type="fixed"/>
          <w:tblCellMar>
            <w:top w:w="0" w:type="dxa"/>
            <w:left w:w="108" w:type="dxa"/>
            <w:bottom w:w="0" w:type="dxa"/>
            <w:right w:w="108" w:type="dxa"/>
          </w:tblCellMar>
        </w:tblPrEx>
        <w:trPr>
          <w:trHeight w:val="661" w:hRule="atLeast"/>
        </w:trPr>
        <w:tc>
          <w:tcPr>
            <w:tcW w:w="908" w:type="dxa"/>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204</w:t>
            </w:r>
          </w:p>
        </w:tc>
        <w:tc>
          <w:tcPr>
            <w:tcW w:w="3416" w:type="dxa"/>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公共安全支出</w:t>
            </w:r>
          </w:p>
        </w:tc>
        <w:tc>
          <w:tcPr>
            <w:tcW w:w="124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1,552.00</w:t>
            </w:r>
          </w:p>
        </w:tc>
        <w:tc>
          <w:tcPr>
            <w:tcW w:w="138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691.39</w:t>
            </w:r>
          </w:p>
        </w:tc>
        <w:tc>
          <w:tcPr>
            <w:tcW w:w="1655"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860.61</w:t>
            </w:r>
          </w:p>
        </w:tc>
      </w:tr>
      <w:tr>
        <w:tblPrEx>
          <w:tblLayout w:type="fixed"/>
          <w:tblCellMar>
            <w:top w:w="0" w:type="dxa"/>
            <w:left w:w="108" w:type="dxa"/>
            <w:bottom w:w="0" w:type="dxa"/>
            <w:right w:w="108" w:type="dxa"/>
          </w:tblCellMar>
        </w:tblPrEx>
        <w:trPr>
          <w:trHeight w:val="661" w:hRule="atLeast"/>
        </w:trPr>
        <w:tc>
          <w:tcPr>
            <w:tcW w:w="908" w:type="dxa"/>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20405</w:t>
            </w:r>
          </w:p>
        </w:tc>
        <w:tc>
          <w:tcPr>
            <w:tcW w:w="3416" w:type="dxa"/>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法院</w:t>
            </w:r>
          </w:p>
        </w:tc>
        <w:tc>
          <w:tcPr>
            <w:tcW w:w="124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1,552.00</w:t>
            </w:r>
          </w:p>
        </w:tc>
        <w:tc>
          <w:tcPr>
            <w:tcW w:w="138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691.39</w:t>
            </w:r>
          </w:p>
        </w:tc>
        <w:tc>
          <w:tcPr>
            <w:tcW w:w="1655"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860.61</w:t>
            </w:r>
          </w:p>
        </w:tc>
      </w:tr>
      <w:tr>
        <w:tblPrEx>
          <w:tblLayout w:type="fixed"/>
          <w:tblCellMar>
            <w:top w:w="0" w:type="dxa"/>
            <w:left w:w="108" w:type="dxa"/>
            <w:bottom w:w="0" w:type="dxa"/>
            <w:right w:w="108" w:type="dxa"/>
          </w:tblCellMar>
        </w:tblPrEx>
        <w:trPr>
          <w:trHeight w:val="661" w:hRule="atLeast"/>
        </w:trPr>
        <w:tc>
          <w:tcPr>
            <w:tcW w:w="908" w:type="dxa"/>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2040501</w:t>
            </w:r>
          </w:p>
        </w:tc>
        <w:tc>
          <w:tcPr>
            <w:tcW w:w="3416" w:type="dxa"/>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行政运行</w:t>
            </w:r>
          </w:p>
        </w:tc>
        <w:tc>
          <w:tcPr>
            <w:tcW w:w="124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691.39</w:t>
            </w:r>
          </w:p>
        </w:tc>
        <w:tc>
          <w:tcPr>
            <w:tcW w:w="138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691.39</w:t>
            </w:r>
          </w:p>
        </w:tc>
        <w:tc>
          <w:tcPr>
            <w:tcW w:w="1655"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661" w:hRule="atLeast"/>
        </w:trPr>
        <w:tc>
          <w:tcPr>
            <w:tcW w:w="908" w:type="dxa"/>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2040502</w:t>
            </w:r>
          </w:p>
        </w:tc>
        <w:tc>
          <w:tcPr>
            <w:tcW w:w="3416" w:type="dxa"/>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一般行政管理事务</w:t>
            </w:r>
          </w:p>
        </w:tc>
        <w:tc>
          <w:tcPr>
            <w:tcW w:w="124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550.13</w:t>
            </w:r>
          </w:p>
        </w:tc>
        <w:tc>
          <w:tcPr>
            <w:tcW w:w="138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655"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550.13</w:t>
            </w:r>
          </w:p>
        </w:tc>
      </w:tr>
      <w:tr>
        <w:tblPrEx>
          <w:tblLayout w:type="fixed"/>
          <w:tblCellMar>
            <w:top w:w="0" w:type="dxa"/>
            <w:left w:w="108" w:type="dxa"/>
            <w:bottom w:w="0" w:type="dxa"/>
            <w:right w:w="108" w:type="dxa"/>
          </w:tblCellMar>
        </w:tblPrEx>
        <w:trPr>
          <w:trHeight w:val="661" w:hRule="atLeast"/>
        </w:trPr>
        <w:tc>
          <w:tcPr>
            <w:tcW w:w="908" w:type="dxa"/>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2040599</w:t>
            </w:r>
          </w:p>
        </w:tc>
        <w:tc>
          <w:tcPr>
            <w:tcW w:w="3416" w:type="dxa"/>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其他法院支出</w:t>
            </w:r>
          </w:p>
        </w:tc>
        <w:tc>
          <w:tcPr>
            <w:tcW w:w="124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310.48</w:t>
            </w:r>
          </w:p>
        </w:tc>
        <w:tc>
          <w:tcPr>
            <w:tcW w:w="138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655"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310.48</w:t>
            </w:r>
          </w:p>
        </w:tc>
      </w:tr>
      <w:tr>
        <w:tblPrEx>
          <w:tblLayout w:type="fixed"/>
          <w:tblCellMar>
            <w:top w:w="0" w:type="dxa"/>
            <w:left w:w="108" w:type="dxa"/>
            <w:bottom w:w="0" w:type="dxa"/>
            <w:right w:w="108" w:type="dxa"/>
          </w:tblCellMar>
        </w:tblPrEx>
        <w:trPr>
          <w:trHeight w:val="661" w:hRule="atLeast"/>
        </w:trPr>
        <w:tc>
          <w:tcPr>
            <w:tcW w:w="908" w:type="dxa"/>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w:t>
            </w:r>
          </w:p>
        </w:tc>
        <w:tc>
          <w:tcPr>
            <w:tcW w:w="3416" w:type="dxa"/>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社会保障和就业支出</w:t>
            </w:r>
          </w:p>
        </w:tc>
        <w:tc>
          <w:tcPr>
            <w:tcW w:w="124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110.10</w:t>
            </w:r>
          </w:p>
        </w:tc>
        <w:tc>
          <w:tcPr>
            <w:tcW w:w="138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110.10</w:t>
            </w:r>
          </w:p>
        </w:tc>
        <w:tc>
          <w:tcPr>
            <w:tcW w:w="1655"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661" w:hRule="atLeast"/>
        </w:trPr>
        <w:tc>
          <w:tcPr>
            <w:tcW w:w="908" w:type="dxa"/>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w:t>
            </w:r>
          </w:p>
        </w:tc>
        <w:tc>
          <w:tcPr>
            <w:tcW w:w="3416" w:type="dxa"/>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行政事业单位养老支出</w:t>
            </w:r>
          </w:p>
        </w:tc>
        <w:tc>
          <w:tcPr>
            <w:tcW w:w="124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110.10</w:t>
            </w:r>
          </w:p>
        </w:tc>
        <w:tc>
          <w:tcPr>
            <w:tcW w:w="138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110.10</w:t>
            </w:r>
          </w:p>
        </w:tc>
        <w:tc>
          <w:tcPr>
            <w:tcW w:w="1655"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661" w:hRule="atLeast"/>
        </w:trPr>
        <w:tc>
          <w:tcPr>
            <w:tcW w:w="908" w:type="dxa"/>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2080501</w:t>
            </w:r>
          </w:p>
        </w:tc>
        <w:tc>
          <w:tcPr>
            <w:tcW w:w="3416" w:type="dxa"/>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行政单位离退休</w:t>
            </w:r>
          </w:p>
        </w:tc>
        <w:tc>
          <w:tcPr>
            <w:tcW w:w="124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54.64</w:t>
            </w:r>
          </w:p>
        </w:tc>
        <w:tc>
          <w:tcPr>
            <w:tcW w:w="138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54.64</w:t>
            </w:r>
          </w:p>
        </w:tc>
        <w:tc>
          <w:tcPr>
            <w:tcW w:w="1655"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661" w:hRule="atLeast"/>
        </w:trPr>
        <w:tc>
          <w:tcPr>
            <w:tcW w:w="908" w:type="dxa"/>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2080505</w:t>
            </w:r>
          </w:p>
        </w:tc>
        <w:tc>
          <w:tcPr>
            <w:tcW w:w="3416" w:type="dxa"/>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机关事业单位基本养老保险缴费支出</w:t>
            </w:r>
          </w:p>
        </w:tc>
        <w:tc>
          <w:tcPr>
            <w:tcW w:w="124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55.46</w:t>
            </w:r>
          </w:p>
        </w:tc>
        <w:tc>
          <w:tcPr>
            <w:tcW w:w="138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55.46</w:t>
            </w:r>
          </w:p>
        </w:tc>
        <w:tc>
          <w:tcPr>
            <w:tcW w:w="1655"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661" w:hRule="atLeast"/>
        </w:trPr>
        <w:tc>
          <w:tcPr>
            <w:tcW w:w="908" w:type="dxa"/>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w:t>
            </w:r>
          </w:p>
        </w:tc>
        <w:tc>
          <w:tcPr>
            <w:tcW w:w="3416" w:type="dxa"/>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卫生健康支出</w:t>
            </w:r>
          </w:p>
        </w:tc>
        <w:tc>
          <w:tcPr>
            <w:tcW w:w="124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54.95</w:t>
            </w:r>
          </w:p>
        </w:tc>
        <w:tc>
          <w:tcPr>
            <w:tcW w:w="138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54.95</w:t>
            </w:r>
          </w:p>
        </w:tc>
        <w:tc>
          <w:tcPr>
            <w:tcW w:w="1655"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661" w:hRule="atLeast"/>
        </w:trPr>
        <w:tc>
          <w:tcPr>
            <w:tcW w:w="908" w:type="dxa"/>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w:t>
            </w:r>
          </w:p>
        </w:tc>
        <w:tc>
          <w:tcPr>
            <w:tcW w:w="3416" w:type="dxa"/>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行政事业单位医疗</w:t>
            </w:r>
          </w:p>
        </w:tc>
        <w:tc>
          <w:tcPr>
            <w:tcW w:w="124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54.95</w:t>
            </w:r>
          </w:p>
        </w:tc>
        <w:tc>
          <w:tcPr>
            <w:tcW w:w="138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54.95</w:t>
            </w:r>
          </w:p>
        </w:tc>
        <w:tc>
          <w:tcPr>
            <w:tcW w:w="1655"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661" w:hRule="atLeast"/>
        </w:trPr>
        <w:tc>
          <w:tcPr>
            <w:tcW w:w="908" w:type="dxa"/>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2101102</w:t>
            </w:r>
          </w:p>
        </w:tc>
        <w:tc>
          <w:tcPr>
            <w:tcW w:w="3416" w:type="dxa"/>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事业单位医疗</w:t>
            </w:r>
          </w:p>
        </w:tc>
        <w:tc>
          <w:tcPr>
            <w:tcW w:w="124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28.83</w:t>
            </w:r>
          </w:p>
        </w:tc>
        <w:tc>
          <w:tcPr>
            <w:tcW w:w="138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28.83</w:t>
            </w:r>
          </w:p>
        </w:tc>
        <w:tc>
          <w:tcPr>
            <w:tcW w:w="1655"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661" w:hRule="atLeast"/>
        </w:trPr>
        <w:tc>
          <w:tcPr>
            <w:tcW w:w="908" w:type="dxa"/>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2101103</w:t>
            </w:r>
          </w:p>
        </w:tc>
        <w:tc>
          <w:tcPr>
            <w:tcW w:w="3416" w:type="dxa"/>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公务员医疗补助</w:t>
            </w:r>
          </w:p>
        </w:tc>
        <w:tc>
          <w:tcPr>
            <w:tcW w:w="124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26.12</w:t>
            </w:r>
          </w:p>
        </w:tc>
        <w:tc>
          <w:tcPr>
            <w:tcW w:w="138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26.12</w:t>
            </w:r>
          </w:p>
        </w:tc>
        <w:tc>
          <w:tcPr>
            <w:tcW w:w="1655"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661" w:hRule="atLeast"/>
        </w:trPr>
        <w:tc>
          <w:tcPr>
            <w:tcW w:w="908" w:type="dxa"/>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w:t>
            </w:r>
          </w:p>
        </w:tc>
        <w:tc>
          <w:tcPr>
            <w:tcW w:w="3416" w:type="dxa"/>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住房保障支出</w:t>
            </w:r>
          </w:p>
        </w:tc>
        <w:tc>
          <w:tcPr>
            <w:tcW w:w="124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63.77</w:t>
            </w:r>
          </w:p>
        </w:tc>
        <w:tc>
          <w:tcPr>
            <w:tcW w:w="138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63.77</w:t>
            </w:r>
          </w:p>
        </w:tc>
        <w:tc>
          <w:tcPr>
            <w:tcW w:w="1655"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661" w:hRule="atLeast"/>
        </w:trPr>
        <w:tc>
          <w:tcPr>
            <w:tcW w:w="908" w:type="dxa"/>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w:t>
            </w:r>
          </w:p>
        </w:tc>
        <w:tc>
          <w:tcPr>
            <w:tcW w:w="3416" w:type="dxa"/>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住房改革支出</w:t>
            </w:r>
          </w:p>
        </w:tc>
        <w:tc>
          <w:tcPr>
            <w:tcW w:w="124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63.77</w:t>
            </w:r>
          </w:p>
        </w:tc>
        <w:tc>
          <w:tcPr>
            <w:tcW w:w="138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63.77</w:t>
            </w:r>
          </w:p>
        </w:tc>
        <w:tc>
          <w:tcPr>
            <w:tcW w:w="1655"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661" w:hRule="atLeast"/>
        </w:trPr>
        <w:tc>
          <w:tcPr>
            <w:tcW w:w="908" w:type="dxa"/>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2210201</w:t>
            </w:r>
          </w:p>
        </w:tc>
        <w:tc>
          <w:tcPr>
            <w:tcW w:w="3416" w:type="dxa"/>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住房公积金</w:t>
            </w:r>
          </w:p>
        </w:tc>
        <w:tc>
          <w:tcPr>
            <w:tcW w:w="124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63.77</w:t>
            </w:r>
          </w:p>
        </w:tc>
        <w:tc>
          <w:tcPr>
            <w:tcW w:w="138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63.77</w:t>
            </w:r>
          </w:p>
        </w:tc>
        <w:tc>
          <w:tcPr>
            <w:tcW w:w="1655"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661" w:hRule="atLeast"/>
        </w:trPr>
        <w:tc>
          <w:tcPr>
            <w:tcW w:w="8600" w:type="dxa"/>
            <w:gridSpan w:val="7"/>
            <w:tcBorders>
              <w:top w:val="single" w:color="auto" w:sz="4" w:space="0"/>
              <w:left w:val="nil"/>
              <w:bottom w:val="nil"/>
              <w:right w:val="nil"/>
            </w:tcBorders>
            <w:noWrap/>
            <w:vAlign w:val="center"/>
          </w:tcPr>
          <w:p>
            <w:pPr>
              <w:widowControl/>
              <w:jc w:val="left"/>
              <w:textAlignment w:val="center"/>
              <w:rPr>
                <w:rFonts w:ascii="方正仿宋_GB2312" w:hAnsi="方正仿宋_GB2312" w:eastAsia="方正仿宋_GB2312" w:cs="方正仿宋_GB2312"/>
                <w:color w:val="000000"/>
                <w:sz w:val="20"/>
                <w:szCs w:val="20"/>
                <w:lang w:bidi="ar"/>
              </w:rPr>
            </w:pPr>
            <w:r>
              <w:rPr>
                <w:rFonts w:hint="eastAsia" w:ascii="方正仿宋_GB2312" w:hAnsi="方正仿宋_GB2312" w:eastAsia="方正仿宋_GB2312" w:cs="方正仿宋_GB2312"/>
                <w:color w:val="000000"/>
                <w:sz w:val="20"/>
                <w:szCs w:val="20"/>
                <w:lang w:bidi="ar"/>
              </w:rPr>
              <w:t>注：本表反映部门本年度一般公共预算财政拨款支出情况。</w:t>
            </w:r>
          </w:p>
        </w:tc>
      </w:tr>
    </w:tbl>
    <w:p>
      <w:pPr>
        <w:rPr>
          <w:rFonts w:ascii="仿宋_GB2312" w:hAnsi="宋体" w:eastAsia="仿宋_GB2312"/>
          <w:b/>
          <w:sz w:val="32"/>
          <w:szCs w:val="32"/>
        </w:rPr>
      </w:pPr>
    </w:p>
    <w:p>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11336" w:type="dxa"/>
        <w:tblInd w:w="-1617" w:type="dxa"/>
        <w:tblLayout w:type="fixed"/>
        <w:tblCellMar>
          <w:top w:w="0" w:type="dxa"/>
          <w:left w:w="108" w:type="dxa"/>
          <w:bottom w:w="0" w:type="dxa"/>
          <w:right w:w="108" w:type="dxa"/>
        </w:tblCellMar>
      </w:tblPr>
      <w:tblGrid>
        <w:gridCol w:w="963"/>
        <w:gridCol w:w="1813"/>
        <w:gridCol w:w="1018"/>
        <w:gridCol w:w="964"/>
        <w:gridCol w:w="440"/>
        <w:gridCol w:w="1372"/>
        <w:gridCol w:w="589"/>
        <w:gridCol w:w="374"/>
        <w:gridCol w:w="964"/>
        <w:gridCol w:w="1816"/>
        <w:gridCol w:w="1023"/>
      </w:tblGrid>
      <w:tr>
        <w:tblPrEx>
          <w:tblLayout w:type="fixed"/>
          <w:tblCellMar>
            <w:top w:w="0" w:type="dxa"/>
            <w:left w:w="108" w:type="dxa"/>
            <w:bottom w:w="0" w:type="dxa"/>
            <w:right w:w="108" w:type="dxa"/>
          </w:tblCellMar>
        </w:tblPrEx>
        <w:trPr>
          <w:trHeight w:val="624" w:hRule="atLeast"/>
        </w:trPr>
        <w:tc>
          <w:tcPr>
            <w:tcW w:w="11336" w:type="dxa"/>
            <w:gridSpan w:val="11"/>
            <w:tcBorders>
              <w:top w:val="nil"/>
              <w:left w:val="nil"/>
              <w:bottom w:val="nil"/>
              <w:right w:val="nil"/>
            </w:tcBorders>
            <w:noWrap/>
            <w:vAlign w:val="bottom"/>
          </w:tcPr>
          <w:p>
            <w:pPr>
              <w:widowControl/>
              <w:jc w:val="center"/>
              <w:textAlignment w:val="bottom"/>
              <w:rPr>
                <w:rFonts w:asciiTheme="minorEastAsia" w:hAnsiTheme="minorEastAsia" w:cstheme="minorEastAsia"/>
                <w:color w:val="000000"/>
                <w:sz w:val="18"/>
                <w:szCs w:val="18"/>
              </w:rPr>
            </w:pPr>
            <w:r>
              <w:rPr>
                <w:rFonts w:hint="eastAsia" w:ascii="方正仿宋_GB2312" w:hAnsi="方正仿宋_GB2312" w:eastAsia="方正仿宋_GB2312" w:cs="方正仿宋_GB2312"/>
                <w:bCs/>
                <w:sz w:val="32"/>
                <w:szCs w:val="32"/>
              </w:rPr>
              <w:t>一般公共预算财政拨款基本支出决算明细表</w:t>
            </w:r>
          </w:p>
        </w:tc>
      </w:tr>
      <w:tr>
        <w:tblPrEx>
          <w:tblLayout w:type="fixed"/>
          <w:tblCellMar>
            <w:top w:w="0" w:type="dxa"/>
            <w:left w:w="108" w:type="dxa"/>
            <w:bottom w:w="0" w:type="dxa"/>
            <w:right w:w="108" w:type="dxa"/>
          </w:tblCellMar>
        </w:tblPrEx>
        <w:trPr>
          <w:trHeight w:val="300" w:hRule="atLeast"/>
        </w:trPr>
        <w:tc>
          <w:tcPr>
            <w:tcW w:w="11336" w:type="dxa"/>
            <w:gridSpan w:val="11"/>
            <w:tcBorders>
              <w:top w:val="nil"/>
              <w:left w:val="nil"/>
              <w:bottom w:val="nil"/>
              <w:right w:val="nil"/>
            </w:tcBorders>
            <w:noWrap/>
            <w:vAlign w:val="bottom"/>
          </w:tcPr>
          <w:p>
            <w:pPr>
              <w:widowControl/>
              <w:jc w:val="right"/>
              <w:textAlignment w:val="bottom"/>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lang w:bidi="ar"/>
              </w:rPr>
              <w:t>公开</w:t>
            </w:r>
            <w:r>
              <w:rPr>
                <w:rFonts w:ascii="Times New Roman" w:hAnsi="Times New Roman" w:eastAsia="方正仿宋_GB2312" w:cs="Times New Roman"/>
                <w:color w:val="000000"/>
                <w:sz w:val="18"/>
                <w:szCs w:val="18"/>
                <w:lang w:bidi="ar"/>
              </w:rPr>
              <w:t>06</w:t>
            </w:r>
            <w:r>
              <w:rPr>
                <w:rFonts w:hint="eastAsia" w:ascii="方正仿宋_GB2312" w:hAnsi="方正仿宋_GB2312" w:eastAsia="方正仿宋_GB2312" w:cs="方正仿宋_GB2312"/>
                <w:color w:val="000000"/>
                <w:sz w:val="18"/>
                <w:szCs w:val="18"/>
                <w:lang w:bidi="ar"/>
              </w:rPr>
              <w:t>表</w:t>
            </w:r>
          </w:p>
        </w:tc>
      </w:tr>
      <w:tr>
        <w:tblPrEx>
          <w:tblLayout w:type="fixed"/>
          <w:tblCellMar>
            <w:top w:w="0" w:type="dxa"/>
            <w:left w:w="108" w:type="dxa"/>
            <w:bottom w:w="0" w:type="dxa"/>
            <w:right w:w="108" w:type="dxa"/>
          </w:tblCellMar>
        </w:tblPrEx>
        <w:trPr>
          <w:trHeight w:val="90" w:hRule="atLeast"/>
        </w:trPr>
        <w:tc>
          <w:tcPr>
            <w:tcW w:w="5198" w:type="dxa"/>
            <w:gridSpan w:val="5"/>
            <w:tcBorders>
              <w:top w:val="nil"/>
              <w:left w:val="nil"/>
              <w:bottom w:val="single" w:color="auto" w:sz="4" w:space="0"/>
              <w:right w:val="nil"/>
            </w:tcBorders>
            <w:noWrap/>
            <w:vAlign w:val="bottom"/>
          </w:tcPr>
          <w:p>
            <w:pPr>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lang w:bidi="ar"/>
              </w:rPr>
              <w:t xml:space="preserve">部门（单位）：赞皇县人民法院（本级） </w:t>
            </w:r>
            <w:r>
              <w:rPr>
                <w:rFonts w:hint="eastAsia" w:asciiTheme="minorEastAsia" w:hAnsiTheme="minorEastAsia" w:cstheme="minorEastAsia"/>
                <w:color w:val="000000"/>
                <w:sz w:val="18"/>
                <w:szCs w:val="18"/>
                <w:lang w:bidi="ar"/>
              </w:rPr>
              <w:t xml:space="preserve">                                                                   </w:t>
            </w:r>
          </w:p>
        </w:tc>
        <w:tc>
          <w:tcPr>
            <w:tcW w:w="1961" w:type="dxa"/>
            <w:gridSpan w:val="2"/>
            <w:tcBorders>
              <w:top w:val="nil"/>
              <w:left w:val="nil"/>
              <w:bottom w:val="single" w:color="auto" w:sz="4" w:space="0"/>
              <w:right w:val="nil"/>
            </w:tcBorders>
            <w:noWrap/>
            <w:vAlign w:val="bottom"/>
          </w:tcPr>
          <w:p>
            <w:pPr>
              <w:jc w:val="center"/>
              <w:rPr>
                <w:rFonts w:asciiTheme="minorEastAsia" w:hAnsiTheme="minorEastAsia" w:cstheme="minorEastAsia"/>
                <w:color w:val="000000"/>
                <w:sz w:val="18"/>
                <w:szCs w:val="18"/>
                <w:lang w:bidi="ar"/>
              </w:rPr>
            </w:pPr>
            <w:r>
              <w:rPr>
                <w:rFonts w:hint="eastAsia" w:asciiTheme="minorEastAsia" w:hAnsiTheme="minorEastAsia" w:cstheme="minorEastAsia"/>
                <w:color w:val="000000"/>
                <w:sz w:val="18"/>
                <w:szCs w:val="18"/>
                <w:lang w:bidi="ar"/>
              </w:rPr>
              <w:t>2024</w:t>
            </w:r>
            <w:r>
              <w:rPr>
                <w:rFonts w:hint="eastAsia" w:ascii="方正仿宋_GB2312" w:hAnsi="方正仿宋_GB2312" w:eastAsia="方正仿宋_GB2312" w:cs="方正仿宋_GB2312"/>
                <w:color w:val="000000"/>
                <w:sz w:val="18"/>
                <w:szCs w:val="18"/>
                <w:lang w:bidi="ar"/>
              </w:rPr>
              <w:t>年度</w:t>
            </w:r>
          </w:p>
        </w:tc>
        <w:tc>
          <w:tcPr>
            <w:tcW w:w="4177" w:type="dxa"/>
            <w:gridSpan w:val="4"/>
            <w:tcBorders>
              <w:top w:val="nil"/>
              <w:left w:val="nil"/>
              <w:bottom w:val="single" w:color="auto" w:sz="4" w:space="0"/>
              <w:right w:val="nil"/>
            </w:tcBorders>
            <w:noWrap/>
            <w:vAlign w:val="bottom"/>
          </w:tcPr>
          <w:p>
            <w:pPr>
              <w:jc w:val="right"/>
              <w:rPr>
                <w:rFonts w:asciiTheme="minorEastAsia" w:hAnsiTheme="minorEastAsia" w:cstheme="minorEastAsia"/>
                <w:color w:val="000000"/>
                <w:sz w:val="18"/>
                <w:szCs w:val="18"/>
                <w:lang w:bidi="ar"/>
              </w:rPr>
            </w:pPr>
            <w:r>
              <w:rPr>
                <w:rFonts w:hint="eastAsia" w:ascii="方正仿宋_GB2312" w:hAnsi="方正仿宋_GB2312" w:eastAsia="方正仿宋_GB2312" w:cs="方正仿宋_GB2312"/>
                <w:color w:val="000000"/>
                <w:sz w:val="18"/>
                <w:szCs w:val="18"/>
                <w:lang w:bidi="ar"/>
              </w:rPr>
              <w:t>金额单位：万元</w:t>
            </w:r>
          </w:p>
        </w:tc>
      </w:tr>
      <w:tr>
        <w:tblPrEx>
          <w:tblLayout w:type="fixed"/>
          <w:tblCellMar>
            <w:top w:w="0" w:type="dxa"/>
            <w:left w:w="108" w:type="dxa"/>
            <w:bottom w:w="0" w:type="dxa"/>
            <w:right w:w="108" w:type="dxa"/>
          </w:tblCellMar>
        </w:tblPrEx>
        <w:trPr>
          <w:trHeight w:val="510" w:hRule="atLeast"/>
        </w:trPr>
        <w:tc>
          <w:tcPr>
            <w:tcW w:w="3794" w:type="dxa"/>
            <w:gridSpan w:val="3"/>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人员经费</w:t>
            </w:r>
          </w:p>
        </w:tc>
        <w:tc>
          <w:tcPr>
            <w:tcW w:w="7542" w:type="dxa"/>
            <w:gridSpan w:val="8"/>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公用经费</w:t>
            </w:r>
          </w:p>
        </w:tc>
      </w:tr>
      <w:tr>
        <w:tblPrEx>
          <w:tblLayout w:type="fixed"/>
          <w:tblCellMar>
            <w:top w:w="0" w:type="dxa"/>
            <w:left w:w="108" w:type="dxa"/>
            <w:bottom w:w="0" w:type="dxa"/>
            <w:right w:w="108" w:type="dxa"/>
          </w:tblCellMar>
        </w:tblPrEx>
        <w:trPr>
          <w:trHeight w:val="510" w:hRule="atLeast"/>
        </w:trPr>
        <w:tc>
          <w:tcPr>
            <w:tcW w:w="96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科目代码</w:t>
            </w:r>
          </w:p>
        </w:tc>
        <w:tc>
          <w:tcPr>
            <w:tcW w:w="181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科目名称</w:t>
            </w:r>
          </w:p>
        </w:tc>
        <w:tc>
          <w:tcPr>
            <w:tcW w:w="1018"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金额</w:t>
            </w:r>
          </w:p>
        </w:tc>
        <w:tc>
          <w:tcPr>
            <w:tcW w:w="9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1812" w:type="dxa"/>
            <w:gridSpan w:val="2"/>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科目名称</w:t>
            </w:r>
          </w:p>
        </w:tc>
        <w:tc>
          <w:tcPr>
            <w:tcW w:w="963" w:type="dxa"/>
            <w:gridSpan w:val="2"/>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金额</w:t>
            </w:r>
          </w:p>
        </w:tc>
        <w:tc>
          <w:tcPr>
            <w:tcW w:w="9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1816"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科目名称</w:t>
            </w:r>
          </w:p>
        </w:tc>
        <w:tc>
          <w:tcPr>
            <w:tcW w:w="102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金额</w:t>
            </w:r>
          </w:p>
        </w:tc>
      </w:tr>
      <w:tr>
        <w:tblPrEx>
          <w:tblLayout w:type="fixed"/>
          <w:tblCellMar>
            <w:top w:w="0" w:type="dxa"/>
            <w:left w:w="108" w:type="dxa"/>
            <w:bottom w:w="0" w:type="dxa"/>
            <w:right w:w="108" w:type="dxa"/>
          </w:tblCellMar>
        </w:tblPrEx>
        <w:trPr>
          <w:trHeight w:val="510" w:hRule="atLeast"/>
        </w:trPr>
        <w:tc>
          <w:tcPr>
            <w:tcW w:w="96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w:t>
            </w:r>
          </w:p>
        </w:tc>
        <w:tc>
          <w:tcPr>
            <w:tcW w:w="1813"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工资福利支出</w:t>
            </w:r>
          </w:p>
        </w:tc>
        <w:tc>
          <w:tcPr>
            <w:tcW w:w="1018" w:type="dxa"/>
            <w:tcBorders>
              <w:top w:val="single" w:color="auto" w:sz="4" w:space="0"/>
              <w:left w:val="single" w:color="auto" w:sz="4" w:space="0"/>
              <w:bottom w:val="single" w:color="auto" w:sz="4" w:space="0"/>
              <w:right w:val="single" w:color="auto" w:sz="4" w:space="0"/>
            </w:tcBorders>
            <w:noWrap/>
            <w:vAlign w:val="center"/>
          </w:tcPr>
          <w:p>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712.99</w:t>
            </w: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w:t>
            </w:r>
          </w:p>
        </w:tc>
        <w:tc>
          <w:tcPr>
            <w:tcW w:w="1812"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商品和服务支出</w:t>
            </w:r>
          </w:p>
        </w:tc>
        <w:tc>
          <w:tcPr>
            <w:tcW w:w="963"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145.63</w:t>
            </w: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307</w:t>
            </w:r>
          </w:p>
        </w:tc>
        <w:tc>
          <w:tcPr>
            <w:tcW w:w="1816"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债务利息及费用支出</w:t>
            </w:r>
          </w:p>
        </w:tc>
        <w:tc>
          <w:tcPr>
            <w:tcW w:w="1023"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r>
      <w:tr>
        <w:tblPrEx>
          <w:tblLayout w:type="fixed"/>
          <w:tblCellMar>
            <w:top w:w="0" w:type="dxa"/>
            <w:left w:w="108" w:type="dxa"/>
            <w:bottom w:w="0" w:type="dxa"/>
            <w:right w:w="108" w:type="dxa"/>
          </w:tblCellMar>
        </w:tblPrEx>
        <w:trPr>
          <w:trHeight w:val="510" w:hRule="atLeast"/>
        </w:trPr>
        <w:tc>
          <w:tcPr>
            <w:tcW w:w="96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30101</w:t>
            </w:r>
          </w:p>
        </w:tc>
        <w:tc>
          <w:tcPr>
            <w:tcW w:w="1813"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基本工资</w:t>
            </w:r>
          </w:p>
        </w:tc>
        <w:tc>
          <w:tcPr>
            <w:tcW w:w="1018" w:type="dxa"/>
            <w:tcBorders>
              <w:top w:val="single" w:color="auto" w:sz="4" w:space="0"/>
              <w:left w:val="single" w:color="auto" w:sz="4" w:space="0"/>
              <w:bottom w:val="single" w:color="auto" w:sz="4" w:space="0"/>
              <w:right w:val="single" w:color="auto" w:sz="4" w:space="0"/>
            </w:tcBorders>
            <w:noWrap/>
            <w:vAlign w:val="center"/>
          </w:tcPr>
          <w:p>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241.23</w:t>
            </w: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30201</w:t>
            </w:r>
          </w:p>
        </w:tc>
        <w:tc>
          <w:tcPr>
            <w:tcW w:w="1812"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办公费</w:t>
            </w:r>
          </w:p>
        </w:tc>
        <w:tc>
          <w:tcPr>
            <w:tcW w:w="963"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r>
              <w:rPr>
                <w:rFonts w:hint="eastAsia" w:ascii="Times New Roman" w:hAnsi="Times New Roman" w:cs="Times New Roman"/>
                <w:sz w:val="18"/>
                <w:szCs w:val="18"/>
              </w:rPr>
              <w:t>3.42</w:t>
            </w: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30701</w:t>
            </w:r>
          </w:p>
        </w:tc>
        <w:tc>
          <w:tcPr>
            <w:tcW w:w="1816"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国内债务付息</w:t>
            </w:r>
          </w:p>
        </w:tc>
        <w:tc>
          <w:tcPr>
            <w:tcW w:w="1023"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r>
      <w:tr>
        <w:tblPrEx>
          <w:tblLayout w:type="fixed"/>
          <w:tblCellMar>
            <w:top w:w="0" w:type="dxa"/>
            <w:left w:w="108" w:type="dxa"/>
            <w:bottom w:w="0" w:type="dxa"/>
            <w:right w:w="108" w:type="dxa"/>
          </w:tblCellMar>
        </w:tblPrEx>
        <w:trPr>
          <w:trHeight w:val="510" w:hRule="atLeast"/>
        </w:trPr>
        <w:tc>
          <w:tcPr>
            <w:tcW w:w="96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30102</w:t>
            </w:r>
          </w:p>
        </w:tc>
        <w:tc>
          <w:tcPr>
            <w:tcW w:w="1813"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津贴补贴</w:t>
            </w:r>
          </w:p>
        </w:tc>
        <w:tc>
          <w:tcPr>
            <w:tcW w:w="1018" w:type="dxa"/>
            <w:tcBorders>
              <w:top w:val="single" w:color="auto" w:sz="4" w:space="0"/>
              <w:left w:val="single" w:color="auto" w:sz="4" w:space="0"/>
              <w:bottom w:val="single" w:color="auto" w:sz="4" w:space="0"/>
              <w:right w:val="single" w:color="auto" w:sz="4" w:space="0"/>
            </w:tcBorders>
            <w:noWrap/>
            <w:vAlign w:val="center"/>
          </w:tcPr>
          <w:p>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77.52</w:t>
            </w: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30202</w:t>
            </w:r>
          </w:p>
        </w:tc>
        <w:tc>
          <w:tcPr>
            <w:tcW w:w="1812"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印刷费</w:t>
            </w:r>
          </w:p>
        </w:tc>
        <w:tc>
          <w:tcPr>
            <w:tcW w:w="963"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30702</w:t>
            </w:r>
          </w:p>
        </w:tc>
        <w:tc>
          <w:tcPr>
            <w:tcW w:w="1816"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国外债务付息</w:t>
            </w:r>
          </w:p>
        </w:tc>
        <w:tc>
          <w:tcPr>
            <w:tcW w:w="1023"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r>
      <w:tr>
        <w:tblPrEx>
          <w:tblLayout w:type="fixed"/>
          <w:tblCellMar>
            <w:top w:w="0" w:type="dxa"/>
            <w:left w:w="108" w:type="dxa"/>
            <w:bottom w:w="0" w:type="dxa"/>
            <w:right w:w="108" w:type="dxa"/>
          </w:tblCellMar>
        </w:tblPrEx>
        <w:trPr>
          <w:trHeight w:val="510" w:hRule="atLeast"/>
        </w:trPr>
        <w:tc>
          <w:tcPr>
            <w:tcW w:w="96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30103</w:t>
            </w:r>
          </w:p>
        </w:tc>
        <w:tc>
          <w:tcPr>
            <w:tcW w:w="1813"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奖金</w:t>
            </w:r>
          </w:p>
        </w:tc>
        <w:tc>
          <w:tcPr>
            <w:tcW w:w="1018" w:type="dxa"/>
            <w:tcBorders>
              <w:top w:val="single" w:color="auto" w:sz="4" w:space="0"/>
              <w:left w:val="single" w:color="auto" w:sz="4" w:space="0"/>
              <w:bottom w:val="single" w:color="auto" w:sz="4" w:space="0"/>
              <w:right w:val="single" w:color="auto" w:sz="4" w:space="0"/>
            </w:tcBorders>
            <w:noWrap/>
            <w:vAlign w:val="center"/>
          </w:tcPr>
          <w:p>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220.07</w:t>
            </w: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30203</w:t>
            </w:r>
          </w:p>
        </w:tc>
        <w:tc>
          <w:tcPr>
            <w:tcW w:w="1812"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咨询费</w:t>
            </w:r>
          </w:p>
        </w:tc>
        <w:tc>
          <w:tcPr>
            <w:tcW w:w="963"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w:t>
            </w:r>
          </w:p>
        </w:tc>
        <w:tc>
          <w:tcPr>
            <w:tcW w:w="1816"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资本性支出</w:t>
            </w:r>
          </w:p>
        </w:tc>
        <w:tc>
          <w:tcPr>
            <w:tcW w:w="1023"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r>
      <w:tr>
        <w:tblPrEx>
          <w:tblLayout w:type="fixed"/>
          <w:tblCellMar>
            <w:top w:w="0" w:type="dxa"/>
            <w:left w:w="108" w:type="dxa"/>
            <w:bottom w:w="0" w:type="dxa"/>
            <w:right w:w="108" w:type="dxa"/>
          </w:tblCellMar>
        </w:tblPrEx>
        <w:trPr>
          <w:trHeight w:val="510" w:hRule="atLeast"/>
        </w:trPr>
        <w:tc>
          <w:tcPr>
            <w:tcW w:w="96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30106</w:t>
            </w:r>
          </w:p>
        </w:tc>
        <w:tc>
          <w:tcPr>
            <w:tcW w:w="1813"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伙食补助费</w:t>
            </w:r>
          </w:p>
        </w:tc>
        <w:tc>
          <w:tcPr>
            <w:tcW w:w="1018" w:type="dxa"/>
            <w:tcBorders>
              <w:top w:val="single" w:color="auto" w:sz="4" w:space="0"/>
              <w:left w:val="single" w:color="auto" w:sz="4" w:space="0"/>
              <w:bottom w:val="single" w:color="auto" w:sz="4" w:space="0"/>
              <w:right w:val="single" w:color="auto" w:sz="4" w:space="0"/>
            </w:tcBorders>
            <w:noWrap/>
            <w:vAlign w:val="center"/>
          </w:tcPr>
          <w:p>
            <w:pPr>
              <w:jc w:val="right"/>
              <w:rPr>
                <w:rFonts w:asciiTheme="minorEastAsia" w:hAnsiTheme="minorEastAsia" w:cstheme="minorEastAsia"/>
                <w:color w:val="000000"/>
                <w:sz w:val="18"/>
                <w:szCs w:val="18"/>
              </w:rPr>
            </w:pP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30204</w:t>
            </w:r>
          </w:p>
        </w:tc>
        <w:tc>
          <w:tcPr>
            <w:tcW w:w="1812"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手续费</w:t>
            </w:r>
          </w:p>
        </w:tc>
        <w:tc>
          <w:tcPr>
            <w:tcW w:w="963"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31001</w:t>
            </w:r>
          </w:p>
        </w:tc>
        <w:tc>
          <w:tcPr>
            <w:tcW w:w="1816"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房屋建筑物购建</w:t>
            </w:r>
          </w:p>
        </w:tc>
        <w:tc>
          <w:tcPr>
            <w:tcW w:w="1023"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r>
      <w:tr>
        <w:tblPrEx>
          <w:tblLayout w:type="fixed"/>
          <w:tblCellMar>
            <w:top w:w="0" w:type="dxa"/>
            <w:left w:w="108" w:type="dxa"/>
            <w:bottom w:w="0" w:type="dxa"/>
            <w:right w:w="108" w:type="dxa"/>
          </w:tblCellMar>
        </w:tblPrEx>
        <w:trPr>
          <w:trHeight w:val="510" w:hRule="atLeast"/>
        </w:trPr>
        <w:tc>
          <w:tcPr>
            <w:tcW w:w="96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30107</w:t>
            </w:r>
          </w:p>
        </w:tc>
        <w:tc>
          <w:tcPr>
            <w:tcW w:w="1813"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绩效工资</w:t>
            </w:r>
          </w:p>
        </w:tc>
        <w:tc>
          <w:tcPr>
            <w:tcW w:w="1018" w:type="dxa"/>
            <w:tcBorders>
              <w:top w:val="single" w:color="auto" w:sz="4" w:space="0"/>
              <w:left w:val="single" w:color="auto" w:sz="4" w:space="0"/>
              <w:bottom w:val="single" w:color="auto" w:sz="4" w:space="0"/>
              <w:right w:val="single" w:color="auto" w:sz="4" w:space="0"/>
            </w:tcBorders>
            <w:noWrap/>
            <w:vAlign w:val="center"/>
          </w:tcPr>
          <w:p>
            <w:pPr>
              <w:jc w:val="right"/>
              <w:rPr>
                <w:rFonts w:asciiTheme="minorEastAsia" w:hAnsiTheme="minorEastAsia" w:cstheme="minorEastAsia"/>
                <w:color w:val="000000"/>
                <w:sz w:val="18"/>
                <w:szCs w:val="18"/>
              </w:rPr>
            </w:pP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30205</w:t>
            </w:r>
          </w:p>
        </w:tc>
        <w:tc>
          <w:tcPr>
            <w:tcW w:w="1812"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水费</w:t>
            </w:r>
          </w:p>
        </w:tc>
        <w:tc>
          <w:tcPr>
            <w:tcW w:w="963"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r>
              <w:rPr>
                <w:rFonts w:hint="eastAsia" w:ascii="Times New Roman" w:hAnsi="Times New Roman" w:cs="Times New Roman"/>
                <w:sz w:val="18"/>
                <w:szCs w:val="18"/>
              </w:rPr>
              <w:t>0.60</w:t>
            </w: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31002</w:t>
            </w:r>
          </w:p>
        </w:tc>
        <w:tc>
          <w:tcPr>
            <w:tcW w:w="1816"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办公设备购置</w:t>
            </w:r>
          </w:p>
        </w:tc>
        <w:tc>
          <w:tcPr>
            <w:tcW w:w="1023"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r>
      <w:tr>
        <w:tblPrEx>
          <w:tblLayout w:type="fixed"/>
          <w:tblCellMar>
            <w:top w:w="0" w:type="dxa"/>
            <w:left w:w="108" w:type="dxa"/>
            <w:bottom w:w="0" w:type="dxa"/>
            <w:right w:w="108" w:type="dxa"/>
          </w:tblCellMar>
        </w:tblPrEx>
        <w:trPr>
          <w:trHeight w:val="510" w:hRule="atLeast"/>
        </w:trPr>
        <w:tc>
          <w:tcPr>
            <w:tcW w:w="96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30108</w:t>
            </w:r>
          </w:p>
        </w:tc>
        <w:tc>
          <w:tcPr>
            <w:tcW w:w="1813"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机关事业单位基本养老保险缴费</w:t>
            </w:r>
          </w:p>
        </w:tc>
        <w:tc>
          <w:tcPr>
            <w:tcW w:w="101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r>
              <w:rPr>
                <w:rFonts w:hint="eastAsia" w:ascii="Times New Roman" w:hAnsi="Times New Roman" w:cs="Times New Roman"/>
                <w:sz w:val="18"/>
                <w:szCs w:val="18"/>
              </w:rPr>
              <w:t>55.46</w:t>
            </w: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30206</w:t>
            </w:r>
          </w:p>
        </w:tc>
        <w:tc>
          <w:tcPr>
            <w:tcW w:w="1812"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电费</w:t>
            </w:r>
          </w:p>
        </w:tc>
        <w:tc>
          <w:tcPr>
            <w:tcW w:w="963"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r>
              <w:rPr>
                <w:rFonts w:hint="eastAsia" w:ascii="Times New Roman" w:hAnsi="Times New Roman" w:cs="Times New Roman"/>
                <w:sz w:val="18"/>
                <w:szCs w:val="18"/>
              </w:rPr>
              <w:t>4.48</w:t>
            </w: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31003</w:t>
            </w:r>
          </w:p>
        </w:tc>
        <w:tc>
          <w:tcPr>
            <w:tcW w:w="1816"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专用设备购置</w:t>
            </w:r>
          </w:p>
        </w:tc>
        <w:tc>
          <w:tcPr>
            <w:tcW w:w="1023" w:type="dxa"/>
            <w:tcBorders>
              <w:top w:val="single" w:color="auto" w:sz="4" w:space="0"/>
              <w:left w:val="single" w:color="auto" w:sz="4" w:space="0"/>
              <w:bottom w:val="single" w:color="auto" w:sz="4" w:space="0"/>
              <w:right w:val="single" w:color="auto" w:sz="4" w:space="0"/>
            </w:tcBorders>
            <w:noWrap/>
            <w:vAlign w:val="center"/>
          </w:tcPr>
          <w:p>
            <w:pPr>
              <w:jc w:val="right"/>
              <w:rPr>
                <w:rFonts w:asciiTheme="minorEastAsia" w:hAnsiTheme="minorEastAsia" w:cstheme="minorEastAsia"/>
                <w:color w:val="000000"/>
                <w:sz w:val="18"/>
                <w:szCs w:val="18"/>
              </w:rPr>
            </w:pPr>
          </w:p>
        </w:tc>
      </w:tr>
      <w:tr>
        <w:tblPrEx>
          <w:tblLayout w:type="fixed"/>
          <w:tblCellMar>
            <w:top w:w="0" w:type="dxa"/>
            <w:left w:w="108" w:type="dxa"/>
            <w:bottom w:w="0" w:type="dxa"/>
            <w:right w:w="108" w:type="dxa"/>
          </w:tblCellMar>
        </w:tblPrEx>
        <w:trPr>
          <w:trHeight w:val="510" w:hRule="atLeast"/>
        </w:trPr>
        <w:tc>
          <w:tcPr>
            <w:tcW w:w="96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30109</w:t>
            </w:r>
          </w:p>
        </w:tc>
        <w:tc>
          <w:tcPr>
            <w:tcW w:w="1813"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职业年金缴费</w:t>
            </w:r>
          </w:p>
        </w:tc>
        <w:tc>
          <w:tcPr>
            <w:tcW w:w="101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30207</w:t>
            </w:r>
          </w:p>
        </w:tc>
        <w:tc>
          <w:tcPr>
            <w:tcW w:w="1812"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邮电费</w:t>
            </w:r>
          </w:p>
        </w:tc>
        <w:tc>
          <w:tcPr>
            <w:tcW w:w="963"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r>
              <w:rPr>
                <w:rFonts w:hint="eastAsia" w:ascii="Times New Roman" w:hAnsi="Times New Roman" w:cs="Times New Roman"/>
                <w:sz w:val="18"/>
                <w:szCs w:val="18"/>
              </w:rPr>
              <w:t>29.72</w:t>
            </w: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31005</w:t>
            </w:r>
          </w:p>
        </w:tc>
        <w:tc>
          <w:tcPr>
            <w:tcW w:w="1816"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基础设施建设</w:t>
            </w:r>
          </w:p>
        </w:tc>
        <w:tc>
          <w:tcPr>
            <w:tcW w:w="1023" w:type="dxa"/>
            <w:tcBorders>
              <w:top w:val="single" w:color="auto" w:sz="4" w:space="0"/>
              <w:left w:val="single" w:color="auto" w:sz="4" w:space="0"/>
              <w:bottom w:val="single" w:color="auto" w:sz="4" w:space="0"/>
              <w:right w:val="single" w:color="auto" w:sz="4" w:space="0"/>
            </w:tcBorders>
            <w:noWrap/>
            <w:vAlign w:val="center"/>
          </w:tcPr>
          <w:p>
            <w:pPr>
              <w:jc w:val="right"/>
              <w:rPr>
                <w:rFonts w:asciiTheme="minorEastAsia" w:hAnsiTheme="minorEastAsia" w:cstheme="minorEastAsia"/>
                <w:color w:val="000000"/>
                <w:sz w:val="18"/>
                <w:szCs w:val="18"/>
              </w:rPr>
            </w:pPr>
          </w:p>
        </w:tc>
      </w:tr>
      <w:tr>
        <w:tblPrEx>
          <w:tblLayout w:type="fixed"/>
          <w:tblCellMar>
            <w:top w:w="0" w:type="dxa"/>
            <w:left w:w="108" w:type="dxa"/>
            <w:bottom w:w="0" w:type="dxa"/>
            <w:right w:w="108" w:type="dxa"/>
          </w:tblCellMar>
        </w:tblPrEx>
        <w:trPr>
          <w:trHeight w:val="510" w:hRule="atLeast"/>
        </w:trPr>
        <w:tc>
          <w:tcPr>
            <w:tcW w:w="96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30110</w:t>
            </w:r>
          </w:p>
        </w:tc>
        <w:tc>
          <w:tcPr>
            <w:tcW w:w="1813"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职工基本医疗保险缴费</w:t>
            </w:r>
          </w:p>
        </w:tc>
        <w:tc>
          <w:tcPr>
            <w:tcW w:w="101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28.83</w:t>
            </w: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30208</w:t>
            </w:r>
          </w:p>
        </w:tc>
        <w:tc>
          <w:tcPr>
            <w:tcW w:w="1812"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取暖费</w:t>
            </w:r>
          </w:p>
        </w:tc>
        <w:tc>
          <w:tcPr>
            <w:tcW w:w="963"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8.70</w:t>
            </w: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31006</w:t>
            </w:r>
          </w:p>
        </w:tc>
        <w:tc>
          <w:tcPr>
            <w:tcW w:w="1816"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大型修缮</w:t>
            </w:r>
          </w:p>
        </w:tc>
        <w:tc>
          <w:tcPr>
            <w:tcW w:w="1023"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Layout w:type="fixed"/>
          <w:tblCellMar>
            <w:top w:w="0" w:type="dxa"/>
            <w:left w:w="108" w:type="dxa"/>
            <w:bottom w:w="0" w:type="dxa"/>
            <w:right w:w="108" w:type="dxa"/>
          </w:tblCellMar>
        </w:tblPrEx>
        <w:trPr>
          <w:trHeight w:val="510" w:hRule="atLeast"/>
        </w:trPr>
        <w:tc>
          <w:tcPr>
            <w:tcW w:w="96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30111</w:t>
            </w:r>
          </w:p>
        </w:tc>
        <w:tc>
          <w:tcPr>
            <w:tcW w:w="1813"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公务员医疗补助缴费</w:t>
            </w:r>
          </w:p>
        </w:tc>
        <w:tc>
          <w:tcPr>
            <w:tcW w:w="101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26.12</w:t>
            </w: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30209</w:t>
            </w:r>
          </w:p>
        </w:tc>
        <w:tc>
          <w:tcPr>
            <w:tcW w:w="1812"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物业管理费</w:t>
            </w:r>
          </w:p>
        </w:tc>
        <w:tc>
          <w:tcPr>
            <w:tcW w:w="963"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31007</w:t>
            </w:r>
          </w:p>
        </w:tc>
        <w:tc>
          <w:tcPr>
            <w:tcW w:w="1816"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信息网络及软件购置更新</w:t>
            </w:r>
          </w:p>
        </w:tc>
        <w:tc>
          <w:tcPr>
            <w:tcW w:w="1023"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Layout w:type="fixed"/>
          <w:tblCellMar>
            <w:top w:w="0" w:type="dxa"/>
            <w:left w:w="108" w:type="dxa"/>
            <w:bottom w:w="0" w:type="dxa"/>
            <w:right w:w="108" w:type="dxa"/>
          </w:tblCellMar>
        </w:tblPrEx>
        <w:trPr>
          <w:trHeight w:val="510" w:hRule="atLeast"/>
        </w:trPr>
        <w:tc>
          <w:tcPr>
            <w:tcW w:w="96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30112</w:t>
            </w:r>
          </w:p>
        </w:tc>
        <w:tc>
          <w:tcPr>
            <w:tcW w:w="1813"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其他社会保障缴费</w:t>
            </w:r>
          </w:p>
        </w:tc>
        <w:tc>
          <w:tcPr>
            <w:tcW w:w="101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30211</w:t>
            </w:r>
          </w:p>
        </w:tc>
        <w:tc>
          <w:tcPr>
            <w:tcW w:w="1812"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差旅费</w:t>
            </w:r>
          </w:p>
        </w:tc>
        <w:tc>
          <w:tcPr>
            <w:tcW w:w="963"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11.74</w:t>
            </w: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31008</w:t>
            </w:r>
          </w:p>
        </w:tc>
        <w:tc>
          <w:tcPr>
            <w:tcW w:w="1816"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物资储备</w:t>
            </w:r>
          </w:p>
        </w:tc>
        <w:tc>
          <w:tcPr>
            <w:tcW w:w="1023"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Layout w:type="fixed"/>
          <w:tblCellMar>
            <w:top w:w="0" w:type="dxa"/>
            <w:left w:w="108" w:type="dxa"/>
            <w:bottom w:w="0" w:type="dxa"/>
            <w:right w:w="108" w:type="dxa"/>
          </w:tblCellMar>
        </w:tblPrEx>
        <w:trPr>
          <w:trHeight w:val="510" w:hRule="atLeast"/>
        </w:trPr>
        <w:tc>
          <w:tcPr>
            <w:tcW w:w="96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30113</w:t>
            </w:r>
          </w:p>
        </w:tc>
        <w:tc>
          <w:tcPr>
            <w:tcW w:w="1813"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住房公积金</w:t>
            </w:r>
          </w:p>
        </w:tc>
        <w:tc>
          <w:tcPr>
            <w:tcW w:w="101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63.77</w:t>
            </w: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30212</w:t>
            </w:r>
          </w:p>
        </w:tc>
        <w:tc>
          <w:tcPr>
            <w:tcW w:w="1812"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因公出国（境）费用</w:t>
            </w:r>
          </w:p>
        </w:tc>
        <w:tc>
          <w:tcPr>
            <w:tcW w:w="963"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31009</w:t>
            </w:r>
          </w:p>
        </w:tc>
        <w:tc>
          <w:tcPr>
            <w:tcW w:w="1816"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土地补偿</w:t>
            </w:r>
          </w:p>
        </w:tc>
        <w:tc>
          <w:tcPr>
            <w:tcW w:w="1023"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Layout w:type="fixed"/>
          <w:tblCellMar>
            <w:top w:w="0" w:type="dxa"/>
            <w:left w:w="108" w:type="dxa"/>
            <w:bottom w:w="0" w:type="dxa"/>
            <w:right w:w="108" w:type="dxa"/>
          </w:tblCellMar>
        </w:tblPrEx>
        <w:trPr>
          <w:trHeight w:val="510" w:hRule="atLeast"/>
        </w:trPr>
        <w:tc>
          <w:tcPr>
            <w:tcW w:w="96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30114</w:t>
            </w:r>
          </w:p>
        </w:tc>
        <w:tc>
          <w:tcPr>
            <w:tcW w:w="1813"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医疗费</w:t>
            </w:r>
          </w:p>
        </w:tc>
        <w:tc>
          <w:tcPr>
            <w:tcW w:w="101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30213</w:t>
            </w:r>
          </w:p>
        </w:tc>
        <w:tc>
          <w:tcPr>
            <w:tcW w:w="1812"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维修（护）费</w:t>
            </w:r>
          </w:p>
        </w:tc>
        <w:tc>
          <w:tcPr>
            <w:tcW w:w="963"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2.52</w:t>
            </w: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31010</w:t>
            </w:r>
          </w:p>
        </w:tc>
        <w:tc>
          <w:tcPr>
            <w:tcW w:w="1816"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安置补助</w:t>
            </w:r>
          </w:p>
        </w:tc>
        <w:tc>
          <w:tcPr>
            <w:tcW w:w="1023"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Layout w:type="fixed"/>
          <w:tblCellMar>
            <w:top w:w="0" w:type="dxa"/>
            <w:left w:w="108" w:type="dxa"/>
            <w:bottom w:w="0" w:type="dxa"/>
            <w:right w:w="108" w:type="dxa"/>
          </w:tblCellMar>
        </w:tblPrEx>
        <w:trPr>
          <w:trHeight w:val="510" w:hRule="atLeast"/>
        </w:trPr>
        <w:tc>
          <w:tcPr>
            <w:tcW w:w="96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30199</w:t>
            </w:r>
          </w:p>
        </w:tc>
        <w:tc>
          <w:tcPr>
            <w:tcW w:w="1813"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其他工资福利支出</w:t>
            </w:r>
          </w:p>
        </w:tc>
        <w:tc>
          <w:tcPr>
            <w:tcW w:w="101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30214</w:t>
            </w:r>
          </w:p>
        </w:tc>
        <w:tc>
          <w:tcPr>
            <w:tcW w:w="1812"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租赁费</w:t>
            </w:r>
          </w:p>
        </w:tc>
        <w:tc>
          <w:tcPr>
            <w:tcW w:w="963"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31011</w:t>
            </w:r>
          </w:p>
        </w:tc>
        <w:tc>
          <w:tcPr>
            <w:tcW w:w="1816"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地上附着物和青苗补偿</w:t>
            </w:r>
          </w:p>
        </w:tc>
        <w:tc>
          <w:tcPr>
            <w:tcW w:w="1023"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Layout w:type="fixed"/>
          <w:tblCellMar>
            <w:top w:w="0" w:type="dxa"/>
            <w:left w:w="108" w:type="dxa"/>
            <w:bottom w:w="0" w:type="dxa"/>
            <w:right w:w="108" w:type="dxa"/>
          </w:tblCellMar>
        </w:tblPrEx>
        <w:trPr>
          <w:trHeight w:val="510" w:hRule="atLeast"/>
        </w:trPr>
        <w:tc>
          <w:tcPr>
            <w:tcW w:w="96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w:t>
            </w:r>
          </w:p>
        </w:tc>
        <w:tc>
          <w:tcPr>
            <w:tcW w:w="1813"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对个人和家庭的补助</w:t>
            </w:r>
          </w:p>
        </w:tc>
        <w:tc>
          <w:tcPr>
            <w:tcW w:w="101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61.59</w:t>
            </w: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30215</w:t>
            </w:r>
          </w:p>
        </w:tc>
        <w:tc>
          <w:tcPr>
            <w:tcW w:w="1812"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会议费</w:t>
            </w:r>
          </w:p>
        </w:tc>
        <w:tc>
          <w:tcPr>
            <w:tcW w:w="963"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31012</w:t>
            </w:r>
          </w:p>
        </w:tc>
        <w:tc>
          <w:tcPr>
            <w:tcW w:w="1816"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拆迁补偿</w:t>
            </w:r>
          </w:p>
        </w:tc>
        <w:tc>
          <w:tcPr>
            <w:tcW w:w="1023"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Layout w:type="fixed"/>
          <w:tblCellMar>
            <w:top w:w="0" w:type="dxa"/>
            <w:left w:w="108" w:type="dxa"/>
            <w:bottom w:w="0" w:type="dxa"/>
            <w:right w:w="108" w:type="dxa"/>
          </w:tblCellMar>
        </w:tblPrEx>
        <w:trPr>
          <w:trHeight w:val="510" w:hRule="atLeast"/>
        </w:trPr>
        <w:tc>
          <w:tcPr>
            <w:tcW w:w="96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30301</w:t>
            </w:r>
          </w:p>
        </w:tc>
        <w:tc>
          <w:tcPr>
            <w:tcW w:w="1813"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离休费</w:t>
            </w:r>
          </w:p>
        </w:tc>
        <w:tc>
          <w:tcPr>
            <w:tcW w:w="101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30216</w:t>
            </w:r>
          </w:p>
        </w:tc>
        <w:tc>
          <w:tcPr>
            <w:tcW w:w="1812"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培训费</w:t>
            </w:r>
          </w:p>
        </w:tc>
        <w:tc>
          <w:tcPr>
            <w:tcW w:w="963"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3.64</w:t>
            </w: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31013</w:t>
            </w:r>
          </w:p>
        </w:tc>
        <w:tc>
          <w:tcPr>
            <w:tcW w:w="1816"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公务用车购置</w:t>
            </w:r>
          </w:p>
        </w:tc>
        <w:tc>
          <w:tcPr>
            <w:tcW w:w="1023"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Layout w:type="fixed"/>
          <w:tblCellMar>
            <w:top w:w="0" w:type="dxa"/>
            <w:left w:w="108" w:type="dxa"/>
            <w:bottom w:w="0" w:type="dxa"/>
            <w:right w:w="108" w:type="dxa"/>
          </w:tblCellMar>
        </w:tblPrEx>
        <w:trPr>
          <w:trHeight w:val="510" w:hRule="atLeast"/>
        </w:trPr>
        <w:tc>
          <w:tcPr>
            <w:tcW w:w="96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30302</w:t>
            </w:r>
          </w:p>
        </w:tc>
        <w:tc>
          <w:tcPr>
            <w:tcW w:w="1813"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退休费</w:t>
            </w:r>
          </w:p>
        </w:tc>
        <w:tc>
          <w:tcPr>
            <w:tcW w:w="101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54.64</w:t>
            </w: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30217</w:t>
            </w:r>
          </w:p>
        </w:tc>
        <w:tc>
          <w:tcPr>
            <w:tcW w:w="1812"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公务接待费</w:t>
            </w:r>
          </w:p>
        </w:tc>
        <w:tc>
          <w:tcPr>
            <w:tcW w:w="963"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31019</w:t>
            </w:r>
          </w:p>
        </w:tc>
        <w:tc>
          <w:tcPr>
            <w:tcW w:w="1816"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其他交通工具购置</w:t>
            </w:r>
          </w:p>
        </w:tc>
        <w:tc>
          <w:tcPr>
            <w:tcW w:w="1023"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Layout w:type="fixed"/>
          <w:tblCellMar>
            <w:top w:w="0" w:type="dxa"/>
            <w:left w:w="108" w:type="dxa"/>
            <w:bottom w:w="0" w:type="dxa"/>
            <w:right w:w="108" w:type="dxa"/>
          </w:tblCellMar>
        </w:tblPrEx>
        <w:trPr>
          <w:trHeight w:val="510" w:hRule="atLeast"/>
        </w:trPr>
        <w:tc>
          <w:tcPr>
            <w:tcW w:w="96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30303</w:t>
            </w:r>
          </w:p>
        </w:tc>
        <w:tc>
          <w:tcPr>
            <w:tcW w:w="1813"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退职（役）费</w:t>
            </w:r>
          </w:p>
        </w:tc>
        <w:tc>
          <w:tcPr>
            <w:tcW w:w="101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30218</w:t>
            </w:r>
          </w:p>
        </w:tc>
        <w:tc>
          <w:tcPr>
            <w:tcW w:w="1812"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专用材料费</w:t>
            </w:r>
          </w:p>
        </w:tc>
        <w:tc>
          <w:tcPr>
            <w:tcW w:w="963"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31021</w:t>
            </w:r>
          </w:p>
        </w:tc>
        <w:tc>
          <w:tcPr>
            <w:tcW w:w="1816"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文物和陈列品购置</w:t>
            </w:r>
          </w:p>
        </w:tc>
        <w:tc>
          <w:tcPr>
            <w:tcW w:w="1023"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Layout w:type="fixed"/>
          <w:tblCellMar>
            <w:top w:w="0" w:type="dxa"/>
            <w:left w:w="108" w:type="dxa"/>
            <w:bottom w:w="0" w:type="dxa"/>
            <w:right w:w="108" w:type="dxa"/>
          </w:tblCellMar>
        </w:tblPrEx>
        <w:trPr>
          <w:trHeight w:val="510" w:hRule="atLeast"/>
        </w:trPr>
        <w:tc>
          <w:tcPr>
            <w:tcW w:w="96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30304</w:t>
            </w:r>
          </w:p>
        </w:tc>
        <w:tc>
          <w:tcPr>
            <w:tcW w:w="1813"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抚恤金</w:t>
            </w:r>
          </w:p>
        </w:tc>
        <w:tc>
          <w:tcPr>
            <w:tcW w:w="101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30224</w:t>
            </w:r>
          </w:p>
        </w:tc>
        <w:tc>
          <w:tcPr>
            <w:tcW w:w="1812"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被装购置费</w:t>
            </w:r>
          </w:p>
        </w:tc>
        <w:tc>
          <w:tcPr>
            <w:tcW w:w="963"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31022</w:t>
            </w:r>
          </w:p>
        </w:tc>
        <w:tc>
          <w:tcPr>
            <w:tcW w:w="1816"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无形资产购置</w:t>
            </w:r>
          </w:p>
        </w:tc>
        <w:tc>
          <w:tcPr>
            <w:tcW w:w="1023"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Layout w:type="fixed"/>
          <w:tblCellMar>
            <w:top w:w="0" w:type="dxa"/>
            <w:left w:w="108" w:type="dxa"/>
            <w:bottom w:w="0" w:type="dxa"/>
            <w:right w:w="108" w:type="dxa"/>
          </w:tblCellMar>
        </w:tblPrEx>
        <w:trPr>
          <w:trHeight w:val="510" w:hRule="atLeast"/>
        </w:trPr>
        <w:tc>
          <w:tcPr>
            <w:tcW w:w="96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30305</w:t>
            </w:r>
          </w:p>
        </w:tc>
        <w:tc>
          <w:tcPr>
            <w:tcW w:w="1813"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生活补助</w:t>
            </w:r>
          </w:p>
        </w:tc>
        <w:tc>
          <w:tcPr>
            <w:tcW w:w="101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6.95</w:t>
            </w: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30225</w:t>
            </w:r>
          </w:p>
        </w:tc>
        <w:tc>
          <w:tcPr>
            <w:tcW w:w="1812"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专用燃料费</w:t>
            </w:r>
          </w:p>
        </w:tc>
        <w:tc>
          <w:tcPr>
            <w:tcW w:w="963"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31099</w:t>
            </w:r>
          </w:p>
        </w:tc>
        <w:tc>
          <w:tcPr>
            <w:tcW w:w="1816"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其他资本性支出</w:t>
            </w:r>
          </w:p>
        </w:tc>
        <w:tc>
          <w:tcPr>
            <w:tcW w:w="1023"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Layout w:type="fixed"/>
          <w:tblCellMar>
            <w:top w:w="0" w:type="dxa"/>
            <w:left w:w="108" w:type="dxa"/>
            <w:bottom w:w="0" w:type="dxa"/>
            <w:right w:w="108" w:type="dxa"/>
          </w:tblCellMar>
        </w:tblPrEx>
        <w:trPr>
          <w:trHeight w:val="510" w:hRule="atLeast"/>
        </w:trPr>
        <w:tc>
          <w:tcPr>
            <w:tcW w:w="96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30306</w:t>
            </w:r>
          </w:p>
        </w:tc>
        <w:tc>
          <w:tcPr>
            <w:tcW w:w="1813"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救济费</w:t>
            </w:r>
          </w:p>
        </w:tc>
        <w:tc>
          <w:tcPr>
            <w:tcW w:w="101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30226</w:t>
            </w:r>
          </w:p>
        </w:tc>
        <w:tc>
          <w:tcPr>
            <w:tcW w:w="1812"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劳务费</w:t>
            </w:r>
          </w:p>
        </w:tc>
        <w:tc>
          <w:tcPr>
            <w:tcW w:w="963"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w:t>
            </w:r>
          </w:p>
        </w:tc>
        <w:tc>
          <w:tcPr>
            <w:tcW w:w="1816"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对企业补助</w:t>
            </w:r>
          </w:p>
        </w:tc>
        <w:tc>
          <w:tcPr>
            <w:tcW w:w="1023"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Layout w:type="fixed"/>
          <w:tblCellMar>
            <w:top w:w="0" w:type="dxa"/>
            <w:left w:w="108" w:type="dxa"/>
            <w:bottom w:w="0" w:type="dxa"/>
            <w:right w:w="108" w:type="dxa"/>
          </w:tblCellMar>
        </w:tblPrEx>
        <w:trPr>
          <w:trHeight w:val="510" w:hRule="atLeast"/>
        </w:trPr>
        <w:tc>
          <w:tcPr>
            <w:tcW w:w="96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30307</w:t>
            </w:r>
          </w:p>
        </w:tc>
        <w:tc>
          <w:tcPr>
            <w:tcW w:w="1813"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医疗费补助</w:t>
            </w:r>
          </w:p>
        </w:tc>
        <w:tc>
          <w:tcPr>
            <w:tcW w:w="101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30227</w:t>
            </w:r>
          </w:p>
        </w:tc>
        <w:tc>
          <w:tcPr>
            <w:tcW w:w="1812"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委托业务费</w:t>
            </w:r>
          </w:p>
        </w:tc>
        <w:tc>
          <w:tcPr>
            <w:tcW w:w="963"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31201</w:t>
            </w:r>
          </w:p>
        </w:tc>
        <w:tc>
          <w:tcPr>
            <w:tcW w:w="1816"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资本金注入</w:t>
            </w:r>
          </w:p>
        </w:tc>
        <w:tc>
          <w:tcPr>
            <w:tcW w:w="1023"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Layout w:type="fixed"/>
          <w:tblCellMar>
            <w:top w:w="0" w:type="dxa"/>
            <w:left w:w="108" w:type="dxa"/>
            <w:bottom w:w="0" w:type="dxa"/>
            <w:right w:w="108" w:type="dxa"/>
          </w:tblCellMar>
        </w:tblPrEx>
        <w:trPr>
          <w:trHeight w:val="510" w:hRule="atLeast"/>
        </w:trPr>
        <w:tc>
          <w:tcPr>
            <w:tcW w:w="96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30308</w:t>
            </w:r>
          </w:p>
        </w:tc>
        <w:tc>
          <w:tcPr>
            <w:tcW w:w="1813"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助学金</w:t>
            </w:r>
          </w:p>
        </w:tc>
        <w:tc>
          <w:tcPr>
            <w:tcW w:w="101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30228</w:t>
            </w:r>
          </w:p>
        </w:tc>
        <w:tc>
          <w:tcPr>
            <w:tcW w:w="1812"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工会经费</w:t>
            </w:r>
          </w:p>
        </w:tc>
        <w:tc>
          <w:tcPr>
            <w:tcW w:w="963"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4.65</w:t>
            </w: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31203</w:t>
            </w:r>
          </w:p>
        </w:tc>
        <w:tc>
          <w:tcPr>
            <w:tcW w:w="1816"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政府投资基金股权投资</w:t>
            </w:r>
          </w:p>
        </w:tc>
        <w:tc>
          <w:tcPr>
            <w:tcW w:w="1023"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Layout w:type="fixed"/>
          <w:tblCellMar>
            <w:top w:w="0" w:type="dxa"/>
            <w:left w:w="108" w:type="dxa"/>
            <w:bottom w:w="0" w:type="dxa"/>
            <w:right w:w="108" w:type="dxa"/>
          </w:tblCellMar>
        </w:tblPrEx>
        <w:trPr>
          <w:trHeight w:val="510" w:hRule="atLeast"/>
        </w:trPr>
        <w:tc>
          <w:tcPr>
            <w:tcW w:w="96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30309</w:t>
            </w:r>
          </w:p>
        </w:tc>
        <w:tc>
          <w:tcPr>
            <w:tcW w:w="1813"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奖励金</w:t>
            </w:r>
          </w:p>
        </w:tc>
        <w:tc>
          <w:tcPr>
            <w:tcW w:w="101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30229</w:t>
            </w:r>
          </w:p>
        </w:tc>
        <w:tc>
          <w:tcPr>
            <w:tcW w:w="1812"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福利费</w:t>
            </w:r>
          </w:p>
        </w:tc>
        <w:tc>
          <w:tcPr>
            <w:tcW w:w="963"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6.06</w:t>
            </w: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31204</w:t>
            </w:r>
          </w:p>
        </w:tc>
        <w:tc>
          <w:tcPr>
            <w:tcW w:w="1816"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费用补贴</w:t>
            </w:r>
          </w:p>
        </w:tc>
        <w:tc>
          <w:tcPr>
            <w:tcW w:w="1023"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Layout w:type="fixed"/>
          <w:tblCellMar>
            <w:top w:w="0" w:type="dxa"/>
            <w:left w:w="108" w:type="dxa"/>
            <w:bottom w:w="0" w:type="dxa"/>
            <w:right w:w="108" w:type="dxa"/>
          </w:tblCellMar>
        </w:tblPrEx>
        <w:trPr>
          <w:trHeight w:val="510" w:hRule="atLeast"/>
        </w:trPr>
        <w:tc>
          <w:tcPr>
            <w:tcW w:w="96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30310</w:t>
            </w:r>
          </w:p>
        </w:tc>
        <w:tc>
          <w:tcPr>
            <w:tcW w:w="1813"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个人农业生产补贴</w:t>
            </w:r>
          </w:p>
        </w:tc>
        <w:tc>
          <w:tcPr>
            <w:tcW w:w="101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30231</w:t>
            </w:r>
          </w:p>
        </w:tc>
        <w:tc>
          <w:tcPr>
            <w:tcW w:w="1812"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公务用车运行维护费</w:t>
            </w:r>
          </w:p>
        </w:tc>
        <w:tc>
          <w:tcPr>
            <w:tcW w:w="963"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29.70</w:t>
            </w: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31205</w:t>
            </w:r>
          </w:p>
        </w:tc>
        <w:tc>
          <w:tcPr>
            <w:tcW w:w="1816"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利息补贴</w:t>
            </w:r>
          </w:p>
        </w:tc>
        <w:tc>
          <w:tcPr>
            <w:tcW w:w="1023"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Layout w:type="fixed"/>
          <w:tblCellMar>
            <w:top w:w="0" w:type="dxa"/>
            <w:left w:w="108" w:type="dxa"/>
            <w:bottom w:w="0" w:type="dxa"/>
            <w:right w:w="108" w:type="dxa"/>
          </w:tblCellMar>
        </w:tblPrEx>
        <w:trPr>
          <w:trHeight w:val="510" w:hRule="atLeast"/>
        </w:trPr>
        <w:tc>
          <w:tcPr>
            <w:tcW w:w="96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30311</w:t>
            </w:r>
          </w:p>
        </w:tc>
        <w:tc>
          <w:tcPr>
            <w:tcW w:w="1813"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代缴社会保险费</w:t>
            </w:r>
          </w:p>
        </w:tc>
        <w:tc>
          <w:tcPr>
            <w:tcW w:w="101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30239</w:t>
            </w:r>
          </w:p>
        </w:tc>
        <w:tc>
          <w:tcPr>
            <w:tcW w:w="1812"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其他交通费用</w:t>
            </w:r>
          </w:p>
        </w:tc>
        <w:tc>
          <w:tcPr>
            <w:tcW w:w="963"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32.14</w:t>
            </w: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31299</w:t>
            </w:r>
          </w:p>
        </w:tc>
        <w:tc>
          <w:tcPr>
            <w:tcW w:w="1816"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其他对企业补助</w:t>
            </w:r>
          </w:p>
        </w:tc>
        <w:tc>
          <w:tcPr>
            <w:tcW w:w="1023"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Layout w:type="fixed"/>
          <w:tblCellMar>
            <w:top w:w="0" w:type="dxa"/>
            <w:left w:w="108" w:type="dxa"/>
            <w:bottom w:w="0" w:type="dxa"/>
            <w:right w:w="108" w:type="dxa"/>
          </w:tblCellMar>
        </w:tblPrEx>
        <w:trPr>
          <w:trHeight w:val="510" w:hRule="atLeast"/>
        </w:trPr>
        <w:tc>
          <w:tcPr>
            <w:tcW w:w="96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30399</w:t>
            </w:r>
          </w:p>
        </w:tc>
        <w:tc>
          <w:tcPr>
            <w:tcW w:w="1813"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其他对个人和家庭的补助</w:t>
            </w:r>
          </w:p>
        </w:tc>
        <w:tc>
          <w:tcPr>
            <w:tcW w:w="101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30240</w:t>
            </w:r>
          </w:p>
        </w:tc>
        <w:tc>
          <w:tcPr>
            <w:tcW w:w="1812"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税金及附加费用</w:t>
            </w:r>
          </w:p>
        </w:tc>
        <w:tc>
          <w:tcPr>
            <w:tcW w:w="963"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w:t>
            </w:r>
          </w:p>
        </w:tc>
        <w:tc>
          <w:tcPr>
            <w:tcW w:w="1816"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其他支出</w:t>
            </w:r>
          </w:p>
        </w:tc>
        <w:tc>
          <w:tcPr>
            <w:tcW w:w="1023"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Layout w:type="fixed"/>
          <w:tblCellMar>
            <w:top w:w="0" w:type="dxa"/>
            <w:left w:w="108" w:type="dxa"/>
            <w:bottom w:w="0" w:type="dxa"/>
            <w:right w:w="108" w:type="dxa"/>
          </w:tblCellMar>
        </w:tblPrEx>
        <w:trPr>
          <w:trHeight w:val="510" w:hRule="atLeast"/>
        </w:trPr>
        <w:tc>
          <w:tcPr>
            <w:tcW w:w="963" w:type="dxa"/>
            <w:tcBorders>
              <w:top w:val="single" w:color="auto" w:sz="4" w:space="0"/>
              <w:left w:val="single" w:color="auto" w:sz="4" w:space="0"/>
              <w:bottom w:val="single" w:color="auto" w:sz="4" w:space="0"/>
              <w:right w:val="single" w:color="auto" w:sz="4" w:space="0"/>
            </w:tcBorders>
            <w:noWrap/>
            <w:vAlign w:val="center"/>
          </w:tcPr>
          <w:p>
            <w:pPr>
              <w:jc w:val="center"/>
              <w:rPr>
                <w:rFonts w:asciiTheme="minorEastAsia" w:hAnsiTheme="minorEastAsia" w:cstheme="minorEastAsia"/>
                <w:color w:val="000000"/>
                <w:sz w:val="18"/>
                <w:szCs w:val="18"/>
              </w:rPr>
            </w:pPr>
          </w:p>
        </w:tc>
        <w:tc>
          <w:tcPr>
            <w:tcW w:w="1813" w:type="dxa"/>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1018" w:type="dxa"/>
            <w:tcBorders>
              <w:top w:val="single" w:color="auto" w:sz="4" w:space="0"/>
              <w:left w:val="single" w:color="auto" w:sz="4" w:space="0"/>
              <w:bottom w:val="single" w:color="auto" w:sz="4" w:space="0"/>
              <w:right w:val="single" w:color="auto" w:sz="4" w:space="0"/>
            </w:tcBorders>
            <w:noWrap/>
            <w:vAlign w:val="center"/>
          </w:tcPr>
          <w:p>
            <w:pPr>
              <w:jc w:val="left"/>
              <w:rPr>
                <w:rFonts w:ascii="Times New Roman" w:hAnsi="Times New Roman" w:cs="Times New Roman"/>
                <w:color w:val="000000"/>
                <w:sz w:val="18"/>
                <w:szCs w:val="18"/>
              </w:rPr>
            </w:pP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30299</w:t>
            </w:r>
          </w:p>
        </w:tc>
        <w:tc>
          <w:tcPr>
            <w:tcW w:w="1812"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其他商品和服务支出</w:t>
            </w:r>
          </w:p>
        </w:tc>
        <w:tc>
          <w:tcPr>
            <w:tcW w:w="963"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8.25</w:t>
            </w: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39907</w:t>
            </w:r>
          </w:p>
        </w:tc>
        <w:tc>
          <w:tcPr>
            <w:tcW w:w="1816"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国家赔偿费用支出</w:t>
            </w:r>
          </w:p>
        </w:tc>
        <w:tc>
          <w:tcPr>
            <w:tcW w:w="1023"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Layout w:type="fixed"/>
          <w:tblCellMar>
            <w:top w:w="0" w:type="dxa"/>
            <w:left w:w="108" w:type="dxa"/>
            <w:bottom w:w="0" w:type="dxa"/>
            <w:right w:w="108" w:type="dxa"/>
          </w:tblCellMar>
        </w:tblPrEx>
        <w:trPr>
          <w:trHeight w:val="510" w:hRule="atLeast"/>
        </w:trPr>
        <w:tc>
          <w:tcPr>
            <w:tcW w:w="963" w:type="dxa"/>
            <w:tcBorders>
              <w:top w:val="single" w:color="auto" w:sz="4" w:space="0"/>
              <w:left w:val="single" w:color="auto" w:sz="4" w:space="0"/>
              <w:bottom w:val="single" w:color="auto" w:sz="4" w:space="0"/>
              <w:right w:val="single" w:color="auto" w:sz="4" w:space="0"/>
            </w:tcBorders>
            <w:noWrap/>
            <w:vAlign w:val="center"/>
          </w:tcPr>
          <w:p>
            <w:pPr>
              <w:jc w:val="center"/>
              <w:rPr>
                <w:rFonts w:asciiTheme="minorEastAsia" w:hAnsiTheme="minorEastAsia" w:cstheme="minorEastAsia"/>
                <w:color w:val="000000"/>
                <w:sz w:val="18"/>
                <w:szCs w:val="18"/>
              </w:rPr>
            </w:pPr>
          </w:p>
        </w:tc>
        <w:tc>
          <w:tcPr>
            <w:tcW w:w="1813" w:type="dxa"/>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1018" w:type="dxa"/>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964" w:type="dxa"/>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1812"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963"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ascii="Times New Roman" w:hAnsi="Times New Roman" w:cs="Times New Roman"/>
                <w:color w:val="000000"/>
                <w:sz w:val="18"/>
                <w:szCs w:val="18"/>
              </w:rPr>
            </w:pP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39908</w:t>
            </w:r>
          </w:p>
        </w:tc>
        <w:tc>
          <w:tcPr>
            <w:tcW w:w="1816"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对民间非营利组织和群众性自治组织补贴</w:t>
            </w:r>
          </w:p>
        </w:tc>
        <w:tc>
          <w:tcPr>
            <w:tcW w:w="1023"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Layout w:type="fixed"/>
          <w:tblCellMar>
            <w:top w:w="0" w:type="dxa"/>
            <w:left w:w="108" w:type="dxa"/>
            <w:bottom w:w="0" w:type="dxa"/>
            <w:right w:w="108" w:type="dxa"/>
          </w:tblCellMar>
        </w:tblPrEx>
        <w:trPr>
          <w:trHeight w:val="510" w:hRule="atLeast"/>
        </w:trPr>
        <w:tc>
          <w:tcPr>
            <w:tcW w:w="963" w:type="dxa"/>
            <w:tcBorders>
              <w:top w:val="single" w:color="auto" w:sz="4" w:space="0"/>
              <w:left w:val="single" w:color="auto" w:sz="4" w:space="0"/>
              <w:bottom w:val="single" w:color="auto" w:sz="4" w:space="0"/>
              <w:right w:val="single" w:color="auto" w:sz="4" w:space="0"/>
            </w:tcBorders>
            <w:noWrap/>
            <w:vAlign w:val="center"/>
          </w:tcPr>
          <w:p>
            <w:pPr>
              <w:jc w:val="center"/>
              <w:rPr>
                <w:rFonts w:asciiTheme="minorEastAsia" w:hAnsiTheme="minorEastAsia" w:cstheme="minorEastAsia"/>
                <w:color w:val="000000"/>
                <w:sz w:val="18"/>
                <w:szCs w:val="18"/>
              </w:rPr>
            </w:pPr>
          </w:p>
        </w:tc>
        <w:tc>
          <w:tcPr>
            <w:tcW w:w="1813" w:type="dxa"/>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1018" w:type="dxa"/>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964" w:type="dxa"/>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1812"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963"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ascii="Times New Roman" w:hAnsi="Times New Roman" w:cs="Times New Roman"/>
                <w:color w:val="000000"/>
                <w:sz w:val="18"/>
                <w:szCs w:val="18"/>
              </w:rPr>
            </w:pP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39909</w:t>
            </w:r>
          </w:p>
        </w:tc>
        <w:tc>
          <w:tcPr>
            <w:tcW w:w="1816"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经常性赠与</w:t>
            </w:r>
          </w:p>
        </w:tc>
        <w:tc>
          <w:tcPr>
            <w:tcW w:w="1023"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Layout w:type="fixed"/>
          <w:tblCellMar>
            <w:top w:w="0" w:type="dxa"/>
            <w:left w:w="108" w:type="dxa"/>
            <w:bottom w:w="0" w:type="dxa"/>
            <w:right w:w="108" w:type="dxa"/>
          </w:tblCellMar>
        </w:tblPrEx>
        <w:trPr>
          <w:trHeight w:val="510" w:hRule="atLeast"/>
        </w:trPr>
        <w:tc>
          <w:tcPr>
            <w:tcW w:w="963" w:type="dxa"/>
            <w:tcBorders>
              <w:top w:val="single" w:color="auto" w:sz="4" w:space="0"/>
              <w:left w:val="single" w:color="auto" w:sz="4" w:space="0"/>
              <w:bottom w:val="single" w:color="auto" w:sz="4" w:space="0"/>
              <w:right w:val="single" w:color="auto" w:sz="4" w:space="0"/>
            </w:tcBorders>
            <w:noWrap/>
            <w:vAlign w:val="center"/>
          </w:tcPr>
          <w:p>
            <w:pPr>
              <w:jc w:val="center"/>
              <w:rPr>
                <w:rFonts w:asciiTheme="minorEastAsia" w:hAnsiTheme="minorEastAsia" w:cstheme="minorEastAsia"/>
                <w:color w:val="000000"/>
                <w:sz w:val="18"/>
                <w:szCs w:val="18"/>
              </w:rPr>
            </w:pPr>
          </w:p>
        </w:tc>
        <w:tc>
          <w:tcPr>
            <w:tcW w:w="1813" w:type="dxa"/>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1018" w:type="dxa"/>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964" w:type="dxa"/>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1812"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963"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ascii="Times New Roman" w:hAnsi="Times New Roman" w:cs="Times New Roman"/>
                <w:color w:val="000000"/>
                <w:sz w:val="18"/>
                <w:szCs w:val="18"/>
              </w:rPr>
            </w:pP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39910</w:t>
            </w:r>
          </w:p>
        </w:tc>
        <w:tc>
          <w:tcPr>
            <w:tcW w:w="1816"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资本性赠与</w:t>
            </w:r>
          </w:p>
        </w:tc>
        <w:tc>
          <w:tcPr>
            <w:tcW w:w="1023"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Layout w:type="fixed"/>
          <w:tblCellMar>
            <w:top w:w="0" w:type="dxa"/>
            <w:left w:w="108" w:type="dxa"/>
            <w:bottom w:w="0" w:type="dxa"/>
            <w:right w:w="108" w:type="dxa"/>
          </w:tblCellMar>
        </w:tblPrEx>
        <w:trPr>
          <w:trHeight w:val="510" w:hRule="atLeast"/>
        </w:trPr>
        <w:tc>
          <w:tcPr>
            <w:tcW w:w="963" w:type="dxa"/>
            <w:tcBorders>
              <w:top w:val="single" w:color="auto" w:sz="4" w:space="0"/>
              <w:left w:val="single" w:color="auto" w:sz="4" w:space="0"/>
              <w:bottom w:val="single" w:color="auto" w:sz="4" w:space="0"/>
              <w:right w:val="single" w:color="auto" w:sz="4" w:space="0"/>
            </w:tcBorders>
            <w:noWrap/>
            <w:vAlign w:val="center"/>
          </w:tcPr>
          <w:p>
            <w:pPr>
              <w:jc w:val="center"/>
              <w:rPr>
                <w:rFonts w:asciiTheme="minorEastAsia" w:hAnsiTheme="minorEastAsia" w:cstheme="minorEastAsia"/>
                <w:color w:val="000000"/>
                <w:sz w:val="18"/>
                <w:szCs w:val="18"/>
              </w:rPr>
            </w:pPr>
          </w:p>
        </w:tc>
        <w:tc>
          <w:tcPr>
            <w:tcW w:w="1813" w:type="dxa"/>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1018" w:type="dxa"/>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964" w:type="dxa"/>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1812"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963"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ascii="Times New Roman" w:hAnsi="Times New Roman" w:cs="Times New Roman"/>
                <w:color w:val="000000"/>
                <w:sz w:val="18"/>
                <w:szCs w:val="18"/>
              </w:rPr>
            </w:pPr>
          </w:p>
        </w:tc>
        <w:tc>
          <w:tcPr>
            <w:tcW w:w="9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39999</w:t>
            </w:r>
          </w:p>
        </w:tc>
        <w:tc>
          <w:tcPr>
            <w:tcW w:w="1816"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其他支出</w:t>
            </w:r>
          </w:p>
        </w:tc>
        <w:tc>
          <w:tcPr>
            <w:tcW w:w="1023"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Layout w:type="fixed"/>
          <w:tblCellMar>
            <w:top w:w="0" w:type="dxa"/>
            <w:left w:w="108" w:type="dxa"/>
            <w:bottom w:w="0" w:type="dxa"/>
            <w:right w:w="108" w:type="dxa"/>
          </w:tblCellMar>
        </w:tblPrEx>
        <w:trPr>
          <w:trHeight w:val="510" w:hRule="atLeast"/>
        </w:trPr>
        <w:tc>
          <w:tcPr>
            <w:tcW w:w="2776" w:type="dxa"/>
            <w:gridSpan w:val="2"/>
            <w:tcBorders>
              <w:top w:val="single" w:color="auto" w:sz="4" w:space="0"/>
              <w:left w:val="single" w:color="auto" w:sz="4" w:space="0"/>
              <w:bottom w:val="single" w:color="auto" w:sz="4" w:space="0"/>
              <w:right w:val="single" w:color="auto" w:sz="4" w:space="0"/>
            </w:tcBorders>
            <w:noWrap/>
            <w:vAlign w:val="center"/>
          </w:tcPr>
          <w:p>
            <w:pPr>
              <w:jc w:val="center"/>
              <w:rPr>
                <w:rFonts w:ascii="Times New Roman" w:hAnsi="Times New Roman" w:cs="Times New Roman"/>
                <w:sz w:val="18"/>
                <w:szCs w:val="18"/>
              </w:rPr>
            </w:pPr>
            <w:r>
              <w:rPr>
                <w:rFonts w:hint="eastAsia" w:ascii="方正仿宋_GB2312" w:hAnsi="方正仿宋_GB2312" w:eastAsia="方正仿宋_GB2312" w:cs="方正仿宋_GB2312"/>
                <w:color w:val="000000"/>
                <w:sz w:val="18"/>
                <w:szCs w:val="18"/>
                <w:lang w:bidi="ar"/>
              </w:rPr>
              <w:t>人员经费合计</w:t>
            </w:r>
          </w:p>
        </w:tc>
        <w:tc>
          <w:tcPr>
            <w:tcW w:w="101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r>
              <w:rPr>
                <w:rFonts w:ascii="Times New Roman" w:hAnsi="Times New Roman" w:cs="Times New Roman"/>
                <w:sz w:val="18"/>
                <w:szCs w:val="18"/>
              </w:rPr>
              <w:t>774.58</w:t>
            </w:r>
          </w:p>
        </w:tc>
        <w:tc>
          <w:tcPr>
            <w:tcW w:w="6519" w:type="dxa"/>
            <w:gridSpan w:val="7"/>
            <w:tcBorders>
              <w:top w:val="single" w:color="auto" w:sz="4" w:space="0"/>
              <w:left w:val="single" w:color="auto" w:sz="4" w:space="0"/>
              <w:bottom w:val="single" w:color="auto" w:sz="4" w:space="0"/>
              <w:right w:val="single" w:color="auto" w:sz="4" w:space="0"/>
            </w:tcBorders>
            <w:noWrap/>
            <w:vAlign w:val="center"/>
          </w:tcPr>
          <w:p>
            <w:pPr>
              <w:jc w:val="center"/>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lang w:bidi="ar"/>
              </w:rPr>
              <w:t>公用经费合计</w:t>
            </w:r>
          </w:p>
        </w:tc>
        <w:tc>
          <w:tcPr>
            <w:tcW w:w="1023" w:type="dxa"/>
            <w:tcBorders>
              <w:top w:val="single" w:color="auto" w:sz="4" w:space="0"/>
              <w:left w:val="single" w:color="auto" w:sz="4" w:space="0"/>
              <w:bottom w:val="single" w:color="auto" w:sz="4" w:space="0"/>
              <w:right w:val="single" w:color="auto" w:sz="4" w:space="0"/>
            </w:tcBorders>
            <w:noWrap/>
            <w:vAlign w:val="center"/>
          </w:tcPr>
          <w:p>
            <w:pPr>
              <w:jc w:val="right"/>
              <w:rPr>
                <w:rFonts w:asciiTheme="minorEastAsia" w:hAnsiTheme="minorEastAsia" w:cstheme="minorEastAsia"/>
                <w:color w:val="000000"/>
                <w:sz w:val="18"/>
                <w:szCs w:val="18"/>
              </w:rPr>
            </w:pPr>
            <w:r>
              <w:rPr>
                <w:rFonts w:ascii="Times New Roman" w:hAnsi="Times New Roman" w:cs="Times New Roman"/>
                <w:sz w:val="18"/>
                <w:szCs w:val="18"/>
              </w:rPr>
              <w:t>145.63</w:t>
            </w:r>
          </w:p>
        </w:tc>
      </w:tr>
      <w:tr>
        <w:tblPrEx>
          <w:tblLayout w:type="fixed"/>
          <w:tblCellMar>
            <w:top w:w="0" w:type="dxa"/>
            <w:left w:w="108" w:type="dxa"/>
            <w:bottom w:w="0" w:type="dxa"/>
            <w:right w:w="108" w:type="dxa"/>
          </w:tblCellMar>
        </w:tblPrEx>
        <w:trPr>
          <w:trHeight w:val="510" w:hRule="atLeast"/>
        </w:trPr>
        <w:tc>
          <w:tcPr>
            <w:tcW w:w="11336" w:type="dxa"/>
            <w:gridSpan w:val="11"/>
            <w:tcBorders>
              <w:top w:val="single" w:color="auto" w:sz="4" w:space="0"/>
              <w:left w:val="nil"/>
              <w:bottom w:val="nil"/>
              <w:right w:val="nil"/>
            </w:tcBorders>
            <w:noWrap/>
            <w:vAlign w:val="center"/>
          </w:tcPr>
          <w:p>
            <w:pPr>
              <w:widowControl/>
              <w:jc w:val="left"/>
              <w:textAlignment w:val="center"/>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lang w:bidi="ar"/>
              </w:rPr>
              <w:t>注：本表反映部门本年度一般公共预算财政拨款基本支出明细情况。</w:t>
            </w:r>
          </w:p>
        </w:tc>
      </w:tr>
    </w:tbl>
    <w:p>
      <w:pPr>
        <w:rPr>
          <w:rFonts w:ascii="仿宋_GB2312" w:hAnsi="宋体" w:eastAsia="仿宋_GB2312"/>
          <w:b/>
          <w:sz w:val="32"/>
          <w:szCs w:val="32"/>
        </w:rPr>
      </w:pPr>
    </w:p>
    <w:p>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10479" w:type="dxa"/>
        <w:tblInd w:w="-1404" w:type="dxa"/>
        <w:tblLayout w:type="fixed"/>
        <w:tblCellMar>
          <w:top w:w="0" w:type="dxa"/>
          <w:left w:w="108" w:type="dxa"/>
          <w:bottom w:w="0" w:type="dxa"/>
          <w:right w:w="108" w:type="dxa"/>
        </w:tblCellMar>
      </w:tblPr>
      <w:tblGrid>
        <w:gridCol w:w="1260"/>
        <w:gridCol w:w="1473"/>
        <w:gridCol w:w="1306"/>
        <w:gridCol w:w="1025"/>
        <w:gridCol w:w="1107"/>
        <w:gridCol w:w="419"/>
        <w:gridCol w:w="700"/>
        <w:gridCol w:w="1146"/>
        <w:gridCol w:w="2043"/>
      </w:tblGrid>
      <w:tr>
        <w:tblPrEx>
          <w:tblLayout w:type="fixed"/>
          <w:tblCellMar>
            <w:top w:w="0" w:type="dxa"/>
            <w:left w:w="108" w:type="dxa"/>
            <w:bottom w:w="0" w:type="dxa"/>
            <w:right w:w="108" w:type="dxa"/>
          </w:tblCellMar>
        </w:tblPrEx>
        <w:trPr>
          <w:trHeight w:val="550" w:hRule="atLeast"/>
        </w:trPr>
        <w:tc>
          <w:tcPr>
            <w:tcW w:w="10479" w:type="dxa"/>
            <w:gridSpan w:val="9"/>
            <w:tcBorders>
              <w:top w:val="nil"/>
              <w:left w:val="nil"/>
              <w:bottom w:val="nil"/>
              <w:right w:val="nil"/>
            </w:tcBorders>
            <w:noWrap/>
            <w:vAlign w:val="bottom"/>
          </w:tcPr>
          <w:p>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政府性基金预算财政拨款收入支出决算表</w:t>
            </w:r>
          </w:p>
        </w:tc>
      </w:tr>
      <w:tr>
        <w:tblPrEx>
          <w:tblLayout w:type="fixed"/>
          <w:tblCellMar>
            <w:top w:w="0" w:type="dxa"/>
            <w:left w:w="108" w:type="dxa"/>
            <w:bottom w:w="0" w:type="dxa"/>
            <w:right w:w="108" w:type="dxa"/>
          </w:tblCellMar>
        </w:tblPrEx>
        <w:trPr>
          <w:trHeight w:val="90" w:hRule="atLeast"/>
        </w:trPr>
        <w:tc>
          <w:tcPr>
            <w:tcW w:w="10479" w:type="dxa"/>
            <w:gridSpan w:val="9"/>
            <w:tcBorders>
              <w:top w:val="nil"/>
              <w:left w:val="nil"/>
              <w:bottom w:val="nil"/>
              <w:right w:val="nil"/>
            </w:tcBorders>
            <w:noWrap/>
            <w:vAlign w:val="bottom"/>
          </w:tcPr>
          <w:p>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公开</w:t>
            </w:r>
            <w:r>
              <w:rPr>
                <w:rFonts w:ascii="Times New Roman" w:hAnsi="Times New Roman" w:eastAsia="宋体" w:cs="Times New Roman"/>
                <w:color w:val="000000"/>
                <w:sz w:val="20"/>
                <w:szCs w:val="20"/>
                <w:lang w:bidi="ar"/>
              </w:rPr>
              <w:t>07</w:t>
            </w:r>
            <w:r>
              <w:rPr>
                <w:rFonts w:hint="eastAsia" w:ascii="方正仿宋_GB2312" w:hAnsi="方正仿宋_GB2312" w:eastAsia="方正仿宋_GB2312" w:cs="方正仿宋_GB2312"/>
                <w:color w:val="000000"/>
                <w:sz w:val="20"/>
                <w:szCs w:val="20"/>
                <w:lang w:bidi="ar"/>
              </w:rPr>
              <w:t>表</w:t>
            </w:r>
          </w:p>
        </w:tc>
      </w:tr>
      <w:tr>
        <w:tblPrEx>
          <w:tblLayout w:type="fixed"/>
          <w:tblCellMar>
            <w:top w:w="0" w:type="dxa"/>
            <w:left w:w="108" w:type="dxa"/>
            <w:bottom w:w="0" w:type="dxa"/>
            <w:right w:w="108" w:type="dxa"/>
          </w:tblCellMar>
        </w:tblPrEx>
        <w:trPr>
          <w:trHeight w:val="300" w:hRule="atLeast"/>
        </w:trPr>
        <w:tc>
          <w:tcPr>
            <w:tcW w:w="4039" w:type="dxa"/>
            <w:gridSpan w:val="3"/>
            <w:tcBorders>
              <w:top w:val="nil"/>
              <w:left w:val="nil"/>
              <w:bottom w:val="single" w:color="auto" w:sz="4" w:space="0"/>
              <w:right w:val="nil"/>
            </w:tcBorders>
            <w:noWrap/>
            <w:vAlign w:val="bottom"/>
          </w:tcPr>
          <w:p>
            <w:pPr>
              <w:widowControl/>
              <w:jc w:val="lef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 xml:space="preserve">部门（单位）：赞皇县人民法院（本级） </w:t>
            </w:r>
            <w:r>
              <w:rPr>
                <w:rFonts w:hint="eastAsia" w:ascii="宋体" w:hAnsi="宋体" w:eastAsia="宋体"/>
                <w:color w:val="000000"/>
                <w:sz w:val="20"/>
                <w:szCs w:val="20"/>
                <w:lang w:bidi="ar"/>
              </w:rPr>
              <w:t xml:space="preserve">                                                                                     </w:t>
            </w:r>
          </w:p>
        </w:tc>
        <w:tc>
          <w:tcPr>
            <w:tcW w:w="2551" w:type="dxa"/>
            <w:gridSpan w:val="3"/>
            <w:tcBorders>
              <w:top w:val="nil"/>
              <w:left w:val="nil"/>
              <w:bottom w:val="single" w:color="auto" w:sz="4" w:space="0"/>
              <w:right w:val="nil"/>
            </w:tcBorders>
            <w:noWrap/>
            <w:vAlign w:val="bottom"/>
          </w:tcPr>
          <w:p>
            <w:pPr>
              <w:widowControl/>
              <w:jc w:val="center"/>
              <w:textAlignment w:val="bottom"/>
              <w:rPr>
                <w:rFonts w:ascii="宋体" w:hAnsi="宋体" w:eastAsia="宋体"/>
                <w:color w:val="000000"/>
                <w:sz w:val="20"/>
                <w:szCs w:val="20"/>
                <w:lang w:bidi="ar"/>
              </w:rPr>
            </w:pPr>
            <w:r>
              <w:rPr>
                <w:rFonts w:ascii="Times New Roman" w:hAnsi="Times New Roman" w:eastAsia="宋体" w:cs="Times New Roman"/>
                <w:color w:val="000000"/>
                <w:sz w:val="20"/>
                <w:szCs w:val="20"/>
                <w:lang w:bidi="ar"/>
              </w:rPr>
              <w:t>202</w:t>
            </w:r>
            <w:r>
              <w:rPr>
                <w:rFonts w:hint="eastAsia" w:ascii="Times New Roman" w:hAnsi="Times New Roman" w:eastAsia="宋体" w:cs="Times New Roman"/>
                <w:color w:val="000000"/>
                <w:sz w:val="20"/>
                <w:szCs w:val="20"/>
                <w:lang w:bidi="ar"/>
              </w:rPr>
              <w:t>4</w:t>
            </w:r>
            <w:r>
              <w:rPr>
                <w:rFonts w:hint="eastAsia" w:ascii="方正仿宋_GB2312" w:hAnsi="方正仿宋_GB2312" w:eastAsia="方正仿宋_GB2312" w:cs="方正仿宋_GB2312"/>
                <w:color w:val="000000"/>
                <w:sz w:val="20"/>
                <w:szCs w:val="20"/>
                <w:lang w:bidi="ar"/>
              </w:rPr>
              <w:t>年度</w:t>
            </w:r>
          </w:p>
        </w:tc>
        <w:tc>
          <w:tcPr>
            <w:tcW w:w="3889" w:type="dxa"/>
            <w:gridSpan w:val="3"/>
            <w:tcBorders>
              <w:top w:val="nil"/>
              <w:left w:val="nil"/>
              <w:bottom w:val="single" w:color="auto" w:sz="4" w:space="0"/>
              <w:right w:val="nil"/>
            </w:tcBorders>
            <w:noWrap/>
            <w:vAlign w:val="bottom"/>
          </w:tcPr>
          <w:p>
            <w:pPr>
              <w:widowControl/>
              <w:jc w:val="right"/>
              <w:textAlignment w:val="bottom"/>
              <w:rPr>
                <w:rFonts w:ascii="宋体" w:hAnsi="宋体" w:eastAsia="宋体"/>
                <w:color w:val="000000"/>
                <w:sz w:val="20"/>
                <w:szCs w:val="20"/>
                <w:lang w:bidi="ar"/>
              </w:rPr>
            </w:pPr>
            <w:r>
              <w:rPr>
                <w:rFonts w:hint="eastAsia" w:ascii="方正仿宋_GB2312" w:hAnsi="方正仿宋_GB2312" w:eastAsia="方正仿宋_GB2312" w:cs="方正仿宋_GB2312"/>
                <w:color w:val="000000"/>
                <w:sz w:val="20"/>
                <w:szCs w:val="20"/>
                <w:lang w:bidi="ar"/>
              </w:rPr>
              <w:t>金额单位：万元</w:t>
            </w:r>
          </w:p>
        </w:tc>
      </w:tr>
      <w:tr>
        <w:tblPrEx>
          <w:tblLayout w:type="fixed"/>
          <w:tblCellMar>
            <w:top w:w="0" w:type="dxa"/>
            <w:left w:w="108" w:type="dxa"/>
            <w:bottom w:w="0" w:type="dxa"/>
            <w:right w:w="108" w:type="dxa"/>
          </w:tblCellMar>
        </w:tblPrEx>
        <w:trPr>
          <w:trHeight w:val="308" w:hRule="atLeast"/>
        </w:trPr>
        <w:tc>
          <w:tcPr>
            <w:tcW w:w="2733" w:type="dxa"/>
            <w:gridSpan w:val="2"/>
            <w:tcBorders>
              <w:top w:val="single" w:color="auto" w:sz="4" w:space="0"/>
              <w:left w:val="single" w:color="000000" w:sz="4" w:space="0"/>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项目</w:t>
            </w:r>
          </w:p>
        </w:tc>
        <w:tc>
          <w:tcPr>
            <w:tcW w:w="1306"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年初结转和结余</w:t>
            </w:r>
          </w:p>
        </w:tc>
        <w:tc>
          <w:tcPr>
            <w:tcW w:w="1025"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本年收入</w:t>
            </w:r>
          </w:p>
        </w:tc>
        <w:tc>
          <w:tcPr>
            <w:tcW w:w="3372" w:type="dxa"/>
            <w:gridSpan w:val="4"/>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本年支出</w:t>
            </w:r>
          </w:p>
        </w:tc>
        <w:tc>
          <w:tcPr>
            <w:tcW w:w="2043" w:type="dxa"/>
            <w:vMerge w:val="restart"/>
            <w:tcBorders>
              <w:top w:val="single" w:color="auto" w:sz="4" w:space="0"/>
              <w:left w:val="nil"/>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年末结转和结余</w:t>
            </w:r>
          </w:p>
        </w:tc>
      </w:tr>
      <w:tr>
        <w:tblPrEx>
          <w:tblLayout w:type="fixed"/>
          <w:tblCellMar>
            <w:top w:w="0" w:type="dxa"/>
            <w:left w:w="108" w:type="dxa"/>
            <w:bottom w:w="0" w:type="dxa"/>
            <w:right w:w="108" w:type="dxa"/>
          </w:tblCellMar>
        </w:tblPrEx>
        <w:trPr>
          <w:trHeight w:val="312" w:hRule="atLeast"/>
        </w:trPr>
        <w:tc>
          <w:tcPr>
            <w:tcW w:w="1260" w:type="dxa"/>
            <w:vMerge w:val="restart"/>
            <w:tcBorders>
              <w:top w:val="nil"/>
              <w:left w:val="single" w:color="000000" w:sz="4" w:space="0"/>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1473" w:type="dxa"/>
            <w:vMerge w:val="restart"/>
            <w:tcBorders>
              <w:top w:val="nil"/>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科目名称</w:t>
            </w:r>
          </w:p>
        </w:tc>
        <w:tc>
          <w:tcPr>
            <w:tcW w:w="1306" w:type="dxa"/>
            <w:vMerge w:val="continue"/>
            <w:tcBorders>
              <w:top w:val="single" w:color="000000" w:sz="4" w:space="0"/>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1025" w:type="dxa"/>
            <w:vMerge w:val="continue"/>
            <w:tcBorders>
              <w:top w:val="single" w:color="000000" w:sz="4" w:space="0"/>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1107" w:type="dxa"/>
            <w:vMerge w:val="restart"/>
            <w:tcBorders>
              <w:top w:val="nil"/>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小计</w:t>
            </w:r>
          </w:p>
        </w:tc>
        <w:tc>
          <w:tcPr>
            <w:tcW w:w="1119" w:type="dxa"/>
            <w:gridSpan w:val="2"/>
            <w:vMerge w:val="restart"/>
            <w:tcBorders>
              <w:top w:val="nil"/>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基本支出</w:t>
            </w:r>
          </w:p>
        </w:tc>
        <w:tc>
          <w:tcPr>
            <w:tcW w:w="1146" w:type="dxa"/>
            <w:vMerge w:val="restart"/>
            <w:tcBorders>
              <w:top w:val="nil"/>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项目支出</w:t>
            </w:r>
          </w:p>
        </w:tc>
        <w:tc>
          <w:tcPr>
            <w:tcW w:w="2043" w:type="dxa"/>
            <w:vMerge w:val="continue"/>
            <w:tcBorders>
              <w:left w:val="nil"/>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合计</w:t>
            </w:r>
          </w:p>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结转</w:t>
            </w:r>
          </w:p>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结余</w:t>
            </w:r>
          </w:p>
        </w:tc>
      </w:tr>
      <w:tr>
        <w:tblPrEx>
          <w:tblLayout w:type="fixed"/>
          <w:tblCellMar>
            <w:top w:w="0" w:type="dxa"/>
            <w:left w:w="108" w:type="dxa"/>
            <w:bottom w:w="0" w:type="dxa"/>
            <w:right w:w="108" w:type="dxa"/>
          </w:tblCellMar>
        </w:tblPrEx>
        <w:trPr>
          <w:trHeight w:val="312" w:hRule="atLeast"/>
        </w:trPr>
        <w:tc>
          <w:tcPr>
            <w:tcW w:w="1260" w:type="dxa"/>
            <w:vMerge w:val="continue"/>
            <w:tcBorders>
              <w:top w:val="nil"/>
              <w:left w:val="single" w:color="000000" w:sz="4" w:space="0"/>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1473" w:type="dxa"/>
            <w:vMerge w:val="continue"/>
            <w:tcBorders>
              <w:top w:val="nil"/>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1306" w:type="dxa"/>
            <w:vMerge w:val="continue"/>
            <w:tcBorders>
              <w:top w:val="single" w:color="000000" w:sz="4" w:space="0"/>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1025" w:type="dxa"/>
            <w:vMerge w:val="continue"/>
            <w:tcBorders>
              <w:top w:val="single" w:color="000000" w:sz="4" w:space="0"/>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1107" w:type="dxa"/>
            <w:vMerge w:val="continue"/>
            <w:tcBorders>
              <w:top w:val="nil"/>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1119" w:type="dxa"/>
            <w:gridSpan w:val="2"/>
            <w:vMerge w:val="continue"/>
            <w:tcBorders>
              <w:top w:val="nil"/>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1146" w:type="dxa"/>
            <w:vMerge w:val="continue"/>
            <w:tcBorders>
              <w:top w:val="nil"/>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2043" w:type="dxa"/>
            <w:vMerge w:val="continue"/>
            <w:tcBorders>
              <w:left w:val="nil"/>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r>
      <w:tr>
        <w:tblPrEx>
          <w:tblLayout w:type="fixed"/>
          <w:tblCellMar>
            <w:top w:w="0" w:type="dxa"/>
            <w:left w:w="108" w:type="dxa"/>
            <w:bottom w:w="0" w:type="dxa"/>
            <w:right w:w="108" w:type="dxa"/>
          </w:tblCellMar>
        </w:tblPrEx>
        <w:trPr>
          <w:trHeight w:val="312" w:hRule="atLeast"/>
        </w:trPr>
        <w:tc>
          <w:tcPr>
            <w:tcW w:w="1260" w:type="dxa"/>
            <w:vMerge w:val="continue"/>
            <w:tcBorders>
              <w:top w:val="nil"/>
              <w:left w:val="single" w:color="000000" w:sz="4" w:space="0"/>
              <w:bottom w:val="single" w:color="auto"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1473" w:type="dxa"/>
            <w:vMerge w:val="continue"/>
            <w:tcBorders>
              <w:top w:val="nil"/>
              <w:left w:val="nil"/>
              <w:bottom w:val="single" w:color="auto"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1306" w:type="dxa"/>
            <w:vMerge w:val="continue"/>
            <w:tcBorders>
              <w:top w:val="single" w:color="000000" w:sz="4" w:space="0"/>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1025" w:type="dxa"/>
            <w:vMerge w:val="continue"/>
            <w:tcBorders>
              <w:top w:val="single" w:color="000000" w:sz="4" w:space="0"/>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1107" w:type="dxa"/>
            <w:vMerge w:val="continue"/>
            <w:tcBorders>
              <w:top w:val="nil"/>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1119" w:type="dxa"/>
            <w:gridSpan w:val="2"/>
            <w:vMerge w:val="continue"/>
            <w:tcBorders>
              <w:top w:val="nil"/>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1146" w:type="dxa"/>
            <w:vMerge w:val="continue"/>
            <w:tcBorders>
              <w:top w:val="nil"/>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2043" w:type="dxa"/>
            <w:vMerge w:val="continue"/>
            <w:tcBorders>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r>
      <w:tr>
        <w:tblPrEx>
          <w:tblLayout w:type="fixed"/>
          <w:tblCellMar>
            <w:top w:w="0" w:type="dxa"/>
            <w:left w:w="108" w:type="dxa"/>
            <w:bottom w:w="0" w:type="dxa"/>
            <w:right w:w="108" w:type="dxa"/>
          </w:tblCellMar>
        </w:tblPrEx>
        <w:trPr>
          <w:trHeight w:val="308" w:hRule="atLeast"/>
        </w:trPr>
        <w:tc>
          <w:tcPr>
            <w:tcW w:w="2733" w:type="dxa"/>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栏次</w:t>
            </w:r>
          </w:p>
        </w:tc>
        <w:tc>
          <w:tcPr>
            <w:tcW w:w="1306" w:type="dxa"/>
            <w:tcBorders>
              <w:top w:val="nil"/>
              <w:left w:val="single" w:color="auto" w:sz="4" w:space="0"/>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lang w:bidi="ar"/>
              </w:rPr>
              <w:t>1</w:t>
            </w:r>
          </w:p>
        </w:tc>
        <w:tc>
          <w:tcPr>
            <w:tcW w:w="1025"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lang w:bidi="ar"/>
              </w:rPr>
              <w:t>2</w:t>
            </w:r>
          </w:p>
        </w:tc>
        <w:tc>
          <w:tcPr>
            <w:tcW w:w="1107"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lang w:bidi="ar"/>
              </w:rPr>
              <w:t>3</w:t>
            </w:r>
          </w:p>
        </w:tc>
        <w:tc>
          <w:tcPr>
            <w:tcW w:w="1119" w:type="dxa"/>
            <w:gridSpan w:val="2"/>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lang w:bidi="ar"/>
              </w:rPr>
              <w:t>4</w:t>
            </w:r>
          </w:p>
        </w:tc>
        <w:tc>
          <w:tcPr>
            <w:tcW w:w="1146"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lang w:bidi="ar"/>
              </w:rPr>
              <w:t>5</w:t>
            </w:r>
          </w:p>
        </w:tc>
        <w:tc>
          <w:tcPr>
            <w:tcW w:w="204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6</w:t>
            </w:r>
          </w:p>
        </w:tc>
      </w:tr>
      <w:tr>
        <w:tblPrEx>
          <w:tblLayout w:type="fixed"/>
          <w:tblCellMar>
            <w:top w:w="0" w:type="dxa"/>
            <w:left w:w="108" w:type="dxa"/>
            <w:bottom w:w="0" w:type="dxa"/>
            <w:right w:w="108" w:type="dxa"/>
          </w:tblCellMar>
        </w:tblPrEx>
        <w:trPr>
          <w:trHeight w:val="869" w:hRule="atLeast"/>
        </w:trPr>
        <w:tc>
          <w:tcPr>
            <w:tcW w:w="2733" w:type="dxa"/>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合计</w:t>
            </w:r>
          </w:p>
        </w:tc>
        <w:tc>
          <w:tcPr>
            <w:tcW w:w="1306" w:type="dxa"/>
            <w:tcBorders>
              <w:top w:val="nil"/>
              <w:left w:val="single" w:color="auto" w:sz="4" w:space="0"/>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5"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10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119"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146"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2043"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trPr>
        <w:tc>
          <w:tcPr>
            <w:tcW w:w="10479" w:type="dxa"/>
            <w:gridSpan w:val="9"/>
            <w:tcBorders>
              <w:top w:val="nil"/>
              <w:left w:val="nil"/>
              <w:bottom w:val="nil"/>
              <w:right w:val="nil"/>
            </w:tcBorders>
            <w:noWrap/>
            <w:vAlign w:val="center"/>
          </w:tcPr>
          <w:p>
            <w:pP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注：本表反映部门本年度政府性基金预算财政拨款收入、支出及结转和结余情况。（如无相关数据，则需注明空表列示）</w:t>
            </w:r>
            <w:r>
              <w:rPr>
                <w:rFonts w:hint="eastAsia" w:ascii="方正仿宋_GB2312" w:hAnsi="方正仿宋_GB2312" w:eastAsia="方正仿宋_GB2312" w:cs="方正仿宋_GB2312"/>
                <w:color w:val="000000"/>
                <w:sz w:val="20"/>
                <w:szCs w:val="20"/>
                <w:lang w:bidi="ar"/>
              </w:rPr>
              <w:br w:type="page"/>
            </w:r>
          </w:p>
        </w:tc>
      </w:tr>
    </w:tbl>
    <w:p>
      <w:pPr>
        <w:rPr>
          <w:rFonts w:ascii="仿宋_GB2312" w:hAnsi="宋体" w:eastAsia="仿宋_GB2312"/>
          <w:b/>
          <w:sz w:val="32"/>
          <w:szCs w:val="32"/>
        </w:rPr>
      </w:pPr>
    </w:p>
    <w:p>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9428" w:type="dxa"/>
        <w:tblInd w:w="-976" w:type="dxa"/>
        <w:tblLayout w:type="fixed"/>
        <w:tblCellMar>
          <w:top w:w="0" w:type="dxa"/>
          <w:left w:w="108" w:type="dxa"/>
          <w:bottom w:w="0" w:type="dxa"/>
          <w:right w:w="108" w:type="dxa"/>
        </w:tblCellMar>
      </w:tblPr>
      <w:tblGrid>
        <w:gridCol w:w="2992"/>
        <w:gridCol w:w="730"/>
        <w:gridCol w:w="1297"/>
        <w:gridCol w:w="1337"/>
        <w:gridCol w:w="45"/>
        <w:gridCol w:w="1286"/>
        <w:gridCol w:w="6"/>
        <w:gridCol w:w="1735"/>
      </w:tblGrid>
      <w:tr>
        <w:tblPrEx>
          <w:tblLayout w:type="fixed"/>
          <w:tblCellMar>
            <w:top w:w="0" w:type="dxa"/>
            <w:left w:w="108" w:type="dxa"/>
            <w:bottom w:w="0" w:type="dxa"/>
            <w:right w:w="108" w:type="dxa"/>
          </w:tblCellMar>
        </w:tblPrEx>
        <w:trPr>
          <w:trHeight w:val="550" w:hRule="atLeast"/>
        </w:trPr>
        <w:tc>
          <w:tcPr>
            <w:tcW w:w="9428" w:type="dxa"/>
            <w:gridSpan w:val="8"/>
            <w:tcBorders>
              <w:top w:val="nil"/>
              <w:left w:val="nil"/>
              <w:bottom w:val="nil"/>
              <w:right w:val="nil"/>
            </w:tcBorders>
            <w:noWrap/>
            <w:vAlign w:val="bottom"/>
          </w:tcPr>
          <w:p>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国有资本经营预算财政拨款支出决算表</w:t>
            </w:r>
          </w:p>
        </w:tc>
      </w:tr>
      <w:tr>
        <w:tblPrEx>
          <w:tblLayout w:type="fixed"/>
          <w:tblCellMar>
            <w:top w:w="0" w:type="dxa"/>
            <w:left w:w="108" w:type="dxa"/>
            <w:bottom w:w="0" w:type="dxa"/>
            <w:right w:w="108" w:type="dxa"/>
          </w:tblCellMar>
        </w:tblPrEx>
        <w:trPr>
          <w:trHeight w:val="300" w:hRule="atLeast"/>
        </w:trPr>
        <w:tc>
          <w:tcPr>
            <w:tcW w:w="9428" w:type="dxa"/>
            <w:gridSpan w:val="8"/>
            <w:tcBorders>
              <w:top w:val="nil"/>
              <w:left w:val="nil"/>
              <w:bottom w:val="nil"/>
              <w:right w:val="nil"/>
            </w:tcBorders>
            <w:noWrap/>
            <w:vAlign w:val="bottom"/>
          </w:tcPr>
          <w:p>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公开</w:t>
            </w:r>
            <w:r>
              <w:rPr>
                <w:rFonts w:ascii="Times New Roman" w:hAnsi="Times New Roman" w:eastAsia="方正仿宋_GB2312" w:cs="Times New Roman"/>
                <w:color w:val="000000"/>
                <w:sz w:val="20"/>
                <w:szCs w:val="20"/>
                <w:lang w:bidi="ar"/>
              </w:rPr>
              <w:t>08</w:t>
            </w:r>
            <w:r>
              <w:rPr>
                <w:rFonts w:hint="eastAsia" w:ascii="方正仿宋_GB2312" w:hAnsi="方正仿宋_GB2312" w:eastAsia="方正仿宋_GB2312" w:cs="方正仿宋_GB2312"/>
                <w:color w:val="000000"/>
                <w:sz w:val="20"/>
                <w:szCs w:val="20"/>
                <w:lang w:bidi="ar"/>
              </w:rPr>
              <w:t>表</w:t>
            </w:r>
          </w:p>
        </w:tc>
      </w:tr>
      <w:tr>
        <w:tblPrEx>
          <w:tblLayout w:type="fixed"/>
          <w:tblCellMar>
            <w:top w:w="0" w:type="dxa"/>
            <w:left w:w="108" w:type="dxa"/>
            <w:bottom w:w="0" w:type="dxa"/>
            <w:right w:w="108" w:type="dxa"/>
          </w:tblCellMar>
        </w:tblPrEx>
        <w:trPr>
          <w:trHeight w:val="300" w:hRule="atLeast"/>
        </w:trPr>
        <w:tc>
          <w:tcPr>
            <w:tcW w:w="3722" w:type="dxa"/>
            <w:gridSpan w:val="2"/>
            <w:tcBorders>
              <w:top w:val="nil"/>
              <w:left w:val="nil"/>
              <w:bottom w:val="single" w:color="auto" w:sz="4" w:space="0"/>
              <w:right w:val="nil"/>
            </w:tcBorders>
            <w:noWrap/>
            <w:vAlign w:val="bottom"/>
          </w:tcPr>
          <w:p>
            <w:pPr>
              <w:widowControl/>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部门（单位）：赞皇县人民法院（本级）</w:t>
            </w:r>
          </w:p>
        </w:tc>
        <w:tc>
          <w:tcPr>
            <w:tcW w:w="2679" w:type="dxa"/>
            <w:gridSpan w:val="3"/>
            <w:tcBorders>
              <w:top w:val="nil"/>
              <w:left w:val="nil"/>
              <w:bottom w:val="single" w:color="auto" w:sz="4" w:space="0"/>
              <w:right w:val="nil"/>
            </w:tcBorders>
            <w:noWrap/>
            <w:vAlign w:val="bottom"/>
          </w:tcPr>
          <w:p>
            <w:pPr>
              <w:widowControl/>
              <w:jc w:val="center"/>
              <w:textAlignment w:val="bottom"/>
              <w:rPr>
                <w:rFonts w:ascii="宋体" w:hAnsi="宋体" w:eastAsia="宋体"/>
                <w:color w:val="000000"/>
                <w:sz w:val="20"/>
                <w:szCs w:val="20"/>
                <w:lang w:bidi="ar"/>
              </w:rPr>
            </w:pPr>
            <w:r>
              <w:rPr>
                <w:rFonts w:ascii="Times New Roman" w:hAnsi="Times New Roman" w:eastAsia="宋体" w:cs="Times New Roman"/>
                <w:color w:val="000000"/>
                <w:sz w:val="20"/>
                <w:szCs w:val="20"/>
                <w:lang w:bidi="ar"/>
              </w:rPr>
              <w:t>202</w:t>
            </w:r>
            <w:r>
              <w:rPr>
                <w:rFonts w:hint="eastAsia" w:ascii="Times New Roman" w:hAnsi="Times New Roman" w:eastAsia="宋体" w:cs="Times New Roman"/>
                <w:color w:val="000000"/>
                <w:sz w:val="20"/>
                <w:szCs w:val="20"/>
                <w:lang w:bidi="ar"/>
              </w:rPr>
              <w:t>4</w:t>
            </w:r>
            <w:r>
              <w:rPr>
                <w:rFonts w:hint="eastAsia" w:ascii="方正仿宋_GB2312" w:hAnsi="方正仿宋_GB2312" w:eastAsia="方正仿宋_GB2312" w:cs="方正仿宋_GB2312"/>
                <w:color w:val="000000"/>
                <w:sz w:val="20"/>
                <w:szCs w:val="20"/>
                <w:lang w:bidi="ar"/>
              </w:rPr>
              <w:t>年度</w:t>
            </w:r>
          </w:p>
        </w:tc>
        <w:tc>
          <w:tcPr>
            <w:tcW w:w="3027" w:type="dxa"/>
            <w:gridSpan w:val="3"/>
            <w:tcBorders>
              <w:top w:val="nil"/>
              <w:left w:val="nil"/>
              <w:bottom w:val="single" w:color="auto" w:sz="4" w:space="0"/>
              <w:right w:val="nil"/>
            </w:tcBorders>
            <w:noWrap/>
            <w:vAlign w:val="bottom"/>
          </w:tcPr>
          <w:p>
            <w:pPr>
              <w:widowControl/>
              <w:jc w:val="right"/>
              <w:textAlignment w:val="bottom"/>
              <w:rPr>
                <w:rFonts w:ascii="宋体" w:hAnsi="宋体" w:eastAsia="宋体"/>
                <w:color w:val="000000"/>
                <w:sz w:val="20"/>
                <w:szCs w:val="20"/>
                <w:lang w:bidi="ar"/>
              </w:rPr>
            </w:pPr>
            <w:r>
              <w:rPr>
                <w:rFonts w:hint="eastAsia" w:ascii="方正仿宋_GB2312" w:hAnsi="方正仿宋_GB2312" w:eastAsia="方正仿宋_GB2312" w:cs="方正仿宋_GB2312"/>
                <w:color w:val="000000"/>
                <w:sz w:val="20"/>
                <w:szCs w:val="20"/>
                <w:lang w:bidi="ar"/>
              </w:rPr>
              <w:t>金额单位：万元</w:t>
            </w:r>
          </w:p>
        </w:tc>
      </w:tr>
      <w:tr>
        <w:tblPrEx>
          <w:tblLayout w:type="fixed"/>
          <w:tblCellMar>
            <w:top w:w="0" w:type="dxa"/>
            <w:left w:w="108" w:type="dxa"/>
            <w:bottom w:w="0" w:type="dxa"/>
            <w:right w:w="108" w:type="dxa"/>
          </w:tblCellMar>
        </w:tblPrEx>
        <w:trPr>
          <w:trHeight w:val="312" w:hRule="atLeast"/>
        </w:trPr>
        <w:tc>
          <w:tcPr>
            <w:tcW w:w="5019" w:type="dxa"/>
            <w:gridSpan w:val="3"/>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 xml:space="preserve"> 项目</w:t>
            </w:r>
          </w:p>
        </w:tc>
        <w:tc>
          <w:tcPr>
            <w:tcW w:w="4409" w:type="dxa"/>
            <w:gridSpan w:val="5"/>
            <w:vMerge w:val="restart"/>
            <w:tcBorders>
              <w:top w:val="single" w:color="auto" w:sz="4" w:space="0"/>
              <w:left w:val="single" w:color="auto"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本年支出</w:t>
            </w:r>
          </w:p>
        </w:tc>
      </w:tr>
      <w:tr>
        <w:tblPrEx>
          <w:tblLayout w:type="fixed"/>
          <w:tblCellMar>
            <w:top w:w="0" w:type="dxa"/>
            <w:left w:w="108" w:type="dxa"/>
            <w:bottom w:w="0" w:type="dxa"/>
            <w:right w:w="108" w:type="dxa"/>
          </w:tblCellMar>
        </w:tblPrEx>
        <w:trPr>
          <w:trHeight w:val="312" w:hRule="atLeast"/>
        </w:trPr>
        <w:tc>
          <w:tcPr>
            <w:tcW w:w="5019" w:type="dxa"/>
            <w:gridSpan w:val="3"/>
            <w:vMerge w:val="continue"/>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p>
        </w:tc>
        <w:tc>
          <w:tcPr>
            <w:tcW w:w="4409" w:type="dxa"/>
            <w:gridSpan w:val="5"/>
            <w:vMerge w:val="continue"/>
            <w:tcBorders>
              <w:left w:val="single" w:color="auto" w:sz="4" w:space="0"/>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p>
        </w:tc>
      </w:tr>
      <w:tr>
        <w:tblPrEx>
          <w:tblLayout w:type="fixed"/>
          <w:tblCellMar>
            <w:top w:w="0" w:type="dxa"/>
            <w:left w:w="108" w:type="dxa"/>
            <w:bottom w:w="0" w:type="dxa"/>
            <w:right w:w="108" w:type="dxa"/>
          </w:tblCellMar>
        </w:tblPrEx>
        <w:trPr>
          <w:trHeight w:val="312" w:hRule="atLeast"/>
        </w:trPr>
        <w:tc>
          <w:tcPr>
            <w:tcW w:w="2992" w:type="dxa"/>
            <w:vMerge w:val="restart"/>
            <w:tcBorders>
              <w:top w:val="single" w:color="auto" w:sz="4" w:space="0"/>
              <w:left w:val="single" w:color="auto" w:sz="4" w:space="0"/>
              <w:bottom w:val="single" w:color="auto" w:sz="4" w:space="0"/>
              <w:right w:val="single" w:color="auto" w:sz="4" w:space="0"/>
            </w:tcBorders>
            <w:vAlign w:val="center"/>
          </w:tcPr>
          <w:p>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2027" w:type="dxa"/>
            <w:gridSpan w:val="2"/>
            <w:vMerge w:val="restart"/>
            <w:tcBorders>
              <w:top w:val="single" w:color="auto" w:sz="4" w:space="0"/>
              <w:left w:val="single" w:color="auto" w:sz="4" w:space="0"/>
              <w:bottom w:val="single" w:color="auto" w:sz="4" w:space="0"/>
              <w:right w:val="single" w:color="auto" w:sz="4" w:space="0"/>
            </w:tcBorders>
            <w:vAlign w:val="center"/>
          </w:tcPr>
          <w:p>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科目名称</w:t>
            </w:r>
          </w:p>
        </w:tc>
        <w:tc>
          <w:tcPr>
            <w:tcW w:w="1337" w:type="dxa"/>
            <w:vMerge w:val="restart"/>
            <w:tcBorders>
              <w:top w:val="nil"/>
              <w:left w:val="single" w:color="auto"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1337" w:type="dxa"/>
            <w:gridSpan w:val="3"/>
            <w:vMerge w:val="restart"/>
            <w:tcBorders>
              <w:top w:val="nil"/>
              <w:left w:val="nil"/>
              <w:right w:val="single" w:color="000000" w:sz="4" w:space="0"/>
            </w:tcBorders>
            <w:vAlign w:val="center"/>
          </w:tcPr>
          <w:p>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基本支出</w:t>
            </w:r>
          </w:p>
        </w:tc>
        <w:tc>
          <w:tcPr>
            <w:tcW w:w="1735" w:type="dxa"/>
            <w:vMerge w:val="restart"/>
            <w:tcBorders>
              <w:top w:val="nil"/>
              <w:left w:val="nil"/>
              <w:right w:val="single" w:color="000000" w:sz="4" w:space="0"/>
            </w:tcBorders>
            <w:vAlign w:val="center"/>
          </w:tcPr>
          <w:p>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项目支出</w:t>
            </w:r>
          </w:p>
        </w:tc>
      </w:tr>
      <w:tr>
        <w:tblPrEx>
          <w:tblLayout w:type="fixed"/>
          <w:tblCellMar>
            <w:top w:w="0" w:type="dxa"/>
            <w:left w:w="108" w:type="dxa"/>
            <w:bottom w:w="0" w:type="dxa"/>
            <w:right w:w="108" w:type="dxa"/>
          </w:tblCellMar>
        </w:tblPrEx>
        <w:trPr>
          <w:trHeight w:val="312" w:hRule="atLeast"/>
        </w:trPr>
        <w:tc>
          <w:tcPr>
            <w:tcW w:w="2992" w:type="dxa"/>
            <w:vMerge w:val="continue"/>
            <w:tcBorders>
              <w:top w:val="single" w:color="auto" w:sz="4" w:space="0"/>
              <w:left w:val="single" w:color="auto" w:sz="4" w:space="0"/>
              <w:bottom w:val="single" w:color="auto"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2027" w:type="dxa"/>
            <w:gridSpan w:val="2"/>
            <w:vMerge w:val="continue"/>
            <w:tcBorders>
              <w:top w:val="single" w:color="auto" w:sz="4" w:space="0"/>
              <w:left w:val="nil"/>
              <w:bottom w:val="single" w:color="auto" w:sz="4" w:space="0"/>
              <w:right w:val="single" w:color="auto" w:sz="4" w:space="0"/>
            </w:tcBorders>
            <w:vAlign w:val="center"/>
          </w:tcPr>
          <w:p>
            <w:pPr>
              <w:jc w:val="center"/>
              <w:rPr>
                <w:rFonts w:ascii="方正仿宋_GB2312" w:hAnsi="方正仿宋_GB2312" w:eastAsia="方正仿宋_GB2312" w:cs="方正仿宋_GB2312"/>
                <w:color w:val="000000"/>
                <w:sz w:val="20"/>
                <w:szCs w:val="20"/>
              </w:rPr>
            </w:pPr>
          </w:p>
        </w:tc>
        <w:tc>
          <w:tcPr>
            <w:tcW w:w="1337" w:type="dxa"/>
            <w:vMerge w:val="continue"/>
            <w:tcBorders>
              <w:left w:val="single" w:color="auto" w:sz="4" w:space="0"/>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1337" w:type="dxa"/>
            <w:gridSpan w:val="3"/>
            <w:vMerge w:val="continue"/>
            <w:tcBorders>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1735" w:type="dxa"/>
            <w:vMerge w:val="continue"/>
            <w:tcBorders>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r>
      <w:tr>
        <w:tblPrEx>
          <w:tblLayout w:type="fixed"/>
          <w:tblCellMar>
            <w:top w:w="0" w:type="dxa"/>
            <w:left w:w="108" w:type="dxa"/>
            <w:bottom w:w="0" w:type="dxa"/>
            <w:right w:w="108" w:type="dxa"/>
          </w:tblCellMar>
        </w:tblPrEx>
        <w:trPr>
          <w:trHeight w:val="308" w:hRule="atLeast"/>
        </w:trPr>
        <w:tc>
          <w:tcPr>
            <w:tcW w:w="5019" w:type="dxa"/>
            <w:gridSpan w:val="3"/>
            <w:tcBorders>
              <w:top w:val="single" w:color="auto" w:sz="4" w:space="0"/>
              <w:left w:val="single" w:color="auto" w:sz="4" w:space="0"/>
              <w:bottom w:val="single" w:color="000000" w:sz="4" w:space="0"/>
              <w:right w:val="single" w:color="auto" w:sz="4" w:space="0"/>
            </w:tcBorders>
            <w:noWrap/>
            <w:vAlign w:val="center"/>
          </w:tcPr>
          <w:p>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栏次</w:t>
            </w:r>
          </w:p>
        </w:tc>
        <w:tc>
          <w:tcPr>
            <w:tcW w:w="1337" w:type="dxa"/>
            <w:tcBorders>
              <w:top w:val="nil"/>
              <w:left w:val="single" w:color="auto" w:sz="4" w:space="0"/>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1</w:t>
            </w:r>
          </w:p>
        </w:tc>
        <w:tc>
          <w:tcPr>
            <w:tcW w:w="1331" w:type="dxa"/>
            <w:gridSpan w:val="2"/>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2</w:t>
            </w:r>
          </w:p>
        </w:tc>
        <w:tc>
          <w:tcPr>
            <w:tcW w:w="1741" w:type="dxa"/>
            <w:gridSpan w:val="2"/>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3</w:t>
            </w:r>
          </w:p>
        </w:tc>
      </w:tr>
      <w:tr>
        <w:tblPrEx>
          <w:tblLayout w:type="fixed"/>
          <w:tblCellMar>
            <w:top w:w="0" w:type="dxa"/>
            <w:left w:w="108" w:type="dxa"/>
            <w:bottom w:w="0" w:type="dxa"/>
            <w:right w:w="108" w:type="dxa"/>
          </w:tblCellMar>
        </w:tblPrEx>
        <w:trPr>
          <w:trHeight w:val="308" w:hRule="atLeast"/>
        </w:trPr>
        <w:tc>
          <w:tcPr>
            <w:tcW w:w="5019" w:type="dxa"/>
            <w:gridSpan w:val="3"/>
            <w:tcBorders>
              <w:top w:val="single" w:color="000000" w:sz="4" w:space="0"/>
              <w:left w:val="single" w:color="000000" w:sz="4" w:space="0"/>
              <w:bottom w:val="single" w:color="000000" w:sz="4" w:space="0"/>
              <w:right w:val="single" w:color="000000" w:sz="4" w:space="0"/>
            </w:tcBorders>
            <w:noWrap/>
            <w:vAlign w:val="center"/>
          </w:tcPr>
          <w:p>
            <w:pPr>
              <w:jc w:val="center"/>
              <w:rPr>
                <w:rFonts w:ascii="Times New Roman" w:hAnsi="Times New Roman" w:eastAsia="宋体" w:cs="Times New Roman"/>
                <w:color w:val="000000"/>
                <w:sz w:val="20"/>
                <w:szCs w:val="20"/>
              </w:rPr>
            </w:pPr>
            <w:r>
              <w:rPr>
                <w:rFonts w:hint="eastAsia" w:ascii="Times New Roman" w:hAnsi="Times New Roman" w:eastAsia="方正仿宋_GB2312" w:cs="Times New Roman"/>
                <w:color w:val="000000"/>
                <w:sz w:val="20"/>
                <w:szCs w:val="20"/>
              </w:rPr>
              <w:t>合计</w:t>
            </w:r>
          </w:p>
        </w:tc>
        <w:tc>
          <w:tcPr>
            <w:tcW w:w="1337" w:type="dxa"/>
            <w:tcBorders>
              <w:top w:val="single" w:color="000000" w:sz="4" w:space="0"/>
              <w:left w:val="single" w:color="000000" w:sz="4" w:space="0"/>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31" w:type="dxa"/>
            <w:gridSpan w:val="2"/>
            <w:tcBorders>
              <w:top w:val="single" w:color="000000" w:sz="4" w:space="0"/>
              <w:left w:val="single" w:color="000000" w:sz="4" w:space="0"/>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741" w:type="dxa"/>
            <w:gridSpan w:val="2"/>
            <w:tcBorders>
              <w:top w:val="single" w:color="000000" w:sz="4" w:space="0"/>
              <w:left w:val="single" w:color="000000" w:sz="4" w:space="0"/>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Layout w:type="fixed"/>
          <w:tblCellMar>
            <w:top w:w="0" w:type="dxa"/>
            <w:left w:w="108" w:type="dxa"/>
            <w:bottom w:w="0" w:type="dxa"/>
            <w:right w:w="108" w:type="dxa"/>
          </w:tblCellMar>
        </w:tblPrEx>
        <w:trPr>
          <w:trHeight w:val="308" w:hRule="atLeast"/>
        </w:trPr>
        <w:tc>
          <w:tcPr>
            <w:tcW w:w="9428" w:type="dxa"/>
            <w:gridSpan w:val="8"/>
            <w:tcBorders>
              <w:top w:val="nil"/>
              <w:left w:val="nil"/>
              <w:bottom w:val="nil"/>
              <w:right w:val="nil"/>
            </w:tcBorders>
            <w:noWrap/>
            <w:vAlign w:val="center"/>
          </w:tcPr>
          <w:p>
            <w:pPr>
              <w:widowControl/>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注：本表反映部门本年度国有资本经营预算财政拨款支出情况。（如无相关数据，则需注明空表列示）</w:t>
            </w:r>
          </w:p>
        </w:tc>
      </w:tr>
    </w:tbl>
    <w:p>
      <w:pPr>
        <w:rPr>
          <w:rFonts w:ascii="仿宋_GB2312" w:hAnsi="宋体" w:eastAsia="仿宋_GB2312"/>
          <w:b/>
          <w:sz w:val="32"/>
          <w:szCs w:val="32"/>
        </w:rPr>
      </w:pPr>
    </w:p>
    <w:p>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pPr w:leftFromText="180" w:rightFromText="180" w:vertAnchor="text" w:horzAnchor="page" w:tblpX="282" w:tblpY="39"/>
        <w:tblOverlap w:val="never"/>
        <w:tblW w:w="11595" w:type="dxa"/>
        <w:tblInd w:w="0" w:type="dxa"/>
        <w:tblLayout w:type="fixed"/>
        <w:tblCellMar>
          <w:top w:w="0" w:type="dxa"/>
          <w:left w:w="108" w:type="dxa"/>
          <w:bottom w:w="0" w:type="dxa"/>
          <w:right w:w="108" w:type="dxa"/>
        </w:tblCellMar>
      </w:tblPr>
      <w:tblGrid>
        <w:gridCol w:w="985"/>
        <w:gridCol w:w="1224"/>
        <w:gridCol w:w="812"/>
        <w:gridCol w:w="944"/>
        <w:gridCol w:w="524"/>
        <w:gridCol w:w="543"/>
        <w:gridCol w:w="779"/>
        <w:gridCol w:w="849"/>
        <w:gridCol w:w="1132"/>
        <w:gridCol w:w="638"/>
        <w:gridCol w:w="1025"/>
        <w:gridCol w:w="948"/>
        <w:gridCol w:w="1192"/>
      </w:tblGrid>
      <w:tr>
        <w:tblPrEx>
          <w:tblLayout w:type="fixed"/>
          <w:tblCellMar>
            <w:top w:w="0" w:type="dxa"/>
            <w:left w:w="108" w:type="dxa"/>
            <w:bottom w:w="0" w:type="dxa"/>
            <w:right w:w="108" w:type="dxa"/>
          </w:tblCellMar>
        </w:tblPrEx>
        <w:trPr>
          <w:trHeight w:val="550" w:hRule="atLeast"/>
        </w:trPr>
        <w:tc>
          <w:tcPr>
            <w:tcW w:w="11595" w:type="dxa"/>
            <w:gridSpan w:val="13"/>
            <w:tcBorders>
              <w:top w:val="nil"/>
              <w:left w:val="nil"/>
              <w:bottom w:val="nil"/>
              <w:right w:val="nil"/>
            </w:tcBorders>
            <w:noWrap/>
            <w:vAlign w:val="bottom"/>
          </w:tcPr>
          <w:p>
            <w:pPr>
              <w:widowControl/>
              <w:jc w:val="center"/>
              <w:textAlignment w:val="bottom"/>
              <w:rPr>
                <w:rFonts w:ascii="宋体" w:hAnsi="宋体" w:eastAsia="宋体"/>
                <w:color w:val="000000"/>
                <w:sz w:val="18"/>
                <w:szCs w:val="18"/>
              </w:rPr>
            </w:pPr>
            <w:r>
              <w:rPr>
                <w:rFonts w:hint="eastAsia" w:ascii="方正仿宋_GB2312" w:hAnsi="方正仿宋_GB2312" w:eastAsia="方正仿宋_GB2312" w:cs="方正仿宋_GB2312"/>
                <w:bCs/>
                <w:sz w:val="32"/>
                <w:szCs w:val="32"/>
              </w:rPr>
              <w:t>财政拨款“三公”经费支出决算表</w:t>
            </w:r>
          </w:p>
        </w:tc>
      </w:tr>
      <w:tr>
        <w:tblPrEx>
          <w:tblLayout w:type="fixed"/>
          <w:tblCellMar>
            <w:top w:w="0" w:type="dxa"/>
            <w:left w:w="108" w:type="dxa"/>
            <w:bottom w:w="0" w:type="dxa"/>
            <w:right w:w="108" w:type="dxa"/>
          </w:tblCellMar>
        </w:tblPrEx>
        <w:trPr>
          <w:trHeight w:val="260" w:hRule="atLeast"/>
        </w:trPr>
        <w:tc>
          <w:tcPr>
            <w:tcW w:w="11595" w:type="dxa"/>
            <w:gridSpan w:val="13"/>
            <w:tcBorders>
              <w:top w:val="nil"/>
              <w:left w:val="nil"/>
              <w:bottom w:val="nil"/>
              <w:right w:val="nil"/>
            </w:tcBorders>
            <w:noWrap/>
            <w:vAlign w:val="bottom"/>
          </w:tcPr>
          <w:p>
            <w:pPr>
              <w:widowControl/>
              <w:jc w:val="right"/>
              <w:textAlignment w:val="bottom"/>
              <w:rPr>
                <w:rFonts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公开</w:t>
            </w:r>
            <w:r>
              <w:rPr>
                <w:rFonts w:ascii="Times New Roman" w:hAnsi="Times New Roman" w:eastAsia="方正仿宋_GB2312" w:cs="Times New Roman"/>
                <w:color w:val="000000"/>
                <w:sz w:val="18"/>
                <w:szCs w:val="18"/>
                <w:lang w:bidi="ar"/>
              </w:rPr>
              <w:t>09</w:t>
            </w:r>
            <w:r>
              <w:rPr>
                <w:rFonts w:hint="eastAsia" w:ascii="方正仿宋_GB2312" w:hAnsi="方正仿宋_GB2312" w:eastAsia="方正仿宋_GB2312" w:cs="方正仿宋_GB2312"/>
                <w:color w:val="000000"/>
                <w:sz w:val="18"/>
                <w:szCs w:val="18"/>
                <w:lang w:bidi="ar"/>
              </w:rPr>
              <w:t>表</w:t>
            </w:r>
          </w:p>
        </w:tc>
      </w:tr>
      <w:tr>
        <w:tblPrEx>
          <w:tblLayout w:type="fixed"/>
          <w:tblCellMar>
            <w:top w:w="0" w:type="dxa"/>
            <w:left w:w="108" w:type="dxa"/>
            <w:bottom w:w="0" w:type="dxa"/>
            <w:right w:w="108" w:type="dxa"/>
          </w:tblCellMar>
        </w:tblPrEx>
        <w:trPr>
          <w:trHeight w:val="260" w:hRule="atLeast"/>
        </w:trPr>
        <w:tc>
          <w:tcPr>
            <w:tcW w:w="4489" w:type="dxa"/>
            <w:gridSpan w:val="5"/>
            <w:tcBorders>
              <w:top w:val="nil"/>
              <w:left w:val="nil"/>
              <w:bottom w:val="single" w:color="auto" w:sz="4" w:space="0"/>
              <w:right w:val="nil"/>
            </w:tcBorders>
            <w:noWrap/>
            <w:vAlign w:val="bottom"/>
          </w:tcPr>
          <w:p>
            <w:pPr>
              <w:widowControl/>
              <w:jc w:val="left"/>
              <w:textAlignment w:val="bottom"/>
              <w:rPr>
                <w:rFonts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部门（单位）：赞皇县人民法院（本级）</w:t>
            </w:r>
          </w:p>
        </w:tc>
        <w:tc>
          <w:tcPr>
            <w:tcW w:w="2171" w:type="dxa"/>
            <w:gridSpan w:val="3"/>
            <w:tcBorders>
              <w:top w:val="nil"/>
              <w:left w:val="nil"/>
              <w:bottom w:val="single" w:color="auto" w:sz="4" w:space="0"/>
              <w:right w:val="nil"/>
            </w:tcBorders>
            <w:noWrap/>
            <w:vAlign w:val="bottom"/>
          </w:tcPr>
          <w:p>
            <w:pPr>
              <w:widowControl/>
              <w:jc w:val="center"/>
              <w:textAlignment w:val="bottom"/>
              <w:rPr>
                <w:rFonts w:ascii="宋体" w:hAnsi="宋体" w:eastAsia="宋体"/>
                <w:color w:val="000000"/>
                <w:sz w:val="18"/>
                <w:szCs w:val="18"/>
                <w:lang w:bidi="ar"/>
              </w:rPr>
            </w:pPr>
            <w:r>
              <w:rPr>
                <w:rFonts w:ascii="Times New Roman" w:hAnsi="Times New Roman" w:eastAsia="宋体" w:cs="Times New Roman"/>
                <w:color w:val="000000"/>
                <w:sz w:val="18"/>
                <w:szCs w:val="18"/>
                <w:lang w:bidi="ar"/>
              </w:rPr>
              <w:t>202</w:t>
            </w:r>
            <w:r>
              <w:rPr>
                <w:rFonts w:hint="eastAsia" w:ascii="Times New Roman" w:hAnsi="Times New Roman" w:eastAsia="宋体" w:cs="Times New Roman"/>
                <w:color w:val="000000"/>
                <w:sz w:val="18"/>
                <w:szCs w:val="18"/>
                <w:lang w:bidi="ar"/>
              </w:rPr>
              <w:t>4</w:t>
            </w:r>
            <w:r>
              <w:rPr>
                <w:rFonts w:hint="eastAsia" w:ascii="方正仿宋_GB2312" w:hAnsi="方正仿宋_GB2312" w:eastAsia="方正仿宋_GB2312" w:cs="方正仿宋_GB2312"/>
                <w:color w:val="000000"/>
                <w:sz w:val="18"/>
                <w:szCs w:val="18"/>
                <w:lang w:bidi="ar"/>
              </w:rPr>
              <w:t>年度</w:t>
            </w:r>
          </w:p>
        </w:tc>
        <w:tc>
          <w:tcPr>
            <w:tcW w:w="4935" w:type="dxa"/>
            <w:gridSpan w:val="5"/>
            <w:tcBorders>
              <w:top w:val="nil"/>
              <w:left w:val="nil"/>
              <w:bottom w:val="single" w:color="auto" w:sz="4" w:space="0"/>
              <w:right w:val="nil"/>
            </w:tcBorders>
            <w:noWrap/>
            <w:vAlign w:val="bottom"/>
          </w:tcPr>
          <w:p>
            <w:pPr>
              <w:widowControl/>
              <w:jc w:val="right"/>
              <w:textAlignment w:val="bottom"/>
              <w:rPr>
                <w:rFonts w:ascii="宋体" w:hAnsi="宋体" w:eastAsia="宋体"/>
                <w:color w:val="000000"/>
                <w:sz w:val="18"/>
                <w:szCs w:val="18"/>
                <w:lang w:bidi="ar"/>
              </w:rPr>
            </w:pPr>
            <w:r>
              <w:rPr>
                <w:rFonts w:hint="eastAsia" w:ascii="方正仿宋_GB2312" w:hAnsi="方正仿宋_GB2312" w:eastAsia="方正仿宋_GB2312" w:cs="方正仿宋_GB2312"/>
                <w:color w:val="000000"/>
                <w:sz w:val="18"/>
                <w:szCs w:val="18"/>
                <w:lang w:bidi="ar"/>
              </w:rPr>
              <w:t>金额单位：万元</w:t>
            </w:r>
          </w:p>
        </w:tc>
      </w:tr>
      <w:tr>
        <w:tblPrEx>
          <w:tblLayout w:type="fixed"/>
          <w:tblCellMar>
            <w:top w:w="0" w:type="dxa"/>
            <w:left w:w="108" w:type="dxa"/>
            <w:bottom w:w="0" w:type="dxa"/>
            <w:right w:w="108" w:type="dxa"/>
          </w:tblCellMar>
        </w:tblPrEx>
        <w:trPr>
          <w:trHeight w:val="431" w:hRule="atLeast"/>
        </w:trPr>
        <w:tc>
          <w:tcPr>
            <w:tcW w:w="5811" w:type="dxa"/>
            <w:gridSpan w:val="7"/>
            <w:tcBorders>
              <w:top w:val="single" w:color="auto" w:sz="4" w:space="0"/>
              <w:left w:val="single" w:color="000000" w:sz="4" w:space="0"/>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预算数</w:t>
            </w:r>
          </w:p>
        </w:tc>
        <w:tc>
          <w:tcPr>
            <w:tcW w:w="5784" w:type="dxa"/>
            <w:gridSpan w:val="6"/>
            <w:tcBorders>
              <w:top w:val="single" w:color="auto" w:sz="4" w:space="0"/>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决算数</w:t>
            </w:r>
          </w:p>
        </w:tc>
      </w:tr>
      <w:tr>
        <w:tblPrEx>
          <w:tblLayout w:type="fixed"/>
          <w:tblCellMar>
            <w:top w:w="0" w:type="dxa"/>
            <w:left w:w="108" w:type="dxa"/>
            <w:bottom w:w="0" w:type="dxa"/>
            <w:right w:w="108" w:type="dxa"/>
          </w:tblCellMar>
        </w:tblPrEx>
        <w:trPr>
          <w:trHeight w:val="431" w:hRule="atLeast"/>
        </w:trPr>
        <w:tc>
          <w:tcPr>
            <w:tcW w:w="985" w:type="dxa"/>
            <w:vMerge w:val="restart"/>
            <w:tcBorders>
              <w:top w:val="nil"/>
              <w:left w:val="single" w:color="000000" w:sz="4" w:space="0"/>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合计</w:t>
            </w:r>
          </w:p>
        </w:tc>
        <w:tc>
          <w:tcPr>
            <w:tcW w:w="1224" w:type="dxa"/>
            <w:vMerge w:val="restart"/>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因公出国（境）费</w:t>
            </w:r>
          </w:p>
        </w:tc>
        <w:tc>
          <w:tcPr>
            <w:tcW w:w="2823" w:type="dxa"/>
            <w:gridSpan w:val="4"/>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公务用车购置及运行维护费</w:t>
            </w:r>
          </w:p>
        </w:tc>
        <w:tc>
          <w:tcPr>
            <w:tcW w:w="779" w:type="dxa"/>
            <w:vMerge w:val="restart"/>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公务接待费</w:t>
            </w:r>
          </w:p>
        </w:tc>
        <w:tc>
          <w:tcPr>
            <w:tcW w:w="849" w:type="dxa"/>
            <w:vMerge w:val="restart"/>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合计</w:t>
            </w:r>
          </w:p>
        </w:tc>
        <w:tc>
          <w:tcPr>
            <w:tcW w:w="1132" w:type="dxa"/>
            <w:vMerge w:val="restart"/>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因公出国（境）费</w:t>
            </w:r>
          </w:p>
        </w:tc>
        <w:tc>
          <w:tcPr>
            <w:tcW w:w="2611" w:type="dxa"/>
            <w:gridSpan w:val="3"/>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公务用车购置及运行维护费</w:t>
            </w:r>
          </w:p>
        </w:tc>
        <w:tc>
          <w:tcPr>
            <w:tcW w:w="1192" w:type="dxa"/>
            <w:vMerge w:val="restart"/>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公务接待费</w:t>
            </w:r>
          </w:p>
        </w:tc>
      </w:tr>
      <w:tr>
        <w:tblPrEx>
          <w:tblLayout w:type="fixed"/>
          <w:tblCellMar>
            <w:top w:w="0" w:type="dxa"/>
            <w:left w:w="108" w:type="dxa"/>
            <w:bottom w:w="0" w:type="dxa"/>
            <w:right w:w="108" w:type="dxa"/>
          </w:tblCellMar>
        </w:tblPrEx>
        <w:trPr>
          <w:trHeight w:val="431" w:hRule="atLeast"/>
        </w:trPr>
        <w:tc>
          <w:tcPr>
            <w:tcW w:w="985" w:type="dxa"/>
            <w:vMerge w:val="continue"/>
            <w:tcBorders>
              <w:top w:val="nil"/>
              <w:left w:val="single" w:color="000000" w:sz="4" w:space="0"/>
              <w:bottom w:val="single" w:color="000000" w:sz="4" w:space="0"/>
              <w:right w:val="single" w:color="000000" w:sz="4" w:space="0"/>
            </w:tcBorders>
            <w:noWrap/>
            <w:vAlign w:val="center"/>
          </w:tcPr>
          <w:p>
            <w:pPr>
              <w:jc w:val="center"/>
              <w:rPr>
                <w:rFonts w:ascii="方正仿宋_GB2312" w:hAnsi="方正仿宋_GB2312" w:eastAsia="方正仿宋_GB2312" w:cs="方正仿宋_GB2312"/>
                <w:color w:val="000000"/>
                <w:sz w:val="18"/>
                <w:szCs w:val="18"/>
              </w:rPr>
            </w:pPr>
          </w:p>
        </w:tc>
        <w:tc>
          <w:tcPr>
            <w:tcW w:w="1224" w:type="dxa"/>
            <w:vMerge w:val="continue"/>
            <w:tcBorders>
              <w:top w:val="nil"/>
              <w:left w:val="nil"/>
              <w:bottom w:val="single" w:color="000000" w:sz="4" w:space="0"/>
              <w:right w:val="single" w:color="000000" w:sz="4" w:space="0"/>
            </w:tcBorders>
            <w:noWrap/>
            <w:vAlign w:val="center"/>
          </w:tcPr>
          <w:p>
            <w:pPr>
              <w:jc w:val="center"/>
              <w:rPr>
                <w:rFonts w:ascii="方正仿宋_GB2312" w:hAnsi="方正仿宋_GB2312" w:eastAsia="方正仿宋_GB2312" w:cs="方正仿宋_GB2312"/>
                <w:color w:val="000000"/>
                <w:sz w:val="18"/>
                <w:szCs w:val="18"/>
              </w:rPr>
            </w:pPr>
          </w:p>
        </w:tc>
        <w:tc>
          <w:tcPr>
            <w:tcW w:w="812" w:type="dxa"/>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小计</w:t>
            </w:r>
          </w:p>
        </w:tc>
        <w:tc>
          <w:tcPr>
            <w:tcW w:w="944" w:type="dxa"/>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公务用车购置费</w:t>
            </w:r>
          </w:p>
        </w:tc>
        <w:tc>
          <w:tcPr>
            <w:tcW w:w="1067" w:type="dxa"/>
            <w:gridSpan w:val="2"/>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公务用车运行维护费</w:t>
            </w:r>
          </w:p>
        </w:tc>
        <w:tc>
          <w:tcPr>
            <w:tcW w:w="779" w:type="dxa"/>
            <w:vMerge w:val="continue"/>
            <w:tcBorders>
              <w:top w:val="nil"/>
              <w:left w:val="nil"/>
              <w:bottom w:val="single" w:color="000000" w:sz="4" w:space="0"/>
              <w:right w:val="single" w:color="000000" w:sz="4" w:space="0"/>
            </w:tcBorders>
            <w:noWrap/>
            <w:vAlign w:val="center"/>
          </w:tcPr>
          <w:p>
            <w:pPr>
              <w:jc w:val="center"/>
              <w:rPr>
                <w:rFonts w:ascii="方正仿宋_GB2312" w:hAnsi="方正仿宋_GB2312" w:eastAsia="方正仿宋_GB2312" w:cs="方正仿宋_GB2312"/>
                <w:color w:val="000000"/>
                <w:sz w:val="18"/>
                <w:szCs w:val="18"/>
              </w:rPr>
            </w:pPr>
          </w:p>
        </w:tc>
        <w:tc>
          <w:tcPr>
            <w:tcW w:w="849" w:type="dxa"/>
            <w:vMerge w:val="continue"/>
            <w:tcBorders>
              <w:top w:val="nil"/>
              <w:left w:val="nil"/>
              <w:bottom w:val="single" w:color="000000" w:sz="4" w:space="0"/>
              <w:right w:val="single" w:color="000000" w:sz="4" w:space="0"/>
            </w:tcBorders>
            <w:noWrap/>
            <w:vAlign w:val="center"/>
          </w:tcPr>
          <w:p>
            <w:pPr>
              <w:jc w:val="center"/>
              <w:rPr>
                <w:rFonts w:ascii="方正仿宋_GB2312" w:hAnsi="方正仿宋_GB2312" w:eastAsia="方正仿宋_GB2312" w:cs="方正仿宋_GB2312"/>
                <w:color w:val="000000"/>
                <w:sz w:val="18"/>
                <w:szCs w:val="18"/>
              </w:rPr>
            </w:pPr>
          </w:p>
        </w:tc>
        <w:tc>
          <w:tcPr>
            <w:tcW w:w="1132" w:type="dxa"/>
            <w:vMerge w:val="continue"/>
            <w:tcBorders>
              <w:top w:val="nil"/>
              <w:left w:val="nil"/>
              <w:bottom w:val="single" w:color="000000" w:sz="4" w:space="0"/>
              <w:right w:val="single" w:color="000000" w:sz="4" w:space="0"/>
            </w:tcBorders>
            <w:noWrap/>
            <w:vAlign w:val="center"/>
          </w:tcPr>
          <w:p>
            <w:pPr>
              <w:jc w:val="center"/>
              <w:rPr>
                <w:rFonts w:ascii="方正仿宋_GB2312" w:hAnsi="方正仿宋_GB2312" w:eastAsia="方正仿宋_GB2312" w:cs="方正仿宋_GB2312"/>
                <w:color w:val="000000"/>
                <w:sz w:val="18"/>
                <w:szCs w:val="18"/>
              </w:rPr>
            </w:pPr>
          </w:p>
        </w:tc>
        <w:tc>
          <w:tcPr>
            <w:tcW w:w="638" w:type="dxa"/>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小计</w:t>
            </w:r>
          </w:p>
        </w:tc>
        <w:tc>
          <w:tcPr>
            <w:tcW w:w="1025" w:type="dxa"/>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公务用车购置费</w:t>
            </w:r>
          </w:p>
        </w:tc>
        <w:tc>
          <w:tcPr>
            <w:tcW w:w="948" w:type="dxa"/>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公务用车运行维护费</w:t>
            </w:r>
          </w:p>
        </w:tc>
        <w:tc>
          <w:tcPr>
            <w:tcW w:w="1192" w:type="dxa"/>
            <w:vMerge w:val="continue"/>
            <w:tcBorders>
              <w:top w:val="nil"/>
              <w:left w:val="nil"/>
              <w:bottom w:val="single" w:color="000000" w:sz="4" w:space="0"/>
              <w:right w:val="single" w:color="000000" w:sz="4" w:space="0"/>
            </w:tcBorders>
            <w:noWrap/>
            <w:vAlign w:val="center"/>
          </w:tcPr>
          <w:p>
            <w:pPr>
              <w:jc w:val="center"/>
              <w:rPr>
                <w:rFonts w:ascii="方正仿宋_GB2312" w:hAnsi="方正仿宋_GB2312" w:eastAsia="方正仿宋_GB2312" w:cs="方正仿宋_GB2312"/>
                <w:color w:val="000000"/>
                <w:sz w:val="18"/>
                <w:szCs w:val="18"/>
              </w:rPr>
            </w:pPr>
          </w:p>
        </w:tc>
      </w:tr>
      <w:tr>
        <w:tblPrEx>
          <w:tblLayout w:type="fixed"/>
          <w:tblCellMar>
            <w:top w:w="0" w:type="dxa"/>
            <w:left w:w="108" w:type="dxa"/>
            <w:bottom w:w="0" w:type="dxa"/>
            <w:right w:w="108" w:type="dxa"/>
          </w:tblCellMar>
        </w:tblPrEx>
        <w:trPr>
          <w:trHeight w:val="431" w:hRule="atLeast"/>
        </w:trPr>
        <w:tc>
          <w:tcPr>
            <w:tcW w:w="985" w:type="dxa"/>
            <w:tcBorders>
              <w:top w:val="nil"/>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1</w:t>
            </w:r>
          </w:p>
        </w:tc>
        <w:tc>
          <w:tcPr>
            <w:tcW w:w="1224"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2</w:t>
            </w:r>
          </w:p>
        </w:tc>
        <w:tc>
          <w:tcPr>
            <w:tcW w:w="812"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3</w:t>
            </w:r>
          </w:p>
        </w:tc>
        <w:tc>
          <w:tcPr>
            <w:tcW w:w="944"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4</w:t>
            </w:r>
          </w:p>
        </w:tc>
        <w:tc>
          <w:tcPr>
            <w:tcW w:w="1067" w:type="dxa"/>
            <w:gridSpan w:val="2"/>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5</w:t>
            </w:r>
          </w:p>
        </w:tc>
        <w:tc>
          <w:tcPr>
            <w:tcW w:w="779"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6</w:t>
            </w:r>
          </w:p>
        </w:tc>
        <w:tc>
          <w:tcPr>
            <w:tcW w:w="849"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7</w:t>
            </w:r>
          </w:p>
        </w:tc>
        <w:tc>
          <w:tcPr>
            <w:tcW w:w="1132"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8</w:t>
            </w:r>
          </w:p>
        </w:tc>
        <w:tc>
          <w:tcPr>
            <w:tcW w:w="638"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9</w:t>
            </w:r>
          </w:p>
        </w:tc>
        <w:tc>
          <w:tcPr>
            <w:tcW w:w="1025"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10</w:t>
            </w:r>
          </w:p>
        </w:tc>
        <w:tc>
          <w:tcPr>
            <w:tcW w:w="948"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11</w:t>
            </w:r>
          </w:p>
        </w:tc>
        <w:tc>
          <w:tcPr>
            <w:tcW w:w="1192"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12</w:t>
            </w:r>
          </w:p>
        </w:tc>
      </w:tr>
      <w:tr>
        <w:tblPrEx>
          <w:tblLayout w:type="fixed"/>
          <w:tblCellMar>
            <w:top w:w="0" w:type="dxa"/>
            <w:left w:w="108" w:type="dxa"/>
            <w:bottom w:w="0" w:type="dxa"/>
            <w:right w:w="108" w:type="dxa"/>
          </w:tblCellMar>
        </w:tblPrEx>
        <w:trPr>
          <w:trHeight w:val="431" w:hRule="atLeast"/>
        </w:trPr>
        <w:tc>
          <w:tcPr>
            <w:tcW w:w="985" w:type="dxa"/>
            <w:tcBorders>
              <w:top w:val="nil"/>
              <w:left w:val="single" w:color="000000" w:sz="4" w:space="0"/>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29.70</w:t>
            </w:r>
          </w:p>
        </w:tc>
        <w:tc>
          <w:tcPr>
            <w:tcW w:w="1224" w:type="dxa"/>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p>
        </w:tc>
        <w:tc>
          <w:tcPr>
            <w:tcW w:w="812" w:type="dxa"/>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29.70</w:t>
            </w:r>
          </w:p>
        </w:tc>
        <w:tc>
          <w:tcPr>
            <w:tcW w:w="944" w:type="dxa"/>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p>
        </w:tc>
        <w:tc>
          <w:tcPr>
            <w:tcW w:w="1067"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29.70</w:t>
            </w:r>
          </w:p>
        </w:tc>
        <w:tc>
          <w:tcPr>
            <w:tcW w:w="779" w:type="dxa"/>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p>
        </w:tc>
        <w:tc>
          <w:tcPr>
            <w:tcW w:w="849" w:type="dxa"/>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29.70</w:t>
            </w:r>
          </w:p>
        </w:tc>
        <w:tc>
          <w:tcPr>
            <w:tcW w:w="1132" w:type="dxa"/>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p>
        </w:tc>
        <w:tc>
          <w:tcPr>
            <w:tcW w:w="638" w:type="dxa"/>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29.70</w:t>
            </w:r>
          </w:p>
        </w:tc>
        <w:tc>
          <w:tcPr>
            <w:tcW w:w="1025" w:type="dxa"/>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p>
        </w:tc>
        <w:tc>
          <w:tcPr>
            <w:tcW w:w="948" w:type="dxa"/>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29.70</w:t>
            </w:r>
          </w:p>
        </w:tc>
        <w:tc>
          <w:tcPr>
            <w:tcW w:w="1192" w:type="dxa"/>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p>
        </w:tc>
      </w:tr>
      <w:tr>
        <w:tblPrEx>
          <w:tblLayout w:type="fixed"/>
          <w:tblCellMar>
            <w:top w:w="0" w:type="dxa"/>
            <w:left w:w="108" w:type="dxa"/>
            <w:bottom w:w="0" w:type="dxa"/>
            <w:right w:w="108" w:type="dxa"/>
          </w:tblCellMar>
        </w:tblPrEx>
        <w:trPr>
          <w:trHeight w:val="431" w:hRule="atLeast"/>
        </w:trPr>
        <w:tc>
          <w:tcPr>
            <w:tcW w:w="11595" w:type="dxa"/>
            <w:gridSpan w:val="13"/>
            <w:tcBorders>
              <w:top w:val="nil"/>
              <w:left w:val="nil"/>
              <w:bottom w:val="nil"/>
              <w:right w:val="nil"/>
            </w:tcBorders>
            <w:noWrap/>
            <w:vAlign w:val="center"/>
          </w:tcPr>
          <w:p>
            <w:pPr>
              <w:widowControl/>
              <w:jc w:val="left"/>
              <w:textAlignment w:val="center"/>
              <w:rPr>
                <w:rFonts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pPr>
        <w:rPr>
          <w:rFonts w:ascii="仿宋_GB2312" w:hAnsi="宋体" w:eastAsia="仿宋_GB2312"/>
          <w:b/>
          <w:sz w:val="32"/>
          <w:szCs w:val="32"/>
        </w:rPr>
      </w:pPr>
    </w:p>
    <w:p>
      <w:pPr>
        <w:rPr>
          <w:rFonts w:ascii="仿宋_GB2312" w:hAnsi="宋体" w:eastAsia="仿宋_GB2312"/>
          <w:b/>
          <w:sz w:val="32"/>
          <w:szCs w:val="32"/>
        </w:rPr>
        <w:sectPr>
          <w:headerReference r:id="rId8" w:type="default"/>
          <w:pgSz w:w="11906" w:h="16838"/>
          <w:pgMar w:top="1531" w:right="1984" w:bottom="1531" w:left="2098" w:header="851" w:footer="992" w:gutter="0"/>
          <w:cols w:space="720" w:num="1"/>
          <w:docGrid w:type="lines" w:linePitch="312" w:charSpace="0"/>
        </w:sectPr>
      </w:pPr>
      <w:r>
        <w:rPr>
          <w:rFonts w:hint="eastAsia" w:ascii="仿宋_GB2312" w:hAnsi="宋体" w:eastAsia="仿宋_GB2312"/>
          <w:b/>
          <w:sz w:val="32"/>
          <w:szCs w:val="32"/>
        </w:rPr>
        <w:br w:type="page"/>
      </w:r>
    </w:p>
    <w:p>
      <w:pPr>
        <w:widowControl/>
        <w:spacing w:line="360" w:lineRule="auto"/>
        <w:jc w:val="center"/>
        <w:outlineLvl w:val="0"/>
        <w:rPr>
          <w:rFonts w:ascii="Times New Roman" w:eastAsia="黑体"/>
          <w:sz w:val="44"/>
          <w:szCs w:val="44"/>
        </w:rPr>
      </w:pPr>
      <w:r>
        <w:rPr>
          <w:rFonts w:ascii="Times New Roman" w:eastAsia="黑体"/>
          <w:sz w:val="44"/>
          <w:szCs w:val="44"/>
        </w:rPr>
        <w:t>第三部分</w:t>
      </w:r>
      <w:r>
        <w:rPr>
          <w:rFonts w:ascii="Times New Roman" w:eastAsia="仿宋_GB2312"/>
          <w:sz w:val="44"/>
          <w:szCs w:val="44"/>
        </w:rPr>
        <w:t>2024</w:t>
      </w:r>
      <w:r>
        <w:rPr>
          <w:rFonts w:ascii="Times New Roman" w:eastAsia="黑体"/>
          <w:sz w:val="44"/>
          <w:szCs w:val="44"/>
        </w:rPr>
        <w:t>年度部门决算情况说明</w:t>
      </w:r>
    </w:p>
    <w:p>
      <w:pPr>
        <w:widowControl/>
        <w:spacing w:line="360" w:lineRule="auto"/>
        <w:jc w:val="left"/>
        <w:outlineLvl w:val="1"/>
        <w:rPr>
          <w:rFonts w:ascii="Times New Roman" w:eastAsia="黑体"/>
          <w:sz w:val="32"/>
          <w:szCs w:val="32"/>
        </w:rPr>
      </w:pPr>
      <w:r>
        <w:rPr>
          <w:rFonts w:ascii="Times New Roman" w:eastAsia="黑体"/>
          <w:sz w:val="32"/>
          <w:szCs w:val="32"/>
        </w:rPr>
        <w:t>一、收入支出决算总体情况说明</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本单位2024年度收、支总计（含结转和结余）均为1,780.82万元。与2023年度决算相比，收支各增加56.66万元，增长3.3%，主要原因是</w:t>
      </w:r>
      <w:r>
        <w:rPr>
          <w:rFonts w:ascii="宋体" w:hAnsi="宋体" w:eastAsia="宋体"/>
          <w:sz w:val="32"/>
          <w:szCs w:val="32"/>
        </w:rPr>
        <w:t>人员经费及项目经费收支增加</w:t>
      </w:r>
      <w:r>
        <w:rPr>
          <w:rFonts w:ascii="Times New Roman" w:eastAsia="仿宋_GB2312"/>
          <w:sz w:val="32"/>
          <w:szCs w:val="32"/>
        </w:rPr>
        <w:t>。</w:t>
      </w:r>
    </w:p>
    <w:p>
      <w:pPr>
        <w:pStyle w:val="10"/>
        <w:widowControl/>
        <w:spacing w:beforeAutospacing="0" w:afterAutospacing="0"/>
        <w:jc w:val="center"/>
        <w:rPr>
          <w:rFonts w:ascii="Times New Roman" w:hAnsi="Times New Roman" w:eastAsia="Arial"/>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Pr>
          <w:rFonts w:ascii="Times New Roman" w:hAnsi="Times New Roman" w:eastAsia="Arial"/>
          <w:color w:val="000000"/>
          <w:sz w:val="18"/>
          <w:szCs w:val="18"/>
          <w:shd w:val="clear" w:color="auto" w:fill="FFFFFF"/>
        </w:rPr>
        <w:t> </w:t>
      </w:r>
    </w:p>
    <w:p>
      <w:pPr>
        <w:widowControl/>
        <w:spacing w:line="360" w:lineRule="auto"/>
        <w:jc w:val="left"/>
        <w:outlineLvl w:val="1"/>
        <w:rPr>
          <w:rFonts w:ascii="Times New Roman" w:eastAsia="黑体"/>
          <w:sz w:val="32"/>
          <w:szCs w:val="32"/>
        </w:rPr>
      </w:pPr>
      <w:r>
        <w:rPr>
          <w:rFonts w:ascii="Times New Roman" w:eastAsia="黑体"/>
          <w:sz w:val="32"/>
          <w:szCs w:val="32"/>
        </w:rPr>
        <w:t>二、收入决算情况说明</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单位2024年度本年收入合计1,780.82万元，其中：财政拨款收入1,780.82万元，占100.0%；上级补助收入0.00万元，占0.0%；事业收入0.00万元，占0.0%；经营收入0.00万元，占0.0%；附属单位上缴收入0.00万元，占0.0%；其他收入0.00万元，占0.0%。</w:t>
      </w:r>
    </w:p>
    <w:p>
      <w:pPr>
        <w:adjustRightInd w:val="0"/>
        <w:snapToGrid w:val="0"/>
        <w:spacing w:line="580" w:lineRule="exact"/>
        <w:rPr>
          <w:rFonts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p>
      <w:pPr>
        <w:widowControl/>
        <w:spacing w:line="360" w:lineRule="auto"/>
        <w:jc w:val="left"/>
        <w:outlineLvl w:val="1"/>
        <w:rPr>
          <w:rFonts w:ascii="Times New Roman" w:eastAsia="黑体"/>
          <w:sz w:val="32"/>
          <w:szCs w:val="32"/>
        </w:rPr>
      </w:pPr>
      <w:r>
        <w:rPr>
          <w:rFonts w:ascii="Times New Roman" w:eastAsia="黑体"/>
          <w:sz w:val="32"/>
          <w:szCs w:val="32"/>
        </w:rPr>
        <w:t>三、支出决算情况说明</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本单位2024年度本年支出合计1,780.82万元，其中：基本支出920.21万元，占51.7%；项目支出860.61万元，占48.3%；上缴上级支出0.00万元，占0.0%；经营支出0.00万元，占0.0%；对附属单位补助支出0.00万元，占0.0%。</w:t>
      </w:r>
    </w:p>
    <w:p>
      <w:pPr>
        <w:autoSpaceDE w:val="0"/>
        <w:autoSpaceDN w:val="0"/>
        <w:adjustRightInd w:val="0"/>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四、财政拨款收入支出决算总体情况说明</w:t>
      </w:r>
    </w:p>
    <w:p>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pPr>
        <w:widowControl/>
        <w:spacing w:line="360" w:lineRule="auto"/>
        <w:ind w:firstLine="640" w:firstLineChars="200"/>
        <w:jc w:val="left"/>
        <w:rPr>
          <w:rFonts w:hint="eastAsia" w:ascii="宋体" w:hAnsi="宋体" w:eastAsia="宋体"/>
          <w:sz w:val="32"/>
          <w:szCs w:val="32"/>
        </w:rPr>
      </w:pPr>
      <w:r>
        <w:rPr>
          <w:rFonts w:ascii="Times New Roman" w:eastAsia="仿宋_GB2312"/>
          <w:sz w:val="32"/>
          <w:szCs w:val="32"/>
        </w:rPr>
        <w:t>本单位2024年度财政拨款收、支总计（含结转和结余）均为1,780.82万元。与2023年度相比，财政拨款收支各增加56.66万元，增长3.3%，主要原因是</w:t>
      </w:r>
      <w:r>
        <w:rPr>
          <w:rFonts w:ascii="宋体" w:hAnsi="宋体" w:eastAsia="宋体"/>
          <w:sz w:val="32"/>
          <w:szCs w:val="32"/>
        </w:rPr>
        <w:t>人员经费及项目经费收支增加</w:t>
      </w:r>
      <w:r>
        <w:rPr>
          <w:rFonts w:hint="eastAsia" w:ascii="宋体" w:hAnsi="宋体" w:eastAsia="宋体"/>
          <w:sz w:val="32"/>
          <w:szCs w:val="32"/>
        </w:rPr>
        <w:t>。</w:t>
      </w:r>
    </w:p>
    <w:p>
      <w:pPr>
        <w:widowControl/>
        <w:spacing w:line="360" w:lineRule="auto"/>
        <w:ind w:firstLine="640" w:firstLineChars="200"/>
        <w:jc w:val="left"/>
        <w:rPr>
          <w:rFonts w:hint="eastAsia" w:ascii="Times New Roman" w:eastAsia="仿宋_GB2312"/>
          <w:sz w:val="32"/>
          <w:szCs w:val="32"/>
        </w:rPr>
      </w:pPr>
      <w:r>
        <w:rPr>
          <w:rFonts w:ascii="Times New Roman" w:eastAsia="仿宋_GB2312"/>
          <w:sz w:val="32"/>
          <w:szCs w:val="32"/>
        </w:rPr>
        <w:t>本单位2024</w:t>
      </w:r>
      <w:r>
        <w:rPr>
          <w:rFonts w:hint="eastAsia" w:ascii="宋体" w:hAnsi="宋体" w:eastAsia="宋体"/>
          <w:sz w:val="32"/>
          <w:szCs w:val="32"/>
        </w:rPr>
        <w:t>年度财政拨款</w:t>
      </w:r>
      <w:r>
        <w:rPr>
          <w:rFonts w:hint="eastAsia" w:ascii="___WRD_EMBED_SUB_45" w:hAnsi="___WRD_EMBED_SUB_45" w:eastAsia="___WRD_EMBED_SUB_45" w:cs="___WRD_EMBED_SUB_45"/>
          <w:sz w:val="32"/>
          <w:szCs w:val="32"/>
        </w:rPr>
        <w:t>本</w:t>
      </w:r>
      <w:r>
        <w:rPr>
          <w:rFonts w:hint="eastAsia" w:ascii="宋体" w:hAnsi="宋体" w:eastAsia="宋体"/>
          <w:sz w:val="32"/>
          <w:szCs w:val="32"/>
        </w:rPr>
        <w:t>年收入</w:t>
      </w:r>
      <w:r>
        <w:rPr>
          <w:rFonts w:ascii="Times New Roman" w:eastAsia="仿宋_GB2312"/>
          <w:sz w:val="32"/>
          <w:szCs w:val="32"/>
        </w:rPr>
        <w:t>1,780.82</w:t>
      </w:r>
      <w:r>
        <w:rPr>
          <w:rFonts w:hint="eastAsia" w:ascii="宋体" w:hAnsi="宋体" w:eastAsia="宋体"/>
          <w:sz w:val="32"/>
          <w:szCs w:val="32"/>
        </w:rPr>
        <w:t>万元</w:t>
      </w:r>
      <w:r>
        <w:rPr>
          <w:rFonts w:ascii="Times New Roman" w:eastAsia="仿宋_GB2312"/>
          <w:sz w:val="32"/>
          <w:szCs w:val="32"/>
        </w:rPr>
        <w:t>,</w:t>
      </w:r>
      <w:r>
        <w:rPr>
          <w:rFonts w:hint="eastAsia" w:ascii="宋体" w:hAnsi="宋体" w:eastAsia="宋体"/>
          <w:sz w:val="32"/>
          <w:szCs w:val="32"/>
        </w:rPr>
        <w:t>比上年增加</w:t>
      </w:r>
      <w:r>
        <w:rPr>
          <w:rFonts w:ascii="Times New Roman" w:eastAsia="仿宋_GB2312"/>
          <w:sz w:val="32"/>
          <w:szCs w:val="32"/>
        </w:rPr>
        <w:t>56.66</w:t>
      </w:r>
      <w:r>
        <w:rPr>
          <w:rFonts w:hint="eastAsia" w:ascii="宋体" w:hAnsi="宋体" w:eastAsia="宋体"/>
          <w:sz w:val="32"/>
          <w:szCs w:val="32"/>
        </w:rPr>
        <w:t>万元，增长</w:t>
      </w:r>
      <w:r>
        <w:rPr>
          <w:rFonts w:ascii="Times New Roman" w:eastAsia="仿宋_GB2312"/>
          <w:sz w:val="32"/>
          <w:szCs w:val="32"/>
        </w:rPr>
        <w:t>3.3%</w:t>
      </w:r>
      <w:r>
        <w:rPr>
          <w:rFonts w:hint="eastAsia" w:ascii="宋体" w:hAnsi="宋体" w:eastAsia="宋体"/>
          <w:sz w:val="32"/>
          <w:szCs w:val="32"/>
        </w:rPr>
        <w:t>，主要原因是；</w:t>
      </w:r>
      <w:r>
        <w:rPr>
          <w:rFonts w:hint="eastAsia" w:ascii="___WRD_EMBED_SUB_45" w:hAnsi="___WRD_EMBED_SUB_45" w:eastAsia="___WRD_EMBED_SUB_45" w:cs="___WRD_EMBED_SUB_45"/>
          <w:sz w:val="32"/>
          <w:szCs w:val="32"/>
        </w:rPr>
        <w:t>本</w:t>
      </w:r>
      <w:r>
        <w:rPr>
          <w:rFonts w:hint="eastAsia" w:ascii="宋体" w:hAnsi="宋体" w:eastAsia="宋体"/>
          <w:sz w:val="32"/>
          <w:szCs w:val="32"/>
        </w:rPr>
        <w:t>年支出</w:t>
      </w:r>
      <w:r>
        <w:rPr>
          <w:rFonts w:ascii="Times New Roman" w:eastAsia="仿宋_GB2312"/>
          <w:sz w:val="32"/>
          <w:szCs w:val="32"/>
        </w:rPr>
        <w:t>1,780.82</w:t>
      </w:r>
      <w:r>
        <w:rPr>
          <w:rFonts w:hint="eastAsia" w:ascii="宋体" w:hAnsi="宋体" w:eastAsia="宋体"/>
          <w:sz w:val="32"/>
          <w:szCs w:val="32"/>
        </w:rPr>
        <w:t>万元，比上年增加</w:t>
      </w:r>
      <w:r>
        <w:rPr>
          <w:rFonts w:ascii="Times New Roman" w:eastAsia="仿宋_GB2312"/>
          <w:sz w:val="32"/>
          <w:szCs w:val="32"/>
        </w:rPr>
        <w:t>56.66</w:t>
      </w:r>
      <w:r>
        <w:rPr>
          <w:rFonts w:hint="eastAsia" w:ascii="宋体" w:hAnsi="宋体" w:eastAsia="宋体"/>
          <w:sz w:val="32"/>
          <w:szCs w:val="32"/>
        </w:rPr>
        <w:t>万元，增长</w:t>
      </w:r>
      <w:r>
        <w:rPr>
          <w:rFonts w:ascii="Times New Roman" w:eastAsia="仿宋_GB2312"/>
          <w:sz w:val="32"/>
          <w:szCs w:val="32"/>
        </w:rPr>
        <w:t>3.3%</w:t>
      </w:r>
      <w:r>
        <w:rPr>
          <w:rFonts w:hint="eastAsia" w:ascii="宋体" w:hAnsi="宋体" w:eastAsia="宋体"/>
          <w:sz w:val="32"/>
          <w:szCs w:val="32"/>
        </w:rPr>
        <w:t>，主要原因是</w:t>
      </w:r>
      <w:r>
        <w:rPr>
          <w:rFonts w:ascii="宋体" w:hAnsi="宋体" w:eastAsia="宋体"/>
          <w:sz w:val="32"/>
          <w:szCs w:val="32"/>
        </w:rPr>
        <w:t>人员经费及项目经费收支增加</w:t>
      </w:r>
      <w:r>
        <w:rPr>
          <w:rFonts w:hint="eastAsia" w:ascii="宋体" w:hAnsi="宋体" w:eastAsia="宋体"/>
          <w:sz w:val="32"/>
          <w:szCs w:val="32"/>
        </w:rPr>
        <w:t>。</w:t>
      </w:r>
      <w:r>
        <w:rPr>
          <w:rFonts w:ascii="Times New Roman" w:eastAsia="仿宋_GB2312"/>
          <w:sz w:val="32"/>
          <w:szCs w:val="32"/>
        </w:rPr>
        <w:t>本单位</w:t>
      </w:r>
      <w:r>
        <w:rPr>
          <w:rFonts w:hint="eastAsia" w:ascii="Times New Roman" w:eastAsia="仿宋_GB2312"/>
          <w:sz w:val="32"/>
          <w:szCs w:val="32"/>
        </w:rPr>
        <w:t>2024</w:t>
      </w:r>
      <w:r>
        <w:rPr>
          <w:rFonts w:hint="eastAsia" w:ascii="宋体" w:hAnsi="宋体" w:eastAsia="宋体"/>
          <w:sz w:val="32"/>
          <w:szCs w:val="32"/>
        </w:rPr>
        <w:t>年度无政府</w:t>
      </w:r>
      <w:r>
        <w:rPr>
          <w:rFonts w:hint="eastAsia" w:ascii="___WRD_EMBED_SUB_45" w:hAnsi="___WRD_EMBED_SUB_45" w:eastAsia="___WRD_EMBED_SUB_45" w:cs="___WRD_EMBED_SUB_45"/>
          <w:sz w:val="32"/>
          <w:szCs w:val="32"/>
        </w:rPr>
        <w:t>性基</w:t>
      </w:r>
      <w:r>
        <w:rPr>
          <w:rFonts w:hint="eastAsia" w:ascii="宋体" w:hAnsi="宋体" w:eastAsia="宋体"/>
          <w:sz w:val="32"/>
          <w:szCs w:val="32"/>
        </w:rPr>
        <w:t>金预算财政拨款</w:t>
      </w:r>
      <w:r>
        <w:rPr>
          <w:rFonts w:ascii="宋体" w:hAnsi="宋体" w:eastAsia="宋体"/>
          <w:sz w:val="32"/>
          <w:szCs w:val="32"/>
        </w:rPr>
        <w:t>收入和</w:t>
      </w:r>
      <w:r>
        <w:rPr>
          <w:rFonts w:hint="eastAsia" w:ascii="宋体" w:hAnsi="宋体" w:eastAsia="宋体"/>
          <w:sz w:val="32"/>
          <w:szCs w:val="32"/>
        </w:rPr>
        <w:t>国有资</w:t>
      </w:r>
      <w:r>
        <w:rPr>
          <w:rFonts w:hint="eastAsia" w:ascii="___WRD_EMBED_SUB_45" w:hAnsi="___WRD_EMBED_SUB_45" w:eastAsia="___WRD_EMBED_SUB_45" w:cs="___WRD_EMBED_SUB_45"/>
          <w:sz w:val="32"/>
          <w:szCs w:val="32"/>
        </w:rPr>
        <w:t>本经</w:t>
      </w:r>
      <w:r>
        <w:rPr>
          <w:rFonts w:hint="eastAsia" w:ascii="宋体" w:hAnsi="宋体" w:eastAsia="宋体"/>
          <w:sz w:val="32"/>
          <w:szCs w:val="32"/>
        </w:rPr>
        <w:t>营预算财政拨款收入。</w:t>
      </w:r>
    </w:p>
    <w:p>
      <w:pPr>
        <w:widowControl/>
        <w:spacing w:line="360" w:lineRule="auto"/>
        <w:ind w:firstLine="640" w:firstLineChars="200"/>
        <w:jc w:val="left"/>
        <w:rPr>
          <w:rFonts w:ascii="Times New Roman" w:eastAsia="仿宋_GB2312"/>
          <w:sz w:val="32"/>
          <w:szCs w:val="32"/>
        </w:rPr>
      </w:pPr>
    </w:p>
    <w:p>
      <w:pPr>
        <w:pStyle w:val="10"/>
        <w:widowControl/>
        <w:spacing w:beforeAutospacing="0" w:afterAutospacing="0"/>
        <w:jc w:val="center"/>
        <w:rPr>
          <w:rFonts w:ascii="Times New Roman" w:hAnsi="Times New Roman" w:eastAsia="仿宋_GB2312"/>
          <w:sz w:val="32"/>
          <w:szCs w:val="32"/>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pPr>
        <w:widowControl/>
        <w:spacing w:line="360" w:lineRule="auto"/>
        <w:ind w:firstLine="640" w:firstLineChars="200"/>
        <w:jc w:val="left"/>
        <w:rPr>
          <w:rFonts w:hint="eastAsia" w:ascii="Times New Roman" w:eastAsia="仿宋_GB2312"/>
          <w:sz w:val="32"/>
          <w:szCs w:val="32"/>
        </w:rPr>
      </w:pPr>
      <w:r>
        <w:rPr>
          <w:rFonts w:ascii="Times New Roman" w:eastAsia="仿宋_GB2312"/>
          <w:sz w:val="32"/>
          <w:szCs w:val="32"/>
        </w:rPr>
        <w:t>本单位2024</w:t>
      </w:r>
      <w:r>
        <w:rPr>
          <w:rFonts w:hint="eastAsia" w:ascii="宋体" w:hAnsi="宋体" w:eastAsia="宋体"/>
          <w:sz w:val="32"/>
          <w:szCs w:val="32"/>
        </w:rPr>
        <w:t>年度财政拨款</w:t>
      </w:r>
      <w:r>
        <w:rPr>
          <w:rFonts w:hint="eastAsia" w:ascii="___WRD_EMBED_SUB_45" w:hAnsi="___WRD_EMBED_SUB_45" w:eastAsia="___WRD_EMBED_SUB_45" w:cs="___WRD_EMBED_SUB_45"/>
          <w:sz w:val="32"/>
          <w:szCs w:val="32"/>
        </w:rPr>
        <w:t>本</w:t>
      </w:r>
      <w:r>
        <w:rPr>
          <w:rFonts w:hint="eastAsia" w:ascii="宋体" w:hAnsi="宋体" w:eastAsia="宋体"/>
          <w:sz w:val="32"/>
          <w:szCs w:val="32"/>
        </w:rPr>
        <w:t>年收入</w:t>
      </w:r>
      <w:r>
        <w:rPr>
          <w:rFonts w:ascii="Times New Roman" w:eastAsia="仿宋_GB2312"/>
          <w:sz w:val="32"/>
          <w:szCs w:val="32"/>
        </w:rPr>
        <w:t>1,780.82</w:t>
      </w:r>
      <w:r>
        <w:rPr>
          <w:rFonts w:hint="eastAsia" w:ascii="宋体" w:hAnsi="宋体" w:eastAsia="宋体"/>
          <w:sz w:val="32"/>
          <w:szCs w:val="32"/>
        </w:rPr>
        <w:t>万元，完成年初预算的</w:t>
      </w:r>
      <w:r>
        <w:rPr>
          <w:rFonts w:ascii="Times New Roman" w:eastAsia="仿宋_GB2312"/>
          <w:sz w:val="32"/>
          <w:szCs w:val="32"/>
        </w:rPr>
        <w:t>91.1%</w:t>
      </w:r>
      <w:r>
        <w:rPr>
          <w:rFonts w:hint="eastAsia" w:ascii="宋体" w:hAnsi="宋体" w:eastAsia="宋体"/>
          <w:sz w:val="32"/>
          <w:szCs w:val="32"/>
        </w:rPr>
        <w:t>，比年初预算减少</w:t>
      </w:r>
      <w:r>
        <w:rPr>
          <w:rFonts w:ascii="Times New Roman" w:eastAsia="仿宋_GB2312"/>
          <w:sz w:val="32"/>
          <w:szCs w:val="32"/>
        </w:rPr>
        <w:t>174.13</w:t>
      </w:r>
      <w:r>
        <w:rPr>
          <w:rFonts w:hint="eastAsia" w:ascii="宋体" w:hAnsi="宋体" w:eastAsia="宋体"/>
          <w:sz w:val="32"/>
          <w:szCs w:val="32"/>
        </w:rPr>
        <w:t>万元，决算数小于预算数主要原因是厉行节约，减少支出；</w:t>
      </w:r>
      <w:r>
        <w:rPr>
          <w:rFonts w:ascii="Times New Roman" w:eastAsia="仿宋_GB2312"/>
          <w:sz w:val="32"/>
          <w:szCs w:val="32"/>
        </w:rPr>
        <w:t>本</w:t>
      </w:r>
      <w:r>
        <w:rPr>
          <w:rFonts w:hint="eastAsia" w:ascii="宋体" w:hAnsi="宋体" w:eastAsia="宋体"/>
          <w:sz w:val="32"/>
          <w:szCs w:val="32"/>
        </w:rPr>
        <w:t>年支出</w:t>
      </w:r>
      <w:r>
        <w:rPr>
          <w:rFonts w:ascii="Times New Roman" w:eastAsia="仿宋_GB2312"/>
          <w:sz w:val="32"/>
          <w:szCs w:val="32"/>
        </w:rPr>
        <w:t>1,780.82</w:t>
      </w:r>
      <w:r>
        <w:rPr>
          <w:rFonts w:hint="eastAsia" w:ascii="宋体" w:hAnsi="宋体" w:eastAsia="宋体"/>
          <w:sz w:val="32"/>
          <w:szCs w:val="32"/>
        </w:rPr>
        <w:t>万元，完成年初预算的</w:t>
      </w:r>
      <w:r>
        <w:rPr>
          <w:rFonts w:ascii="Times New Roman" w:eastAsia="仿宋_GB2312"/>
          <w:sz w:val="32"/>
          <w:szCs w:val="32"/>
        </w:rPr>
        <w:t>91.1%</w:t>
      </w:r>
      <w:r>
        <w:rPr>
          <w:rFonts w:hint="eastAsia" w:ascii="宋体" w:hAnsi="宋体" w:eastAsia="宋体"/>
          <w:sz w:val="32"/>
          <w:szCs w:val="32"/>
        </w:rPr>
        <w:t>，比年初预算减少</w:t>
      </w:r>
      <w:r>
        <w:rPr>
          <w:rFonts w:ascii="Times New Roman" w:eastAsia="仿宋_GB2312"/>
          <w:sz w:val="32"/>
          <w:szCs w:val="32"/>
        </w:rPr>
        <w:t>174.13</w:t>
      </w:r>
      <w:r>
        <w:rPr>
          <w:rFonts w:hint="eastAsia" w:ascii="宋体" w:hAnsi="宋体" w:eastAsia="宋体"/>
          <w:sz w:val="32"/>
          <w:szCs w:val="32"/>
        </w:rPr>
        <w:t>万元，决算数小于预算数</w:t>
      </w:r>
      <w:r>
        <w:rPr>
          <w:rFonts w:hint="eastAsia" w:ascii="Times New Roman" w:eastAsia="仿宋_GB2312"/>
          <w:sz w:val="32"/>
          <w:szCs w:val="32"/>
        </w:rPr>
        <w:t>主要原因是</w:t>
      </w:r>
      <w:r>
        <w:rPr>
          <w:rFonts w:ascii="Times New Roman" w:eastAsia="仿宋_GB2312"/>
          <w:sz w:val="32"/>
          <w:szCs w:val="32"/>
        </w:rPr>
        <w:t>厉行节约</w:t>
      </w:r>
      <w:r>
        <w:rPr>
          <w:rFonts w:hint="eastAsia" w:ascii="Times New Roman" w:eastAsia="仿宋_GB2312"/>
          <w:sz w:val="32"/>
          <w:szCs w:val="32"/>
        </w:rPr>
        <w:t>，</w:t>
      </w:r>
      <w:r>
        <w:rPr>
          <w:rFonts w:ascii="Times New Roman" w:eastAsia="仿宋_GB2312"/>
          <w:sz w:val="32"/>
          <w:szCs w:val="32"/>
        </w:rPr>
        <w:t>减少支出</w:t>
      </w:r>
      <w:r>
        <w:rPr>
          <w:rFonts w:hint="eastAsia" w:ascii="Times New Roman" w:eastAsia="仿宋_GB2312"/>
          <w:sz w:val="32"/>
          <w:szCs w:val="32"/>
        </w:rPr>
        <w:t>。</w:t>
      </w:r>
      <w:r>
        <w:rPr>
          <w:rFonts w:ascii="Times New Roman" w:eastAsia="仿宋_GB2312"/>
          <w:sz w:val="32"/>
          <w:szCs w:val="32"/>
        </w:rPr>
        <w:t>本单位</w:t>
      </w:r>
      <w:r>
        <w:rPr>
          <w:rFonts w:hint="eastAsia" w:ascii="Times New Roman" w:eastAsia="仿宋_GB2312"/>
          <w:sz w:val="32"/>
          <w:szCs w:val="32"/>
        </w:rPr>
        <w:t>2024</w:t>
      </w:r>
      <w:r>
        <w:rPr>
          <w:rFonts w:hint="eastAsia" w:ascii="宋体" w:hAnsi="宋体" w:eastAsia="宋体"/>
          <w:sz w:val="32"/>
          <w:szCs w:val="32"/>
        </w:rPr>
        <w:t>年度无政府</w:t>
      </w:r>
      <w:r>
        <w:rPr>
          <w:rFonts w:hint="eastAsia" w:ascii="___WRD_EMBED_SUB_45" w:hAnsi="___WRD_EMBED_SUB_45" w:eastAsia="___WRD_EMBED_SUB_45" w:cs="___WRD_EMBED_SUB_45"/>
          <w:sz w:val="32"/>
          <w:szCs w:val="32"/>
        </w:rPr>
        <w:t>性基</w:t>
      </w:r>
      <w:r>
        <w:rPr>
          <w:rFonts w:hint="eastAsia" w:ascii="宋体" w:hAnsi="宋体" w:eastAsia="宋体"/>
          <w:sz w:val="32"/>
          <w:szCs w:val="32"/>
        </w:rPr>
        <w:t>金预算财政拨款</w:t>
      </w:r>
      <w:r>
        <w:rPr>
          <w:rFonts w:ascii="宋体" w:hAnsi="宋体" w:eastAsia="宋体"/>
          <w:sz w:val="32"/>
          <w:szCs w:val="32"/>
        </w:rPr>
        <w:t>收入和</w:t>
      </w:r>
      <w:r>
        <w:rPr>
          <w:rFonts w:hint="eastAsia" w:ascii="宋体" w:hAnsi="宋体" w:eastAsia="宋体"/>
          <w:sz w:val="32"/>
          <w:szCs w:val="32"/>
        </w:rPr>
        <w:t>国有资</w:t>
      </w:r>
      <w:r>
        <w:rPr>
          <w:rFonts w:hint="eastAsia" w:ascii="___WRD_EMBED_SUB_45" w:hAnsi="___WRD_EMBED_SUB_45" w:eastAsia="___WRD_EMBED_SUB_45" w:cs="___WRD_EMBED_SUB_45"/>
          <w:sz w:val="32"/>
          <w:szCs w:val="32"/>
        </w:rPr>
        <w:t>本经</w:t>
      </w:r>
      <w:r>
        <w:rPr>
          <w:rFonts w:hint="eastAsia" w:ascii="宋体" w:hAnsi="宋体" w:eastAsia="宋体"/>
          <w:sz w:val="32"/>
          <w:szCs w:val="32"/>
        </w:rPr>
        <w:t>营预算财政拨款收入。</w:t>
      </w:r>
    </w:p>
    <w:p>
      <w:pPr>
        <w:pStyle w:val="10"/>
        <w:widowControl/>
        <w:spacing w:beforeAutospacing="0" w:afterAutospacing="0"/>
        <w:jc w:val="center"/>
        <w:rPr>
          <w:rFonts w:ascii="Times New Roman" w:hAnsi="Times New Roman" w:eastAsia="仿宋_GB2312"/>
          <w:sz w:val="32"/>
          <w:szCs w:val="32"/>
        </w:rPr>
      </w:pPr>
      <w:r>
        <w:rPr>
          <w:rFonts w:ascii="Times New Roman" w:hAnsi="Times New Roman" w:eastAsia="仿宋_GB2312"/>
          <w:sz w:val="32"/>
          <w:szCs w:val="32"/>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2024年度财政拨款支出1,780.82万元，主要用于以下方面：</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公共安全类（类）支出1,552.00万元，占87.2%，主要用于等支出；社会保障和就业（类）支出110.10万元，占6.2%，主要用于等支出；卫生健康（类）支出54.95万元，占3.1%，主要用于等支出；；住房保障（类）支出63.77万元，占3.6%，主要用于等支出</w:t>
      </w:r>
      <w:r>
        <w:rPr>
          <w:rFonts w:hint="eastAsia" w:ascii="宋体" w:hAnsi="宋体" w:eastAsia="宋体"/>
          <w:sz w:val="32"/>
          <w:szCs w:val="32"/>
        </w:rPr>
        <w:t>。</w:t>
      </w:r>
    </w:p>
    <w:p>
      <w:pPr>
        <w:pStyle w:val="10"/>
        <w:widowControl/>
        <w:spacing w:beforeAutospacing="0" w:afterAutospacing="0"/>
        <w:rPr>
          <w:rFonts w:ascii="Times New Roman" w:hAnsi="Times New Roman" w:eastAsia="仿宋_GB2312"/>
          <w:kern w:val="2"/>
          <w:sz w:val="32"/>
          <w:szCs w:val="32"/>
          <w:lang w:val="zh-CN"/>
        </w:rPr>
      </w:pPr>
      <w:r>
        <w:rPr>
          <w:rFonts w:ascii="Times New Roman" w:hAnsi="Times New Roman" w:eastAsia="仿宋_GB2312"/>
          <w:kern w:val="2"/>
          <w:sz w:val="32"/>
          <w:szCs w:val="32"/>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2024年度财政拨款基本支出920.21万元，其中：</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人员经费774.58万元，主要包括基本工资、津贴补贴、奖金、伙食补助费、绩效工资、机关事业部门基本养老保险缴费、职业年金缴费、职工基本医疗保险缴费、公务员医疗补助缴费、住房公积金、医疗费、其他社会保障缴费、其他工资福利支出、离休费、退休费、抚恤金、生活补助、医疗费补助、奖励金、其他对个人和家庭的补助支出。</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公用经费145.63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五、财政拨款“三公”经费支出决算情况说明</w:t>
      </w:r>
    </w:p>
    <w:p>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单位2024年度“三公”经费财政拨款支出预算为29.70万元，支出决算为29.70万元，完成预算的100.0%，较预算增加0.00万元，增长0.0%，主要原因是；较2023年度决算减少0.98万元，降低3.2%，主要原因是本年公务用车购置费支出减少。</w:t>
      </w:r>
    </w:p>
    <w:p>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pPr>
        <w:widowControl/>
        <w:spacing w:line="360" w:lineRule="auto"/>
        <w:ind w:firstLine="643" w:firstLineChars="200"/>
        <w:jc w:val="left"/>
        <w:rPr>
          <w:rFonts w:ascii="Times New Roman" w:eastAsia="仿宋_GB2312"/>
          <w:sz w:val="32"/>
          <w:szCs w:val="32"/>
        </w:rPr>
      </w:pPr>
      <w:r>
        <w:rPr>
          <w:rFonts w:ascii="Times New Roman" w:eastAsia="楷体_GB2312"/>
          <w:b/>
          <w:sz w:val="32"/>
          <w:szCs w:val="32"/>
        </w:rPr>
        <w:t>1.因公出国（境）费支出情况。</w:t>
      </w:r>
      <w:r>
        <w:rPr>
          <w:rFonts w:ascii="Times New Roman" w:eastAsia="仿宋_GB2312"/>
          <w:sz w:val="32"/>
          <w:szCs w:val="32"/>
        </w:rPr>
        <w:t>本单位2024年度因公出国（境）费支出预算为0.00万元,支出决算0.00万元。完成预算的0.0%。因公出国（境）费支出于上年预算持平</w:t>
      </w:r>
      <w:r>
        <w:rPr>
          <w:rFonts w:hint="eastAsia" w:ascii="Times New Roman" w:eastAsia="仿宋_GB2312"/>
          <w:sz w:val="32"/>
          <w:szCs w:val="32"/>
        </w:rPr>
        <w:t>。</w:t>
      </w:r>
    </w:p>
    <w:p>
      <w:pPr>
        <w:widowControl/>
        <w:spacing w:line="360" w:lineRule="auto"/>
        <w:ind w:firstLine="643" w:firstLineChars="200"/>
        <w:jc w:val="left"/>
        <w:rPr>
          <w:rFonts w:ascii="Times New Roman" w:eastAsia="仿宋_GB2312"/>
          <w:sz w:val="32"/>
          <w:szCs w:val="32"/>
        </w:rPr>
      </w:pPr>
      <w:r>
        <w:rPr>
          <w:rFonts w:ascii="Times New Roman" w:eastAsia="楷体_GB2312"/>
          <w:b/>
          <w:sz w:val="32"/>
          <w:szCs w:val="32"/>
        </w:rPr>
        <w:t>2.公务用车购置及运行维护费支出情况。</w:t>
      </w:r>
      <w:r>
        <w:rPr>
          <w:rFonts w:ascii="Times New Roman" w:eastAsia="仿宋_GB2312"/>
          <w:sz w:val="32"/>
          <w:szCs w:val="32"/>
        </w:rPr>
        <w:t>本单位2024年度公务用车购置及运行维护费预算为29.70万元，支出决算29.70万元，完成预算的100.0%,与本年预算持平 ,主要原因是</w:t>
      </w:r>
      <w:bookmarkStart w:id="1" w:name="OLE_LINK1"/>
      <w:r>
        <w:rPr>
          <w:rFonts w:ascii="Times New Roman" w:eastAsia="仿宋_GB2312"/>
          <w:sz w:val="32"/>
          <w:szCs w:val="32"/>
        </w:rPr>
        <w:t>厉行节约</w:t>
      </w:r>
      <w:r>
        <w:rPr>
          <w:rFonts w:hint="eastAsia" w:ascii="Times New Roman" w:eastAsia="仿宋_GB2312"/>
          <w:sz w:val="32"/>
          <w:szCs w:val="32"/>
        </w:rPr>
        <w:t>，</w:t>
      </w:r>
      <w:r>
        <w:rPr>
          <w:rFonts w:ascii="Times New Roman" w:eastAsia="仿宋_GB2312"/>
          <w:sz w:val="32"/>
          <w:szCs w:val="32"/>
        </w:rPr>
        <w:t>减少支出</w:t>
      </w:r>
      <w:bookmarkEnd w:id="1"/>
      <w:r>
        <w:rPr>
          <w:rFonts w:ascii="Times New Roman" w:eastAsia="仿宋_GB2312"/>
          <w:sz w:val="32"/>
          <w:szCs w:val="32"/>
        </w:rPr>
        <w:t>；较上年减少0.98万元，降低3.2%,主要原因是公务用车购置费支出减少。其中：</w:t>
      </w:r>
    </w:p>
    <w:p>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sz w:val="32"/>
          <w:szCs w:val="32"/>
        </w:rPr>
        <w:t>本单位2024年度公务用车购置量0辆，发生“公务用车购置”经费支出0.00万元。公务用车购置费支出较预算增加0.00万元，增长0.0%,主要原因是；较上年增加0.00万元，增长0.00%,主要原因是本年未发生公务用车购置业务。</w:t>
      </w:r>
    </w:p>
    <w:p>
      <w:pPr>
        <w:widowControl/>
        <w:spacing w:line="360" w:lineRule="auto"/>
        <w:ind w:firstLine="643" w:firstLineChars="200"/>
        <w:rPr>
          <w:rFonts w:ascii="Times New Roman" w:eastAsia="仿宋_GB2312"/>
          <w:sz w:val="32"/>
          <w:szCs w:val="32"/>
        </w:rPr>
      </w:pPr>
      <w:r>
        <w:rPr>
          <w:rFonts w:ascii="Times New Roman" w:eastAsia="仿宋_GB2312"/>
          <w:b/>
          <w:sz w:val="32"/>
          <w:szCs w:val="32"/>
        </w:rPr>
        <w:t>公务用车运行维护费支出29.70万元：</w:t>
      </w:r>
      <w:r>
        <w:rPr>
          <w:rFonts w:ascii="Times New Roman" w:eastAsia="仿宋_GB2312"/>
          <w:sz w:val="32"/>
          <w:szCs w:val="32"/>
        </w:rPr>
        <w:t>本单位2024年度单位公务用车保有量10辆，发生运行维护费支出29.70万元。公车运行维护费支出与上年预算持平</w:t>
      </w:r>
      <w:r>
        <w:rPr>
          <w:rFonts w:hint="eastAsia" w:ascii="Times New Roman" w:eastAsia="仿宋_GB2312"/>
          <w:sz w:val="32"/>
          <w:szCs w:val="32"/>
        </w:rPr>
        <w:t>。</w:t>
      </w:r>
      <w:r>
        <w:rPr>
          <w:rFonts w:ascii="Times New Roman" w:eastAsia="仿宋_GB2312"/>
          <w:sz w:val="32"/>
          <w:szCs w:val="32"/>
        </w:rPr>
        <w:t>较上年减少0.98万元，降低3.2%，主要原因是厉行节约</w:t>
      </w:r>
      <w:r>
        <w:rPr>
          <w:rFonts w:hint="eastAsia" w:ascii="Times New Roman" w:eastAsia="仿宋_GB2312"/>
          <w:sz w:val="32"/>
          <w:szCs w:val="32"/>
        </w:rPr>
        <w:t>，</w:t>
      </w:r>
      <w:r>
        <w:rPr>
          <w:rFonts w:ascii="Times New Roman" w:eastAsia="仿宋_GB2312"/>
          <w:sz w:val="32"/>
          <w:szCs w:val="32"/>
        </w:rPr>
        <w:t>减少支出。</w:t>
      </w:r>
    </w:p>
    <w:p>
      <w:pPr>
        <w:widowControl/>
        <w:spacing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sz w:val="32"/>
          <w:szCs w:val="32"/>
        </w:rPr>
        <w:t>本单位2024年度公务接待费支出预算为0.00万元，支出决算0.00万元，完成预算的0.0%。公务接待费支出较预算增加0.00万元，增长0.0%,主要原因是；较上年度增加0.00万元，增长0.00%,主要原因是。本年度共发生公务接待0批次、0人次。</w:t>
      </w:r>
    </w:p>
    <w:p>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六、机关运行经费支出说明</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本单位2024年度机关运行经费支出145.63万元，较2023年度减少53.27万元，降低26.8%。主要原因是厉行节约</w:t>
      </w:r>
      <w:r>
        <w:rPr>
          <w:rFonts w:hint="eastAsia" w:ascii="Times New Roman" w:eastAsia="仿宋_GB2312"/>
          <w:sz w:val="32"/>
          <w:szCs w:val="32"/>
        </w:rPr>
        <w:t>，</w:t>
      </w:r>
      <w:r>
        <w:rPr>
          <w:rFonts w:ascii="Times New Roman" w:eastAsia="仿宋_GB2312"/>
          <w:sz w:val="32"/>
          <w:szCs w:val="32"/>
        </w:rPr>
        <w:t>减少支出。</w:t>
      </w:r>
    </w:p>
    <w:p>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七、政府采购支出说明</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单位2024年度政府采购支出总额0.00万元，从采购类型来看，政府采购货物支出0.00万元、政府采购工程支出0.00万元、政府采购服务支出0.00万元。授予中小企业合同金额0.00万元，占政府采购支出总额的0.0%，其中授予小微企业合同金额0.00万元，占政府采购支出总额的0.0%。</w:t>
      </w:r>
    </w:p>
    <w:p>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八、国有资产占用情况说明</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截至2024年12月31日，本单位共有车辆10辆，比上年增加0辆，主要是。其中，副部（省）级及以上领导用车0辆，主要负责人用车0辆，机要通信用车0辆，应急保障用车1辆，执法执勤用车7辆，特种专业技术用车2辆，离退休干部用车0辆，其他用车0辆，其他用车主要是。单位价值100万元（含）以上设备（不含车辆）0台（套）。</w:t>
      </w:r>
    </w:p>
    <w:p>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九、关于2024年度绩效评价情况的说明</w:t>
      </w:r>
    </w:p>
    <w:p>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根据预算绩效管理要求，本单位组织对2024年度本级预算项目支出全面开展绩效自评，共涉及资金</w:t>
      </w:r>
      <w:bookmarkStart w:id="2" w:name="OLE_LINK2"/>
      <w:r>
        <w:rPr>
          <w:rFonts w:hint="eastAsia" w:ascii="Times New Roman" w:eastAsia="仿宋_GB2312"/>
          <w:sz w:val="32"/>
          <w:szCs w:val="32"/>
          <w:lang w:val="en-US" w:eastAsia="zh-CN"/>
        </w:rPr>
        <w:t>822.424808</w:t>
      </w:r>
      <w:bookmarkEnd w:id="2"/>
      <w:r>
        <w:rPr>
          <w:rFonts w:ascii="Times New Roman" w:eastAsia="仿宋_GB2312"/>
          <w:sz w:val="32"/>
          <w:szCs w:val="32"/>
        </w:rPr>
        <w:t>万元（决算金额）。其中，一般公共预算项目</w:t>
      </w:r>
      <w:r>
        <w:rPr>
          <w:rFonts w:hint="eastAsia" w:ascii="Times New Roman" w:eastAsia="仿宋_GB2312"/>
          <w:sz w:val="32"/>
          <w:szCs w:val="32"/>
          <w:lang w:val="en-US" w:eastAsia="zh-CN"/>
        </w:rPr>
        <w:t>22</w:t>
      </w:r>
      <w:r>
        <w:rPr>
          <w:rFonts w:ascii="Times New Roman" w:eastAsia="仿宋_GB2312"/>
          <w:sz w:val="32"/>
          <w:szCs w:val="32"/>
        </w:rPr>
        <w:t>个，涉及资金</w:t>
      </w:r>
      <w:r>
        <w:rPr>
          <w:rFonts w:hint="eastAsia" w:ascii="Times New Roman" w:eastAsia="仿宋_GB2312"/>
          <w:sz w:val="32"/>
          <w:szCs w:val="32"/>
          <w:lang w:val="en-US" w:eastAsia="zh-CN"/>
        </w:rPr>
        <w:t>822.424808</w:t>
      </w:r>
      <w:r>
        <w:rPr>
          <w:rFonts w:ascii="Times New Roman" w:eastAsia="仿宋_GB2312"/>
          <w:sz w:val="32"/>
          <w:szCs w:val="32"/>
        </w:rPr>
        <w:t>万元，占一般公共预算项目支出总额的</w:t>
      </w:r>
      <w:r>
        <w:rPr>
          <w:rFonts w:hint="eastAsia" w:ascii="Times New Roman" w:eastAsia="仿宋_GB2312"/>
          <w:sz w:val="32"/>
          <w:szCs w:val="32"/>
          <w:lang w:val="en-US" w:eastAsia="zh-CN"/>
        </w:rPr>
        <w:t>100</w:t>
      </w:r>
      <w:r>
        <w:rPr>
          <w:rFonts w:ascii="Times New Roman" w:eastAsia="仿宋_GB2312"/>
          <w:sz w:val="32"/>
          <w:szCs w:val="32"/>
        </w:rPr>
        <w:t>%；</w:t>
      </w:r>
      <w:r>
        <w:rPr>
          <w:rFonts w:hint="eastAsia" w:ascii="Times New Roman" w:eastAsia="仿宋_GB2312"/>
          <w:sz w:val="32"/>
          <w:szCs w:val="32"/>
        </w:rPr>
        <w:t>我单位 2024 年无政府性基金预算项目；我单位 2024 年无国有资本经营预算项目。</w:t>
      </w:r>
    </w:p>
    <w:p>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（二）部门决算中项目绩效自评结果</w:t>
      </w:r>
    </w:p>
    <w:p>
      <w:pPr>
        <w:widowControl/>
        <w:spacing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本单位在今年单位决算公开中反映聘用制书记员经费及劳务</w:t>
      </w:r>
    </w:p>
    <w:p>
      <w:pPr>
        <w:widowControl/>
        <w:spacing w:line="360" w:lineRule="auto"/>
        <w:jc w:val="left"/>
        <w:rPr>
          <w:rFonts w:hint="eastAsia" w:ascii="Times New Roman" w:eastAsia="仿宋_GB2312"/>
          <w:sz w:val="32"/>
          <w:szCs w:val="32"/>
        </w:rPr>
      </w:pPr>
      <w:r>
        <w:rPr>
          <w:rFonts w:hint="eastAsia" w:ascii="Times New Roman" w:eastAsia="仿宋_GB2312"/>
          <w:sz w:val="32"/>
          <w:szCs w:val="32"/>
        </w:rPr>
        <w:t>派遣人员经费等 6 个项目绩效自评结果。</w:t>
      </w:r>
    </w:p>
    <w:p>
      <w:pPr>
        <w:widowControl/>
        <w:spacing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聘用制书记员经费项目绩效自评情况：根据年初设定的绩效目标，“聘用制书记员经费”项目绩效自评得分为</w:t>
      </w:r>
      <w:r>
        <w:rPr>
          <w:rFonts w:hint="eastAsia" w:ascii="Times New Roman" w:eastAsia="仿宋_GB2312"/>
          <w:sz w:val="32"/>
          <w:szCs w:val="32"/>
          <w:lang w:val="en-US" w:eastAsia="zh-CN"/>
        </w:rPr>
        <w:t>96</w:t>
      </w:r>
      <w:r>
        <w:rPr>
          <w:rFonts w:hint="eastAsia" w:ascii="Times New Roman" w:eastAsia="仿宋_GB2312"/>
          <w:sz w:val="32"/>
          <w:szCs w:val="32"/>
        </w:rPr>
        <w:t xml:space="preserve"> 分（绩效自评表附后）。全年预算数为</w:t>
      </w:r>
      <w:r>
        <w:rPr>
          <w:rFonts w:hint="eastAsia" w:ascii="Times New Roman" w:eastAsia="仿宋_GB2312"/>
          <w:sz w:val="32"/>
          <w:szCs w:val="32"/>
          <w:lang w:val="en-US" w:eastAsia="zh-CN"/>
        </w:rPr>
        <w:t>158.58</w:t>
      </w:r>
      <w:r>
        <w:rPr>
          <w:rFonts w:hint="eastAsia" w:ascii="Times New Roman" w:eastAsia="仿宋_GB2312"/>
          <w:sz w:val="32"/>
          <w:szCs w:val="32"/>
        </w:rPr>
        <w:t xml:space="preserve"> 万元，执行数为</w:t>
      </w:r>
      <w:r>
        <w:rPr>
          <w:rFonts w:hint="eastAsia" w:ascii="Times New Roman" w:eastAsia="仿宋_GB2312"/>
          <w:sz w:val="32"/>
          <w:szCs w:val="32"/>
          <w:lang w:val="en-US" w:eastAsia="zh-CN"/>
        </w:rPr>
        <w:t>153.60926</w:t>
      </w:r>
      <w:r>
        <w:rPr>
          <w:rFonts w:hint="eastAsia" w:ascii="Times New Roman" w:eastAsia="仿宋_GB2312"/>
          <w:sz w:val="32"/>
          <w:szCs w:val="32"/>
        </w:rPr>
        <w:t xml:space="preserve"> 万元，完成预算的</w:t>
      </w:r>
      <w:r>
        <w:rPr>
          <w:rFonts w:hint="eastAsia" w:ascii="Times New Roman" w:eastAsia="仿宋_GB2312"/>
          <w:sz w:val="32"/>
          <w:szCs w:val="32"/>
          <w:lang w:val="en-US" w:eastAsia="zh-CN"/>
        </w:rPr>
        <w:t>96.87</w:t>
      </w:r>
      <w:r>
        <w:rPr>
          <w:rFonts w:hint="eastAsia" w:ascii="Times New Roman" w:eastAsia="仿宋_GB2312"/>
          <w:sz w:val="32"/>
          <w:szCs w:val="32"/>
        </w:rPr>
        <w:t xml:space="preserve">%。项目绩效目标完成情况：2024 年我院聘用制书记员人数为 </w:t>
      </w:r>
      <w:r>
        <w:rPr>
          <w:rFonts w:hint="eastAsia" w:ascii="Times New Roman" w:eastAsia="仿宋_GB2312"/>
          <w:sz w:val="32"/>
          <w:szCs w:val="32"/>
          <w:lang w:val="en-US" w:eastAsia="zh-CN"/>
        </w:rPr>
        <w:t>21</w:t>
      </w:r>
      <w:r>
        <w:rPr>
          <w:rFonts w:hint="eastAsia" w:ascii="Times New Roman" w:eastAsia="仿宋_GB2312"/>
          <w:sz w:val="32"/>
          <w:szCs w:val="32"/>
        </w:rPr>
        <w:t xml:space="preserve"> 人，人员满勤率达到 9</w:t>
      </w:r>
      <w:r>
        <w:rPr>
          <w:rFonts w:hint="eastAsia" w:ascii="Times New Roman" w:eastAsia="仿宋_GB2312"/>
          <w:sz w:val="32"/>
          <w:szCs w:val="32"/>
          <w:lang w:val="en-US" w:eastAsia="zh-CN"/>
        </w:rPr>
        <w:t>7</w:t>
      </w:r>
      <w:r>
        <w:rPr>
          <w:rFonts w:hint="eastAsia" w:ascii="Times New Roman" w:eastAsia="仿宋_GB2312"/>
          <w:sz w:val="32"/>
          <w:szCs w:val="32"/>
        </w:rPr>
        <w:t xml:space="preserve">%以上，成本控制在 </w:t>
      </w:r>
      <w:r>
        <w:rPr>
          <w:rFonts w:hint="eastAsia" w:ascii="Times New Roman" w:eastAsia="仿宋_GB2312"/>
          <w:sz w:val="32"/>
          <w:szCs w:val="32"/>
          <w:lang w:val="en-US" w:eastAsia="zh-CN"/>
        </w:rPr>
        <w:t>158.58</w:t>
      </w:r>
      <w:r>
        <w:rPr>
          <w:rFonts w:hint="eastAsia" w:ascii="Times New Roman" w:eastAsia="仿宋_GB2312"/>
          <w:sz w:val="32"/>
          <w:szCs w:val="32"/>
        </w:rPr>
        <w:t xml:space="preserve"> 万元以内，预算执行率达到</w:t>
      </w:r>
      <w:r>
        <w:rPr>
          <w:rFonts w:hint="eastAsia" w:ascii="Times New Roman" w:eastAsia="仿宋_GB2312"/>
          <w:sz w:val="32"/>
          <w:szCs w:val="32"/>
          <w:lang w:val="en-US" w:eastAsia="zh-CN"/>
        </w:rPr>
        <w:t>97</w:t>
      </w:r>
      <w:r>
        <w:rPr>
          <w:rFonts w:hint="eastAsia" w:ascii="Times New Roman" w:eastAsia="仿宋_GB2312"/>
          <w:sz w:val="32"/>
          <w:szCs w:val="32"/>
        </w:rPr>
        <w:t xml:space="preserve">%，有效保障了法院各项工作的正常运转，维护社会稳定。通过项目实施，完成了年初设定的各项绩效目标，发现的问题是预算执行率未达 </w:t>
      </w:r>
      <w:r>
        <w:rPr>
          <w:rFonts w:hint="eastAsia" w:ascii="Times New Roman" w:eastAsia="仿宋_GB2312"/>
          <w:sz w:val="32"/>
          <w:szCs w:val="32"/>
          <w:lang w:val="en-US" w:eastAsia="zh-CN"/>
        </w:rPr>
        <w:t>100</w:t>
      </w:r>
      <w:r>
        <w:rPr>
          <w:rFonts w:hint="eastAsia" w:ascii="Times New Roman" w:eastAsia="仿宋_GB2312"/>
          <w:sz w:val="32"/>
          <w:szCs w:val="32"/>
        </w:rPr>
        <w:t>%，主要原因为存在年初资金安排待细化，下一步需加强预算管理</w:t>
      </w:r>
      <w:r>
        <w:rPr>
          <w:rFonts w:hint="eastAsia" w:ascii="Times New Roman" w:eastAsia="仿宋_GB2312"/>
          <w:sz w:val="32"/>
          <w:szCs w:val="32"/>
          <w:lang w:eastAsia="zh-CN"/>
        </w:rPr>
        <w:t>。</w:t>
      </w:r>
    </w:p>
    <w:p>
      <w:pPr>
        <w:widowControl/>
        <w:spacing w:line="360" w:lineRule="auto"/>
        <w:ind w:firstLine="640" w:firstLineChars="200"/>
        <w:jc w:val="left"/>
        <w:rPr>
          <w:rFonts w:hint="eastAsia" w:ascii="Times New Roman" w:eastAsia="仿宋_GB2312"/>
          <w:sz w:val="32"/>
          <w:szCs w:val="32"/>
        </w:rPr>
      </w:pPr>
      <w:bookmarkStart w:id="3" w:name="OLE_LINK4"/>
      <w:bookmarkStart w:id="4" w:name="OLE_LINK16"/>
      <w:r>
        <w:rPr>
          <w:rFonts w:hint="eastAsia" w:ascii="Times New Roman" w:eastAsia="仿宋_GB2312"/>
          <w:sz w:val="32"/>
          <w:szCs w:val="32"/>
        </w:rPr>
        <w:t>劳务派遣人员经费项目</w:t>
      </w:r>
      <w:bookmarkEnd w:id="3"/>
      <w:r>
        <w:rPr>
          <w:rFonts w:hint="eastAsia" w:ascii="Times New Roman" w:eastAsia="仿宋_GB2312"/>
          <w:sz w:val="32"/>
          <w:szCs w:val="32"/>
        </w:rPr>
        <w:t>绩效自评情况：根据年初设定的绩效</w:t>
      </w:r>
    </w:p>
    <w:p>
      <w:pPr>
        <w:widowControl/>
        <w:spacing w:line="360" w:lineRule="auto"/>
        <w:jc w:val="left"/>
        <w:rPr>
          <w:rFonts w:hint="eastAsia" w:ascii="Times New Roman" w:eastAsia="仿宋_GB2312"/>
          <w:sz w:val="32"/>
          <w:szCs w:val="32"/>
        </w:rPr>
      </w:pPr>
      <w:r>
        <w:rPr>
          <w:rFonts w:hint="eastAsia" w:ascii="Times New Roman" w:eastAsia="仿宋_GB2312"/>
          <w:sz w:val="32"/>
          <w:szCs w:val="32"/>
        </w:rPr>
        <w:t xml:space="preserve">目标，项目绩效自评得分为 </w:t>
      </w:r>
      <w:r>
        <w:rPr>
          <w:rFonts w:hint="eastAsia" w:ascii="Times New Roman" w:eastAsia="仿宋_GB2312"/>
          <w:sz w:val="32"/>
          <w:szCs w:val="32"/>
          <w:lang w:val="en-US" w:eastAsia="zh-CN"/>
        </w:rPr>
        <w:t>100</w:t>
      </w:r>
      <w:r>
        <w:rPr>
          <w:rFonts w:hint="eastAsia" w:ascii="Times New Roman" w:eastAsia="仿宋_GB2312"/>
          <w:sz w:val="32"/>
          <w:szCs w:val="32"/>
        </w:rPr>
        <w:t xml:space="preserve"> 分（绩效自评表附后）。全年预算数为 </w:t>
      </w:r>
      <w:r>
        <w:rPr>
          <w:rFonts w:hint="eastAsia" w:ascii="Times New Roman" w:eastAsia="仿宋_GB2312"/>
          <w:sz w:val="32"/>
          <w:szCs w:val="32"/>
          <w:lang w:val="en-US" w:eastAsia="zh-CN"/>
        </w:rPr>
        <w:t>233</w:t>
      </w:r>
      <w:r>
        <w:rPr>
          <w:rFonts w:hint="eastAsia" w:ascii="Times New Roman" w:eastAsia="仿宋_GB2312"/>
          <w:sz w:val="32"/>
          <w:szCs w:val="32"/>
        </w:rPr>
        <w:t xml:space="preserve">万元，执行数为 </w:t>
      </w:r>
      <w:r>
        <w:rPr>
          <w:rFonts w:hint="eastAsia" w:ascii="Times New Roman" w:eastAsia="仿宋_GB2312"/>
          <w:sz w:val="32"/>
          <w:szCs w:val="32"/>
          <w:lang w:val="en-US" w:eastAsia="zh-CN"/>
        </w:rPr>
        <w:t>233</w:t>
      </w:r>
      <w:r>
        <w:rPr>
          <w:rFonts w:hint="eastAsia" w:ascii="Times New Roman" w:eastAsia="仿宋_GB2312"/>
          <w:sz w:val="32"/>
          <w:szCs w:val="32"/>
        </w:rPr>
        <w:t xml:space="preserve"> 万元，完成预算的 100%。通过项目实施，完成了年初设定的各项绩效目标，保障了劳务派遣人员工资及养老保险等社保及时发放缴纳。未发现问题。</w:t>
      </w:r>
    </w:p>
    <w:bookmarkEnd w:id="4"/>
    <w:p>
      <w:pPr>
        <w:widowControl/>
        <w:spacing w:line="360" w:lineRule="auto"/>
        <w:ind w:firstLine="640" w:firstLineChars="200"/>
        <w:jc w:val="left"/>
        <w:rPr>
          <w:rFonts w:hint="eastAsia" w:ascii="Times New Roman" w:eastAsia="仿宋_GB2312"/>
          <w:sz w:val="32"/>
          <w:szCs w:val="32"/>
        </w:rPr>
      </w:pPr>
      <w:bookmarkStart w:id="5" w:name="OLE_LINK5"/>
      <w:r>
        <w:rPr>
          <w:rFonts w:hint="eastAsia" w:ascii="Times New Roman" w:eastAsia="仿宋_GB2312"/>
          <w:sz w:val="32"/>
          <w:szCs w:val="32"/>
        </w:rPr>
        <w:t>单位运转保障项目</w:t>
      </w:r>
      <w:bookmarkEnd w:id="5"/>
      <w:r>
        <w:rPr>
          <w:rFonts w:hint="eastAsia" w:ascii="Times New Roman" w:eastAsia="仿宋_GB2312"/>
          <w:sz w:val="32"/>
          <w:szCs w:val="32"/>
        </w:rPr>
        <w:t xml:space="preserve">绩效自评情况：根据年初设定的绩效目标，项目绩效自评得分为 </w:t>
      </w:r>
      <w:r>
        <w:rPr>
          <w:rFonts w:hint="eastAsia" w:ascii="Times New Roman" w:eastAsia="仿宋_GB2312"/>
          <w:sz w:val="32"/>
          <w:szCs w:val="32"/>
          <w:lang w:val="en-US" w:eastAsia="zh-CN"/>
        </w:rPr>
        <w:t>50</w:t>
      </w:r>
      <w:r>
        <w:rPr>
          <w:rFonts w:hint="eastAsia" w:ascii="Times New Roman" w:eastAsia="仿宋_GB2312"/>
          <w:sz w:val="32"/>
          <w:szCs w:val="32"/>
        </w:rPr>
        <w:t xml:space="preserve"> 分（绩效自评表附后）。全年预算数为 </w:t>
      </w:r>
      <w:r>
        <w:rPr>
          <w:rFonts w:hint="eastAsia" w:ascii="Times New Roman" w:eastAsia="仿宋_GB2312"/>
          <w:sz w:val="32"/>
          <w:szCs w:val="32"/>
          <w:lang w:val="en-US" w:eastAsia="zh-CN"/>
        </w:rPr>
        <w:t>189.5</w:t>
      </w:r>
      <w:r>
        <w:rPr>
          <w:rFonts w:hint="eastAsia" w:ascii="Times New Roman" w:eastAsia="仿宋_GB2312"/>
          <w:sz w:val="32"/>
          <w:szCs w:val="32"/>
        </w:rPr>
        <w:t>万元，执行数为</w:t>
      </w:r>
      <w:r>
        <w:rPr>
          <w:rFonts w:hint="eastAsia" w:ascii="Times New Roman" w:eastAsia="仿宋_GB2312"/>
          <w:sz w:val="32"/>
          <w:szCs w:val="32"/>
          <w:lang w:val="en-US" w:eastAsia="zh-CN"/>
        </w:rPr>
        <w:t>113.611935</w:t>
      </w:r>
      <w:r>
        <w:rPr>
          <w:rFonts w:hint="eastAsia" w:ascii="Times New Roman" w:eastAsia="仿宋_GB2312"/>
          <w:sz w:val="32"/>
          <w:szCs w:val="32"/>
        </w:rPr>
        <w:t>万元，完成预算的</w:t>
      </w:r>
      <w:r>
        <w:rPr>
          <w:rFonts w:hint="eastAsia" w:ascii="Times New Roman" w:eastAsia="仿宋_GB2312"/>
          <w:sz w:val="32"/>
          <w:szCs w:val="32"/>
          <w:lang w:val="en-US" w:eastAsia="zh-CN"/>
        </w:rPr>
        <w:t>59.95</w:t>
      </w:r>
      <w:r>
        <w:rPr>
          <w:rFonts w:hint="eastAsia" w:ascii="Times New Roman" w:eastAsia="仿宋_GB2312"/>
          <w:sz w:val="32"/>
          <w:szCs w:val="32"/>
        </w:rPr>
        <w:t>%。通过项目实施，完成了年初设定的各项绩效目标，保障了</w:t>
      </w:r>
      <w:r>
        <w:rPr>
          <w:rFonts w:hint="eastAsia" w:ascii="Times New Roman" w:eastAsia="仿宋_GB2312"/>
          <w:sz w:val="32"/>
          <w:szCs w:val="32"/>
          <w:lang w:eastAsia="zh-CN"/>
        </w:rPr>
        <w:t>法院</w:t>
      </w:r>
      <w:r>
        <w:rPr>
          <w:rFonts w:hint="eastAsia" w:ascii="Times New Roman" w:eastAsia="仿宋_GB2312"/>
          <w:sz w:val="32"/>
          <w:szCs w:val="32"/>
        </w:rPr>
        <w:t>工作顺利开展。未发现问题。</w:t>
      </w:r>
    </w:p>
    <w:p>
      <w:pPr>
        <w:widowControl/>
        <w:spacing w:line="360" w:lineRule="auto"/>
        <w:ind w:firstLine="640" w:firstLineChars="200"/>
        <w:jc w:val="left"/>
        <w:rPr>
          <w:rFonts w:hint="eastAsia" w:ascii="Times New Roman" w:eastAsia="仿宋_GB2312"/>
          <w:sz w:val="32"/>
          <w:szCs w:val="32"/>
        </w:rPr>
      </w:pPr>
      <w:bookmarkStart w:id="6" w:name="OLE_LINK7"/>
      <w:r>
        <w:rPr>
          <w:rFonts w:hint="eastAsia" w:ascii="Times New Roman" w:eastAsia="仿宋_GB2312"/>
          <w:sz w:val="32"/>
          <w:szCs w:val="32"/>
        </w:rPr>
        <w:t>物业管理费项目</w:t>
      </w:r>
      <w:bookmarkEnd w:id="6"/>
      <w:r>
        <w:rPr>
          <w:rFonts w:hint="eastAsia" w:ascii="Times New Roman" w:eastAsia="仿宋_GB2312"/>
          <w:sz w:val="32"/>
          <w:szCs w:val="32"/>
        </w:rPr>
        <w:t>绩效自评情况：根据年初设定的绩效目标，项目绩效自评得分为</w:t>
      </w:r>
      <w:r>
        <w:rPr>
          <w:rFonts w:hint="eastAsia" w:ascii="Times New Roman" w:eastAsia="仿宋_GB2312"/>
          <w:sz w:val="32"/>
          <w:szCs w:val="32"/>
          <w:lang w:val="en-US" w:eastAsia="zh-CN"/>
        </w:rPr>
        <w:t>90</w:t>
      </w:r>
      <w:r>
        <w:rPr>
          <w:rFonts w:hint="eastAsia" w:ascii="Times New Roman" w:eastAsia="仿宋_GB2312"/>
          <w:sz w:val="32"/>
          <w:szCs w:val="32"/>
        </w:rPr>
        <w:t xml:space="preserve"> 分（绩效自评表附后）。全年预算数为</w:t>
      </w:r>
      <w:r>
        <w:rPr>
          <w:rFonts w:hint="eastAsia" w:ascii="Times New Roman" w:eastAsia="仿宋_GB2312"/>
          <w:sz w:val="32"/>
          <w:szCs w:val="32"/>
          <w:lang w:val="en-US" w:eastAsia="zh-CN"/>
        </w:rPr>
        <w:t>36</w:t>
      </w:r>
      <w:r>
        <w:rPr>
          <w:rFonts w:hint="eastAsia" w:ascii="Times New Roman" w:eastAsia="仿宋_GB2312"/>
          <w:sz w:val="32"/>
          <w:szCs w:val="32"/>
        </w:rPr>
        <w:t xml:space="preserve">万元，执行数为 </w:t>
      </w:r>
      <w:r>
        <w:rPr>
          <w:rFonts w:hint="eastAsia" w:ascii="Times New Roman" w:eastAsia="仿宋_GB2312"/>
          <w:sz w:val="32"/>
          <w:szCs w:val="32"/>
          <w:lang w:val="en-US" w:eastAsia="zh-CN"/>
        </w:rPr>
        <w:t>32.2739</w:t>
      </w:r>
      <w:r>
        <w:rPr>
          <w:rFonts w:hint="eastAsia" w:ascii="Times New Roman" w:eastAsia="仿宋_GB2312"/>
          <w:sz w:val="32"/>
          <w:szCs w:val="32"/>
        </w:rPr>
        <w:t xml:space="preserve"> 万元，完成预算的 </w:t>
      </w:r>
      <w:r>
        <w:rPr>
          <w:rFonts w:hint="eastAsia" w:ascii="Times New Roman" w:eastAsia="仿宋_GB2312"/>
          <w:sz w:val="32"/>
          <w:szCs w:val="32"/>
          <w:lang w:val="en-US" w:eastAsia="zh-CN"/>
        </w:rPr>
        <w:t>89.65</w:t>
      </w:r>
      <w:r>
        <w:rPr>
          <w:rFonts w:hint="eastAsia" w:ascii="Times New Roman" w:eastAsia="仿宋_GB2312"/>
          <w:sz w:val="32"/>
          <w:szCs w:val="32"/>
        </w:rPr>
        <w:t>%。通过项目实施，完成了年初设定的各项绩效目标，保障了办公环境卫生，后勤安全保障。未发现问题。</w:t>
      </w:r>
    </w:p>
    <w:p>
      <w:pPr>
        <w:widowControl/>
        <w:spacing w:line="360" w:lineRule="auto"/>
        <w:ind w:firstLine="640" w:firstLineChars="200"/>
        <w:jc w:val="left"/>
        <w:rPr>
          <w:rFonts w:hint="eastAsia" w:ascii="Times New Roman" w:eastAsia="仿宋_GB2312"/>
          <w:sz w:val="32"/>
          <w:szCs w:val="32"/>
        </w:rPr>
      </w:pPr>
      <w:bookmarkStart w:id="7" w:name="OLE_LINK9"/>
      <w:r>
        <w:rPr>
          <w:rFonts w:hint="eastAsia" w:ascii="Times New Roman" w:eastAsia="仿宋_GB2312"/>
          <w:sz w:val="32"/>
          <w:szCs w:val="32"/>
        </w:rPr>
        <w:t>办公设备购置项目</w:t>
      </w:r>
      <w:bookmarkEnd w:id="7"/>
      <w:r>
        <w:rPr>
          <w:rFonts w:hint="eastAsia" w:ascii="Times New Roman" w:eastAsia="仿宋_GB2312"/>
          <w:sz w:val="32"/>
          <w:szCs w:val="32"/>
        </w:rPr>
        <w:t>绩效自评情况：根据年初设定的绩效目标，</w:t>
      </w:r>
    </w:p>
    <w:p>
      <w:pPr>
        <w:widowControl/>
        <w:spacing w:line="360" w:lineRule="auto"/>
        <w:jc w:val="left"/>
        <w:rPr>
          <w:rFonts w:hint="eastAsia" w:ascii="Times New Roman" w:eastAsia="仿宋_GB2312"/>
          <w:sz w:val="32"/>
          <w:szCs w:val="32"/>
        </w:rPr>
      </w:pPr>
      <w:r>
        <w:rPr>
          <w:rFonts w:hint="eastAsia" w:ascii="Times New Roman" w:eastAsia="仿宋_GB2312"/>
          <w:sz w:val="32"/>
          <w:szCs w:val="32"/>
        </w:rPr>
        <w:t xml:space="preserve">项目绩效自评得分为 </w:t>
      </w:r>
      <w:r>
        <w:rPr>
          <w:rFonts w:hint="eastAsia" w:ascii="Times New Roman" w:eastAsia="仿宋_GB2312"/>
          <w:sz w:val="32"/>
          <w:szCs w:val="32"/>
          <w:lang w:val="en-US" w:eastAsia="zh-CN"/>
        </w:rPr>
        <w:t>56</w:t>
      </w:r>
      <w:r>
        <w:rPr>
          <w:rFonts w:hint="eastAsia" w:ascii="Times New Roman" w:eastAsia="仿宋_GB2312"/>
          <w:sz w:val="32"/>
          <w:szCs w:val="32"/>
        </w:rPr>
        <w:t xml:space="preserve"> 分（绩效自评表附后）。全年预算数为 </w:t>
      </w:r>
      <w:r>
        <w:rPr>
          <w:rFonts w:hint="eastAsia" w:ascii="Times New Roman" w:eastAsia="仿宋_GB2312"/>
          <w:sz w:val="32"/>
          <w:szCs w:val="32"/>
          <w:lang w:val="en-US" w:eastAsia="zh-CN"/>
        </w:rPr>
        <w:t>7</w:t>
      </w:r>
      <w:r>
        <w:rPr>
          <w:rFonts w:hint="eastAsia" w:ascii="Times New Roman" w:eastAsia="仿宋_GB2312"/>
          <w:sz w:val="32"/>
          <w:szCs w:val="32"/>
        </w:rPr>
        <w:t xml:space="preserve">万元，执行数为 </w:t>
      </w:r>
      <w:r>
        <w:rPr>
          <w:rFonts w:hint="eastAsia" w:ascii="Times New Roman" w:eastAsia="仿宋_GB2312"/>
          <w:sz w:val="32"/>
          <w:szCs w:val="32"/>
          <w:lang w:val="en-US" w:eastAsia="zh-CN"/>
        </w:rPr>
        <w:t>4.161</w:t>
      </w:r>
      <w:r>
        <w:rPr>
          <w:rFonts w:hint="eastAsia" w:ascii="Times New Roman" w:eastAsia="仿宋_GB2312"/>
          <w:sz w:val="32"/>
          <w:szCs w:val="32"/>
        </w:rPr>
        <w:t xml:space="preserve"> 万元，完成预算的</w:t>
      </w:r>
      <w:r>
        <w:rPr>
          <w:rFonts w:hint="eastAsia" w:ascii="Times New Roman" w:eastAsia="仿宋_GB2312"/>
          <w:sz w:val="32"/>
          <w:szCs w:val="32"/>
          <w:lang w:val="en-US" w:eastAsia="zh-CN"/>
        </w:rPr>
        <w:t>59.44</w:t>
      </w:r>
      <w:r>
        <w:rPr>
          <w:rFonts w:hint="eastAsia" w:ascii="Times New Roman" w:eastAsia="仿宋_GB2312"/>
          <w:sz w:val="32"/>
          <w:szCs w:val="32"/>
        </w:rPr>
        <w:t>%。通过项目实施，完成了年初设定的各项绩效目标，保障了干警的办公环境，提高办案效率。未发现问题。</w:t>
      </w:r>
    </w:p>
    <w:p>
      <w:pPr>
        <w:widowControl/>
        <w:spacing w:line="360" w:lineRule="auto"/>
        <w:ind w:firstLine="640" w:firstLineChars="200"/>
        <w:jc w:val="left"/>
        <w:rPr>
          <w:rFonts w:hint="eastAsia" w:ascii="Times New Roman" w:eastAsia="仿宋_GB2312"/>
          <w:sz w:val="32"/>
          <w:szCs w:val="32"/>
        </w:rPr>
      </w:pPr>
      <w:bookmarkStart w:id="8" w:name="OLE_LINK11"/>
      <w:r>
        <w:rPr>
          <w:rFonts w:hint="eastAsia" w:ascii="Times New Roman" w:eastAsia="仿宋_GB2312"/>
          <w:sz w:val="32"/>
          <w:szCs w:val="32"/>
        </w:rPr>
        <w:t>党组织活动经费项目</w:t>
      </w:r>
      <w:bookmarkEnd w:id="8"/>
      <w:r>
        <w:rPr>
          <w:rFonts w:hint="eastAsia" w:ascii="Times New Roman" w:eastAsia="仿宋_GB2312"/>
          <w:sz w:val="32"/>
          <w:szCs w:val="32"/>
        </w:rPr>
        <w:t>绩效自评情况：根据年初设定的绩效目</w:t>
      </w:r>
    </w:p>
    <w:p>
      <w:pPr>
        <w:widowControl/>
        <w:spacing w:line="360" w:lineRule="auto"/>
        <w:jc w:val="left"/>
        <w:rPr>
          <w:rFonts w:hint="eastAsia" w:ascii="Times New Roman" w:eastAsia="仿宋_GB2312"/>
          <w:sz w:val="32"/>
          <w:szCs w:val="32"/>
        </w:rPr>
      </w:pPr>
      <w:r>
        <w:rPr>
          <w:rFonts w:hint="eastAsia" w:ascii="Times New Roman" w:eastAsia="仿宋_GB2312"/>
          <w:sz w:val="32"/>
          <w:szCs w:val="32"/>
        </w:rPr>
        <w:t xml:space="preserve">标，项目绩效自评得分为 </w:t>
      </w:r>
      <w:r>
        <w:rPr>
          <w:rFonts w:hint="eastAsia" w:ascii="Times New Roman" w:eastAsia="仿宋_GB2312"/>
          <w:sz w:val="32"/>
          <w:szCs w:val="32"/>
          <w:lang w:val="en-US" w:eastAsia="zh-CN"/>
        </w:rPr>
        <w:t>54</w:t>
      </w:r>
      <w:r>
        <w:rPr>
          <w:rFonts w:hint="eastAsia" w:ascii="Times New Roman" w:eastAsia="仿宋_GB2312"/>
          <w:sz w:val="32"/>
          <w:szCs w:val="32"/>
        </w:rPr>
        <w:t xml:space="preserve"> 分（绩效自评表附后）。全年预算数为</w:t>
      </w:r>
      <w:r>
        <w:rPr>
          <w:rFonts w:hint="eastAsia" w:ascii="Times New Roman" w:eastAsia="仿宋_GB2312"/>
          <w:sz w:val="32"/>
          <w:szCs w:val="32"/>
          <w:lang w:val="en-US" w:eastAsia="zh-CN"/>
        </w:rPr>
        <w:t>2</w:t>
      </w:r>
      <w:r>
        <w:rPr>
          <w:rFonts w:hint="eastAsia" w:ascii="Times New Roman" w:eastAsia="仿宋_GB2312"/>
          <w:sz w:val="32"/>
          <w:szCs w:val="32"/>
        </w:rPr>
        <w:t xml:space="preserve"> 万元，执行数为 </w:t>
      </w:r>
      <w:r>
        <w:rPr>
          <w:rFonts w:hint="eastAsia" w:ascii="Times New Roman" w:eastAsia="仿宋_GB2312"/>
          <w:sz w:val="32"/>
          <w:szCs w:val="32"/>
          <w:lang w:val="en-US" w:eastAsia="zh-CN"/>
        </w:rPr>
        <w:t>1.0988</w:t>
      </w:r>
      <w:r>
        <w:rPr>
          <w:rFonts w:hint="eastAsia" w:ascii="Times New Roman" w:eastAsia="仿宋_GB2312"/>
          <w:sz w:val="32"/>
          <w:szCs w:val="32"/>
        </w:rPr>
        <w:t xml:space="preserve"> 万元，完成预算的</w:t>
      </w:r>
      <w:r>
        <w:rPr>
          <w:rFonts w:hint="eastAsia" w:ascii="Times New Roman" w:eastAsia="仿宋_GB2312"/>
          <w:sz w:val="32"/>
          <w:szCs w:val="32"/>
          <w:lang w:val="en-US" w:eastAsia="zh-CN"/>
        </w:rPr>
        <w:t>54.94</w:t>
      </w:r>
      <w:r>
        <w:rPr>
          <w:rFonts w:hint="eastAsia" w:ascii="Times New Roman" w:eastAsia="仿宋_GB2312"/>
          <w:sz w:val="32"/>
          <w:szCs w:val="32"/>
        </w:rPr>
        <w:t>%。通过项目实施，完成了年初设定的各项绩效目标，提高党员政治能力及综合素质水平。未发现问题。</w:t>
      </w:r>
    </w:p>
    <w:p>
      <w:pPr>
        <w:widowControl/>
        <w:spacing w:line="360" w:lineRule="auto"/>
        <w:ind w:firstLine="640" w:firstLineChars="200"/>
        <w:jc w:val="left"/>
        <w:rPr>
          <w:rFonts w:hint="eastAsia" w:ascii="Times New Roman" w:eastAsia="仿宋_GB2312"/>
          <w:sz w:val="32"/>
          <w:szCs w:val="32"/>
        </w:rPr>
      </w:pPr>
      <w:bookmarkStart w:id="9" w:name="OLE_LINK17"/>
      <w:r>
        <w:rPr>
          <w:rFonts w:hint="eastAsia" w:ascii="Times New Roman" w:eastAsia="仿宋_GB2312"/>
          <w:sz w:val="32"/>
          <w:szCs w:val="32"/>
          <w:lang w:eastAsia="zh-CN"/>
        </w:rPr>
        <w:t>诉源治理调解</w:t>
      </w:r>
      <w:r>
        <w:rPr>
          <w:rFonts w:hint="eastAsia" w:ascii="Times New Roman" w:eastAsia="仿宋_GB2312"/>
          <w:sz w:val="32"/>
          <w:szCs w:val="32"/>
        </w:rPr>
        <w:t>经费项目绩效自评情况：根据年初设定的绩效</w:t>
      </w:r>
    </w:p>
    <w:p>
      <w:pPr>
        <w:widowControl/>
        <w:spacing w:line="360" w:lineRule="auto"/>
        <w:jc w:val="left"/>
        <w:rPr>
          <w:rFonts w:hint="eastAsia" w:ascii="Times New Roman" w:eastAsia="仿宋_GB2312"/>
          <w:sz w:val="32"/>
          <w:szCs w:val="32"/>
        </w:rPr>
      </w:pPr>
      <w:r>
        <w:rPr>
          <w:rFonts w:hint="eastAsia" w:ascii="Times New Roman" w:eastAsia="仿宋_GB2312"/>
          <w:sz w:val="32"/>
          <w:szCs w:val="32"/>
        </w:rPr>
        <w:t>目标，项目绩效自评得分为</w:t>
      </w:r>
      <w:r>
        <w:rPr>
          <w:rFonts w:hint="eastAsia" w:ascii="Times New Roman" w:eastAsia="仿宋_GB2312"/>
          <w:sz w:val="32"/>
          <w:szCs w:val="32"/>
          <w:lang w:val="en-US" w:eastAsia="zh-CN"/>
        </w:rPr>
        <w:t>35</w:t>
      </w:r>
      <w:r>
        <w:rPr>
          <w:rFonts w:hint="eastAsia" w:ascii="Times New Roman" w:eastAsia="仿宋_GB2312"/>
          <w:sz w:val="32"/>
          <w:szCs w:val="32"/>
        </w:rPr>
        <w:t xml:space="preserve"> 分（绩效自评表附后）。全年预算数为 </w:t>
      </w:r>
      <w:r>
        <w:rPr>
          <w:rFonts w:hint="eastAsia" w:ascii="Times New Roman" w:eastAsia="仿宋_GB2312"/>
          <w:sz w:val="32"/>
          <w:szCs w:val="32"/>
          <w:lang w:val="en-US" w:eastAsia="zh-CN"/>
        </w:rPr>
        <w:t>37.5</w:t>
      </w:r>
      <w:r>
        <w:rPr>
          <w:rFonts w:hint="eastAsia" w:ascii="Times New Roman" w:eastAsia="仿宋_GB2312"/>
          <w:sz w:val="32"/>
          <w:szCs w:val="32"/>
        </w:rPr>
        <w:t xml:space="preserve">万元，执行数为 </w:t>
      </w:r>
      <w:r>
        <w:rPr>
          <w:rFonts w:hint="eastAsia" w:ascii="Times New Roman" w:eastAsia="仿宋_GB2312"/>
          <w:sz w:val="32"/>
          <w:szCs w:val="32"/>
          <w:lang w:val="en-US" w:eastAsia="zh-CN"/>
        </w:rPr>
        <w:t>13.013</w:t>
      </w:r>
      <w:r>
        <w:rPr>
          <w:rFonts w:hint="eastAsia" w:ascii="Times New Roman" w:eastAsia="仿宋_GB2312"/>
          <w:sz w:val="32"/>
          <w:szCs w:val="32"/>
        </w:rPr>
        <w:t xml:space="preserve"> 万元，完成预算的 </w:t>
      </w:r>
      <w:r>
        <w:rPr>
          <w:rFonts w:hint="eastAsia" w:ascii="Times New Roman" w:eastAsia="仿宋_GB2312"/>
          <w:sz w:val="32"/>
          <w:szCs w:val="32"/>
          <w:lang w:val="en-US" w:eastAsia="zh-CN"/>
        </w:rPr>
        <w:t>34.70</w:t>
      </w:r>
      <w:r>
        <w:rPr>
          <w:rFonts w:hint="eastAsia" w:ascii="Times New Roman" w:eastAsia="仿宋_GB2312"/>
          <w:sz w:val="32"/>
          <w:szCs w:val="32"/>
        </w:rPr>
        <w:t>%。通过项目实施，完成了年初设定的各项绩效目标。未发现问题。</w:t>
      </w:r>
    </w:p>
    <w:bookmarkEnd w:id="9"/>
    <w:p>
      <w:pPr>
        <w:widowControl/>
        <w:spacing w:line="360" w:lineRule="auto"/>
        <w:ind w:firstLine="640" w:firstLineChars="200"/>
        <w:jc w:val="left"/>
        <w:rPr>
          <w:rFonts w:hint="eastAsia" w:ascii="Times New Roman" w:eastAsia="仿宋_GB2312"/>
          <w:sz w:val="32"/>
          <w:szCs w:val="32"/>
        </w:rPr>
      </w:pPr>
      <w:bookmarkStart w:id="10" w:name="OLE_LINK18"/>
      <w:r>
        <w:rPr>
          <w:rFonts w:hint="eastAsia" w:ascii="Times New Roman" w:eastAsia="仿宋_GB2312"/>
          <w:sz w:val="32"/>
          <w:szCs w:val="32"/>
          <w:lang w:eastAsia="zh-CN"/>
        </w:rPr>
        <w:t>文件资料印刷费</w:t>
      </w:r>
      <w:r>
        <w:rPr>
          <w:rFonts w:hint="eastAsia" w:ascii="Times New Roman" w:eastAsia="仿宋_GB2312"/>
          <w:sz w:val="32"/>
          <w:szCs w:val="32"/>
        </w:rPr>
        <w:t>项目绩效自评情况：根据年初设定的绩效</w:t>
      </w:r>
    </w:p>
    <w:p>
      <w:pPr>
        <w:widowControl/>
        <w:spacing w:line="360" w:lineRule="auto"/>
        <w:jc w:val="left"/>
        <w:rPr>
          <w:rFonts w:hint="eastAsia" w:ascii="Times New Roman" w:eastAsia="仿宋_GB2312"/>
          <w:sz w:val="32"/>
          <w:szCs w:val="32"/>
        </w:rPr>
      </w:pPr>
      <w:r>
        <w:rPr>
          <w:rFonts w:hint="eastAsia" w:ascii="Times New Roman" w:eastAsia="仿宋_GB2312"/>
          <w:sz w:val="32"/>
          <w:szCs w:val="32"/>
        </w:rPr>
        <w:t>目标，项目绩效自评得分为</w:t>
      </w:r>
      <w:r>
        <w:rPr>
          <w:rFonts w:hint="eastAsia" w:ascii="Times New Roman" w:eastAsia="仿宋_GB2312"/>
          <w:sz w:val="32"/>
          <w:szCs w:val="32"/>
          <w:lang w:val="en-US" w:eastAsia="zh-CN"/>
        </w:rPr>
        <w:t>48</w:t>
      </w:r>
      <w:r>
        <w:rPr>
          <w:rFonts w:hint="eastAsia" w:ascii="Times New Roman" w:eastAsia="仿宋_GB2312"/>
          <w:sz w:val="32"/>
          <w:szCs w:val="32"/>
        </w:rPr>
        <w:t xml:space="preserve">分（绩效自评表附后）。全年预算数为 </w:t>
      </w:r>
      <w:r>
        <w:rPr>
          <w:rFonts w:hint="eastAsia" w:ascii="Times New Roman" w:eastAsia="仿宋_GB2312"/>
          <w:sz w:val="32"/>
          <w:szCs w:val="32"/>
          <w:lang w:val="en-US" w:eastAsia="zh-CN"/>
        </w:rPr>
        <w:t>6</w:t>
      </w:r>
      <w:r>
        <w:rPr>
          <w:rFonts w:hint="eastAsia" w:ascii="Times New Roman" w:eastAsia="仿宋_GB2312"/>
          <w:sz w:val="32"/>
          <w:szCs w:val="32"/>
        </w:rPr>
        <w:t xml:space="preserve">万元，执行数为 </w:t>
      </w:r>
      <w:r>
        <w:rPr>
          <w:rFonts w:hint="eastAsia" w:ascii="Times New Roman" w:eastAsia="仿宋_GB2312"/>
          <w:sz w:val="32"/>
          <w:szCs w:val="32"/>
          <w:lang w:val="en-US" w:eastAsia="zh-CN"/>
        </w:rPr>
        <w:t>2.97</w:t>
      </w:r>
      <w:r>
        <w:rPr>
          <w:rFonts w:hint="eastAsia" w:ascii="Times New Roman" w:eastAsia="仿宋_GB2312"/>
          <w:sz w:val="32"/>
          <w:szCs w:val="32"/>
        </w:rPr>
        <w:t xml:space="preserve"> 万元，完成预算的 </w:t>
      </w:r>
      <w:r>
        <w:rPr>
          <w:rFonts w:hint="eastAsia" w:ascii="Times New Roman" w:eastAsia="仿宋_GB2312"/>
          <w:sz w:val="32"/>
          <w:szCs w:val="32"/>
          <w:lang w:val="en-US" w:eastAsia="zh-CN"/>
        </w:rPr>
        <w:t>49.5</w:t>
      </w:r>
      <w:r>
        <w:rPr>
          <w:rFonts w:hint="eastAsia" w:ascii="Times New Roman" w:eastAsia="仿宋_GB2312"/>
          <w:sz w:val="32"/>
          <w:szCs w:val="32"/>
        </w:rPr>
        <w:t>%。通过项目实施，完成了年初设定的各项绩效目标。未发现问题。</w:t>
      </w:r>
    </w:p>
    <w:bookmarkEnd w:id="10"/>
    <w:p>
      <w:pPr>
        <w:widowControl/>
        <w:spacing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lang w:eastAsia="zh-CN"/>
        </w:rPr>
        <w:t>业务委托咨询费</w:t>
      </w:r>
      <w:r>
        <w:rPr>
          <w:rFonts w:hint="eastAsia" w:ascii="Times New Roman" w:eastAsia="仿宋_GB2312"/>
          <w:sz w:val="32"/>
          <w:szCs w:val="32"/>
        </w:rPr>
        <w:t>项目绩效自评情况：根据年初设定的绩效</w:t>
      </w:r>
    </w:p>
    <w:p>
      <w:pPr>
        <w:widowControl/>
        <w:spacing w:line="360" w:lineRule="auto"/>
        <w:jc w:val="left"/>
        <w:rPr>
          <w:rFonts w:hint="eastAsia" w:ascii="Times New Roman" w:eastAsia="仿宋_GB2312"/>
          <w:sz w:val="32"/>
          <w:szCs w:val="32"/>
        </w:rPr>
      </w:pPr>
      <w:r>
        <w:rPr>
          <w:rFonts w:hint="eastAsia" w:ascii="Times New Roman" w:eastAsia="仿宋_GB2312"/>
          <w:sz w:val="32"/>
          <w:szCs w:val="32"/>
        </w:rPr>
        <w:t>目标，项目绩效自评得分为</w:t>
      </w:r>
      <w:r>
        <w:rPr>
          <w:rFonts w:hint="eastAsia" w:ascii="Times New Roman" w:eastAsia="仿宋_GB2312"/>
          <w:sz w:val="32"/>
          <w:szCs w:val="32"/>
          <w:lang w:val="en-US" w:eastAsia="zh-CN"/>
        </w:rPr>
        <w:t>46</w:t>
      </w:r>
      <w:r>
        <w:rPr>
          <w:rFonts w:hint="eastAsia" w:ascii="Times New Roman" w:eastAsia="仿宋_GB2312"/>
          <w:sz w:val="32"/>
          <w:szCs w:val="32"/>
        </w:rPr>
        <w:t xml:space="preserve">分（绩效自评表附后）。全年预算数为 </w:t>
      </w:r>
      <w:r>
        <w:rPr>
          <w:rFonts w:hint="eastAsia" w:ascii="Times New Roman" w:eastAsia="仿宋_GB2312"/>
          <w:sz w:val="32"/>
          <w:szCs w:val="32"/>
          <w:lang w:val="en-US" w:eastAsia="zh-CN"/>
        </w:rPr>
        <w:t>21</w:t>
      </w:r>
      <w:r>
        <w:rPr>
          <w:rFonts w:hint="eastAsia" w:ascii="Times New Roman" w:eastAsia="仿宋_GB2312"/>
          <w:sz w:val="32"/>
          <w:szCs w:val="32"/>
        </w:rPr>
        <w:t>万元，执行数为</w:t>
      </w:r>
      <w:r>
        <w:rPr>
          <w:rFonts w:hint="eastAsia" w:ascii="Times New Roman" w:eastAsia="仿宋_GB2312"/>
          <w:sz w:val="32"/>
          <w:szCs w:val="32"/>
          <w:lang w:val="en-US" w:eastAsia="zh-CN"/>
        </w:rPr>
        <w:t>9.406848</w:t>
      </w:r>
      <w:r>
        <w:rPr>
          <w:rFonts w:hint="eastAsia" w:ascii="Times New Roman" w:eastAsia="仿宋_GB2312"/>
          <w:sz w:val="32"/>
          <w:szCs w:val="32"/>
        </w:rPr>
        <w:t xml:space="preserve"> 万元，完成预算的 </w:t>
      </w:r>
      <w:r>
        <w:rPr>
          <w:rFonts w:hint="eastAsia" w:ascii="Times New Roman" w:eastAsia="仿宋_GB2312"/>
          <w:sz w:val="32"/>
          <w:szCs w:val="32"/>
          <w:lang w:val="en-US" w:eastAsia="zh-CN"/>
        </w:rPr>
        <w:t>44.79</w:t>
      </w:r>
      <w:r>
        <w:rPr>
          <w:rFonts w:hint="eastAsia" w:ascii="Times New Roman" w:eastAsia="仿宋_GB2312"/>
          <w:sz w:val="32"/>
          <w:szCs w:val="32"/>
        </w:rPr>
        <w:t>%。通过项目实施，完成了年初设定的各项绩效目标。未发现问题。</w:t>
      </w:r>
    </w:p>
    <w:p>
      <w:pPr>
        <w:widowControl/>
        <w:spacing w:line="360" w:lineRule="auto"/>
        <w:ind w:firstLine="640" w:firstLineChars="200"/>
        <w:jc w:val="left"/>
        <w:rPr>
          <w:rFonts w:hint="eastAsia" w:ascii="Times New Roman" w:eastAsia="仿宋_GB2312"/>
          <w:sz w:val="32"/>
          <w:szCs w:val="32"/>
          <w:lang w:eastAsia="zh-CN"/>
        </w:rPr>
      </w:pPr>
      <w:r>
        <w:rPr>
          <w:rFonts w:hint="eastAsia" w:ascii="Times New Roman" w:eastAsia="仿宋_GB2312"/>
          <w:sz w:val="32"/>
          <w:szCs w:val="32"/>
        </w:rPr>
        <w:t>附绩效自评表如下：</w:t>
      </w:r>
    </w:p>
    <w:p>
      <w:pPr>
        <w:widowControl/>
        <w:spacing w:line="360" w:lineRule="auto"/>
        <w:ind w:firstLine="640" w:firstLineChars="200"/>
        <w:jc w:val="left"/>
        <w:rPr>
          <w:rFonts w:hint="eastAsia" w:ascii="Times New Roman" w:eastAsia="仿宋_GB2312"/>
          <w:sz w:val="32"/>
          <w:szCs w:val="32"/>
          <w:lang w:eastAsia="zh-CN"/>
        </w:rPr>
      </w:pPr>
      <w:r>
        <w:rPr>
          <w:rFonts w:hint="eastAsia" w:ascii="Times New Roman" w:eastAsia="仿宋_GB2312"/>
          <w:sz w:val="32"/>
          <w:szCs w:val="32"/>
          <w:lang w:eastAsia="zh-CN"/>
        </w:rPr>
        <w:t>聘用制书记员经费项目</w:t>
      </w:r>
    </w:p>
    <w:tbl>
      <w:tblPr>
        <w:tblStyle w:val="11"/>
        <w:tblW w:w="994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2028"/>
        <w:gridCol w:w="964"/>
        <w:gridCol w:w="951"/>
        <w:gridCol w:w="886"/>
        <w:gridCol w:w="1126"/>
        <w:gridCol w:w="1232"/>
        <w:gridCol w:w="1402"/>
        <w:gridCol w:w="135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576" w:hRule="atLeast"/>
        </w:trPr>
        <w:tc>
          <w:tcPr>
            <w:tcW w:w="2028"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w:t>
            </w:r>
            <w:r>
              <w:rPr>
                <w:rStyle w:val="25"/>
                <w:rFonts w:eastAsia="宋体"/>
                <w:lang w:val="en-US" w:eastAsia="zh-CN" w:bidi="ar"/>
              </w:rPr>
              <w:t xml:space="preserve"> </w:t>
            </w:r>
            <w:r>
              <w:rPr>
                <w:rStyle w:val="26"/>
                <w:lang w:val="en-US" w:eastAsia="zh-CN" w:bidi="ar"/>
              </w:rPr>
              <w:t>基本情况</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183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聘用制书记员人员经费</w:t>
            </w:r>
          </w:p>
        </w:tc>
        <w:tc>
          <w:tcPr>
            <w:tcW w:w="11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398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赞皇县人民法院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26" w:hRule="atLeast"/>
        </w:trPr>
        <w:tc>
          <w:tcPr>
            <w:tcW w:w="202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二、预算执行情况</w:t>
            </w:r>
          </w:p>
        </w:tc>
        <w:tc>
          <w:tcPr>
            <w:tcW w:w="191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201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263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13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76" w:hRule="atLeast"/>
        </w:trPr>
        <w:tc>
          <w:tcPr>
            <w:tcW w:w="20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9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158.58</w:t>
            </w:r>
          </w:p>
        </w:tc>
        <w:tc>
          <w:tcPr>
            <w:tcW w:w="8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11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158.58</w:t>
            </w: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14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153.60926</w:t>
            </w:r>
          </w:p>
        </w:tc>
        <w:tc>
          <w:tcPr>
            <w:tcW w:w="135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96.87%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76" w:hRule="atLeast"/>
        </w:trPr>
        <w:tc>
          <w:tcPr>
            <w:tcW w:w="20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9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8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1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4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35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63" w:hRule="atLeast"/>
        </w:trPr>
        <w:tc>
          <w:tcPr>
            <w:tcW w:w="20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9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Calibri" w:hAnsi="Calibri" w:eastAsia="宋体" w:cs="Calibri"/>
                <w:i w:val="0"/>
                <w:color w:val="000000"/>
                <w:sz w:val="20"/>
                <w:szCs w:val="20"/>
                <w:u w:val="none"/>
              </w:rPr>
            </w:pPr>
          </w:p>
        </w:tc>
        <w:tc>
          <w:tcPr>
            <w:tcW w:w="8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1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4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35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99" w:hRule="atLeast"/>
        </w:trPr>
        <w:tc>
          <w:tcPr>
            <w:tcW w:w="202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三、目标完成情况</w:t>
            </w:r>
          </w:p>
        </w:tc>
        <w:tc>
          <w:tcPr>
            <w:tcW w:w="280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年度预期目标</w:t>
            </w:r>
          </w:p>
        </w:tc>
        <w:tc>
          <w:tcPr>
            <w:tcW w:w="376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13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20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801"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保障聘任制书记员工资及时发放到位，提高人员工作积极性。</w:t>
            </w:r>
          </w:p>
        </w:tc>
        <w:tc>
          <w:tcPr>
            <w:tcW w:w="376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聘任制书记员工资发放及时到位，人员工作积极性高，工作任务完成的质量标准较高</w:t>
            </w:r>
          </w:p>
        </w:tc>
        <w:tc>
          <w:tcPr>
            <w:tcW w:w="135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96.87%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20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80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76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5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20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80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76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5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76" w:hRule="atLeast"/>
        </w:trPr>
        <w:tc>
          <w:tcPr>
            <w:tcW w:w="2028"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w:t>
            </w:r>
            <w:r>
              <w:rPr>
                <w:rStyle w:val="25"/>
                <w:rFonts w:eastAsia="宋体"/>
                <w:lang w:val="en-US" w:eastAsia="zh-CN" w:bidi="ar"/>
              </w:rPr>
              <w:t xml:space="preserve"> </w:t>
            </w:r>
            <w:r>
              <w:rPr>
                <w:rStyle w:val="26"/>
                <w:lang w:val="en-US" w:eastAsia="zh-CN" w:bidi="ar"/>
              </w:rPr>
              <w:t>年度绩效指标完成情况</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9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201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14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13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730" w:hRule="atLeast"/>
        </w:trPr>
        <w:tc>
          <w:tcPr>
            <w:tcW w:w="2028"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64"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产出指标（40）</w:t>
            </w:r>
          </w:p>
        </w:tc>
        <w:tc>
          <w:tcPr>
            <w:tcW w:w="951"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201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人员数量</w:t>
            </w: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w:t>
            </w:r>
          </w:p>
        </w:tc>
        <w:tc>
          <w:tcPr>
            <w:tcW w:w="14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w:t>
            </w:r>
          </w:p>
        </w:tc>
        <w:tc>
          <w:tcPr>
            <w:tcW w:w="13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746" w:hRule="atLeast"/>
        </w:trPr>
        <w:tc>
          <w:tcPr>
            <w:tcW w:w="2028"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64"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5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201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工作完成质量</w:t>
            </w: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Arial" w:hAnsi="Arial" w:eastAsia="宋体" w:cs="Arial"/>
                <w:i w:val="0"/>
                <w:color w:val="000000"/>
                <w:sz w:val="20"/>
                <w:szCs w:val="20"/>
                <w:u w:val="none"/>
              </w:rPr>
            </w:pPr>
            <w:r>
              <w:rPr>
                <w:rFonts w:hint="default" w:ascii="Arial" w:hAnsi="Arial" w:eastAsia="宋体" w:cs="Arial"/>
                <w:i w:val="0"/>
                <w:color w:val="000000"/>
                <w:kern w:val="0"/>
                <w:sz w:val="20"/>
                <w:szCs w:val="20"/>
                <w:u w:val="none"/>
                <w:lang w:val="en-US" w:eastAsia="zh-CN" w:bidi="ar"/>
              </w:rPr>
              <w:t>≤100%</w:t>
            </w:r>
          </w:p>
        </w:tc>
        <w:tc>
          <w:tcPr>
            <w:tcW w:w="14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96.87%</w:t>
            </w:r>
          </w:p>
        </w:tc>
        <w:tc>
          <w:tcPr>
            <w:tcW w:w="135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746" w:hRule="atLeast"/>
        </w:trPr>
        <w:tc>
          <w:tcPr>
            <w:tcW w:w="2028"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64"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5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01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人员满勤率</w:t>
            </w: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Arial" w:hAnsi="Arial" w:eastAsia="宋体" w:cs="Arial"/>
                <w:i w:val="0"/>
                <w:color w:val="000000"/>
                <w:sz w:val="20"/>
                <w:szCs w:val="20"/>
                <w:u w:val="none"/>
              </w:rPr>
            </w:pPr>
            <w:r>
              <w:rPr>
                <w:rFonts w:hint="default" w:ascii="Arial" w:hAnsi="Arial" w:eastAsia="宋体" w:cs="Arial"/>
                <w:i w:val="0"/>
                <w:color w:val="000000"/>
                <w:kern w:val="0"/>
                <w:sz w:val="20"/>
                <w:szCs w:val="20"/>
                <w:u w:val="none"/>
                <w:lang w:val="en-US" w:eastAsia="zh-CN" w:bidi="ar"/>
              </w:rPr>
              <w:t>≥95%</w:t>
            </w:r>
          </w:p>
        </w:tc>
        <w:tc>
          <w:tcPr>
            <w:tcW w:w="14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97%</w:t>
            </w:r>
          </w:p>
        </w:tc>
        <w:tc>
          <w:tcPr>
            <w:tcW w:w="135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28" w:hRule="atLeast"/>
        </w:trPr>
        <w:tc>
          <w:tcPr>
            <w:tcW w:w="2028"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64"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201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经费保障时间</w:t>
            </w: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12</w:t>
            </w:r>
            <w:r>
              <w:rPr>
                <w:rStyle w:val="26"/>
                <w:lang w:val="en-US" w:eastAsia="zh-CN" w:bidi="ar"/>
              </w:rPr>
              <w:t>个月</w:t>
            </w:r>
          </w:p>
        </w:tc>
        <w:tc>
          <w:tcPr>
            <w:tcW w:w="14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12</w:t>
            </w:r>
            <w:r>
              <w:rPr>
                <w:rStyle w:val="26"/>
                <w:lang w:val="en-US" w:eastAsia="zh-CN" w:bidi="ar"/>
              </w:rPr>
              <w:t>个月</w:t>
            </w:r>
          </w:p>
        </w:tc>
        <w:tc>
          <w:tcPr>
            <w:tcW w:w="13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12" w:hRule="atLeast"/>
        </w:trPr>
        <w:tc>
          <w:tcPr>
            <w:tcW w:w="2028"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64"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5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201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预算控制数</w:t>
            </w: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≤158.58</w:t>
            </w:r>
            <w:r>
              <w:rPr>
                <w:rStyle w:val="26"/>
                <w:lang w:val="en-US" w:eastAsia="zh-CN" w:bidi="ar"/>
              </w:rPr>
              <w:t>万元</w:t>
            </w:r>
          </w:p>
        </w:tc>
        <w:tc>
          <w:tcPr>
            <w:tcW w:w="14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153.60926</w:t>
            </w:r>
            <w:r>
              <w:rPr>
                <w:rStyle w:val="26"/>
                <w:lang w:val="en-US" w:eastAsia="zh-CN" w:bidi="ar"/>
              </w:rPr>
              <w:t>万元</w:t>
            </w:r>
          </w:p>
        </w:tc>
        <w:tc>
          <w:tcPr>
            <w:tcW w:w="135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62" w:hRule="atLeast"/>
        </w:trPr>
        <w:tc>
          <w:tcPr>
            <w:tcW w:w="2028"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64"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5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01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聘用人员的人均成本</w:t>
            </w: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w:t>
            </w:r>
            <w:r>
              <w:rPr>
                <w:rStyle w:val="25"/>
                <w:rFonts w:eastAsia="宋体"/>
                <w:lang w:val="en-US" w:eastAsia="zh-CN" w:bidi="ar"/>
              </w:rPr>
              <w:t>6.5</w:t>
            </w:r>
            <w:r>
              <w:rPr>
                <w:rFonts w:hint="eastAsia" w:ascii="宋体" w:hAnsi="宋体" w:eastAsia="宋体" w:cs="宋体"/>
                <w:i w:val="0"/>
                <w:color w:val="000000"/>
                <w:kern w:val="0"/>
                <w:sz w:val="20"/>
                <w:szCs w:val="20"/>
                <w:u w:val="none"/>
                <w:lang w:val="en-US" w:eastAsia="zh-CN" w:bidi="ar"/>
              </w:rPr>
              <w:t>万元/年</w:t>
            </w:r>
          </w:p>
        </w:tc>
        <w:tc>
          <w:tcPr>
            <w:tcW w:w="14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7.28</w:t>
            </w:r>
            <w:r>
              <w:rPr>
                <w:rStyle w:val="26"/>
                <w:lang w:val="en-US" w:eastAsia="zh-CN" w:bidi="ar"/>
              </w:rPr>
              <w:t>万元/年</w:t>
            </w:r>
          </w:p>
        </w:tc>
        <w:tc>
          <w:tcPr>
            <w:tcW w:w="135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853" w:hRule="atLeast"/>
        </w:trPr>
        <w:tc>
          <w:tcPr>
            <w:tcW w:w="2028"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64" w:type="dxa"/>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9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w:t>
            </w:r>
          </w:p>
        </w:tc>
        <w:tc>
          <w:tcPr>
            <w:tcW w:w="201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执行数和预算数的比率</w:t>
            </w: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≥95%</w:t>
            </w:r>
          </w:p>
        </w:tc>
        <w:tc>
          <w:tcPr>
            <w:tcW w:w="14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97%</w:t>
            </w:r>
          </w:p>
        </w:tc>
        <w:tc>
          <w:tcPr>
            <w:tcW w:w="13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28" w:hRule="atLeast"/>
        </w:trPr>
        <w:tc>
          <w:tcPr>
            <w:tcW w:w="2028"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64" w:type="dxa"/>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效益指标（40分）</w:t>
            </w:r>
          </w:p>
        </w:tc>
        <w:tc>
          <w:tcPr>
            <w:tcW w:w="951"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可持续影响指标</w:t>
            </w:r>
          </w:p>
        </w:tc>
        <w:tc>
          <w:tcPr>
            <w:tcW w:w="201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保障审判工作正常运转</w:t>
            </w: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≥98%</w:t>
            </w:r>
          </w:p>
        </w:tc>
        <w:tc>
          <w:tcPr>
            <w:tcW w:w="14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100%</w:t>
            </w:r>
          </w:p>
        </w:tc>
        <w:tc>
          <w:tcPr>
            <w:tcW w:w="13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76" w:hRule="atLeast"/>
        </w:trPr>
        <w:tc>
          <w:tcPr>
            <w:tcW w:w="2028"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951"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p>
        </w:tc>
        <w:tc>
          <w:tcPr>
            <w:tcW w:w="201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聘用人员满意度</w:t>
            </w: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≥95%</w:t>
            </w:r>
          </w:p>
        </w:tc>
        <w:tc>
          <w:tcPr>
            <w:tcW w:w="14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100%</w:t>
            </w:r>
          </w:p>
        </w:tc>
        <w:tc>
          <w:tcPr>
            <w:tcW w:w="13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43" w:hRule="atLeast"/>
        </w:trPr>
        <w:tc>
          <w:tcPr>
            <w:tcW w:w="2028"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6561"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13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87" w:hRule="atLeast"/>
        </w:trPr>
        <w:tc>
          <w:tcPr>
            <w:tcW w:w="202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w:t>
            </w:r>
            <w:r>
              <w:rPr>
                <w:rStyle w:val="25"/>
                <w:rFonts w:eastAsia="宋体"/>
                <w:lang w:val="en-US" w:eastAsia="zh-CN" w:bidi="ar"/>
              </w:rPr>
              <w:t xml:space="preserve"> </w:t>
            </w:r>
            <w:r>
              <w:rPr>
                <w:rStyle w:val="26"/>
                <w:lang w:val="en-US" w:eastAsia="zh-CN" w:bidi="ar"/>
              </w:rPr>
              <w:t>存在问题、原因及下一步整改措施</w:t>
            </w:r>
          </w:p>
        </w:tc>
        <w:tc>
          <w:tcPr>
            <w:tcW w:w="7912"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w:t>
            </w:r>
          </w:p>
        </w:tc>
      </w:tr>
    </w:tbl>
    <w:p>
      <w:pPr>
        <w:widowControl/>
        <w:spacing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劳务派遣人员经费项目</w:t>
      </w:r>
    </w:p>
    <w:tbl>
      <w:tblPr>
        <w:tblStyle w:val="11"/>
        <w:tblW w:w="1024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047"/>
        <w:gridCol w:w="1588"/>
        <w:gridCol w:w="874"/>
        <w:gridCol w:w="1185"/>
        <w:gridCol w:w="1243"/>
        <w:gridCol w:w="2036"/>
        <w:gridCol w:w="1025"/>
        <w:gridCol w:w="124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550" w:hRule="atLeast"/>
        </w:trPr>
        <w:tc>
          <w:tcPr>
            <w:tcW w:w="1047"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bookmarkStart w:id="11" w:name="OLE_LINK3"/>
            <w:r>
              <w:rPr>
                <w:rFonts w:hint="eastAsia" w:ascii="宋体" w:hAnsi="宋体" w:eastAsia="宋体" w:cs="宋体"/>
                <w:i w:val="0"/>
                <w:color w:val="000000"/>
                <w:kern w:val="0"/>
                <w:sz w:val="20"/>
                <w:szCs w:val="20"/>
                <w:u w:val="none"/>
                <w:lang w:val="en-US" w:eastAsia="zh-CN" w:bidi="ar"/>
              </w:rPr>
              <w:t>一、</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基本情况</w:t>
            </w:r>
          </w:p>
        </w:tc>
        <w:tc>
          <w:tcPr>
            <w:tcW w:w="15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205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劳务派遣人员经费</w:t>
            </w:r>
          </w:p>
        </w:tc>
        <w:tc>
          <w:tcPr>
            <w:tcW w:w="12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430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赞皇县人民法院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75" w:hRule="atLeast"/>
        </w:trPr>
        <w:tc>
          <w:tcPr>
            <w:tcW w:w="104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二、预算执行情况</w:t>
            </w:r>
          </w:p>
        </w:tc>
        <w:tc>
          <w:tcPr>
            <w:tcW w:w="246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242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306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12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19" w:hRule="atLeast"/>
        </w:trPr>
        <w:tc>
          <w:tcPr>
            <w:tcW w:w="10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5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8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233</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12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233</w:t>
            </w:r>
          </w:p>
        </w:tc>
        <w:tc>
          <w:tcPr>
            <w:tcW w:w="203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233</w:t>
            </w:r>
          </w:p>
        </w:tc>
        <w:tc>
          <w:tcPr>
            <w:tcW w:w="124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43" w:hRule="atLeast"/>
        </w:trPr>
        <w:tc>
          <w:tcPr>
            <w:tcW w:w="10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5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8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2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203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4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05" w:hRule="atLeast"/>
        </w:trPr>
        <w:tc>
          <w:tcPr>
            <w:tcW w:w="10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5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8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Calibri" w:hAnsi="Calibri" w:eastAsia="宋体" w:cs="Calibri"/>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2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203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24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61" w:hRule="atLeast"/>
        </w:trPr>
        <w:tc>
          <w:tcPr>
            <w:tcW w:w="104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三、目标完成情况</w:t>
            </w:r>
          </w:p>
        </w:tc>
        <w:tc>
          <w:tcPr>
            <w:tcW w:w="364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年度预期目标</w:t>
            </w:r>
          </w:p>
        </w:tc>
        <w:tc>
          <w:tcPr>
            <w:tcW w:w="4304"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12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647"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配备专业的工作人员，保障单位日常办公的良好运行</w:t>
            </w:r>
          </w:p>
        </w:tc>
        <w:tc>
          <w:tcPr>
            <w:tcW w:w="4304"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工作人员业务水平高、能力素质强、完成任务好，有力保障了法院工作的高标准运行</w:t>
            </w:r>
          </w:p>
        </w:tc>
        <w:tc>
          <w:tcPr>
            <w:tcW w:w="124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64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430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4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62" w:hRule="atLeast"/>
        </w:trPr>
        <w:tc>
          <w:tcPr>
            <w:tcW w:w="10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64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430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4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19" w:hRule="atLeast"/>
        </w:trPr>
        <w:tc>
          <w:tcPr>
            <w:tcW w:w="1047"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年度绩效指标完成情况</w:t>
            </w:r>
          </w:p>
        </w:tc>
        <w:tc>
          <w:tcPr>
            <w:tcW w:w="15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8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242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203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12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44" w:hRule="atLeast"/>
        </w:trPr>
        <w:tc>
          <w:tcPr>
            <w:tcW w:w="1047"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58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产出指标（40）</w:t>
            </w:r>
          </w:p>
        </w:tc>
        <w:tc>
          <w:tcPr>
            <w:tcW w:w="87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2428"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人员数量</w:t>
            </w:r>
          </w:p>
        </w:tc>
        <w:tc>
          <w:tcPr>
            <w:tcW w:w="203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≤72</w:t>
            </w:r>
          </w:p>
        </w:tc>
        <w:tc>
          <w:tcPr>
            <w:tcW w:w="102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62</w:t>
            </w:r>
          </w:p>
        </w:tc>
        <w:tc>
          <w:tcPr>
            <w:tcW w:w="124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47"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5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42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03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0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24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47"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5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42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03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0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24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47"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5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7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2428"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经费等发放精准性</w:t>
            </w:r>
          </w:p>
        </w:tc>
        <w:tc>
          <w:tcPr>
            <w:tcW w:w="203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每月发放</w:t>
            </w:r>
          </w:p>
        </w:tc>
        <w:tc>
          <w:tcPr>
            <w:tcW w:w="102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12次</w:t>
            </w:r>
          </w:p>
        </w:tc>
        <w:tc>
          <w:tcPr>
            <w:tcW w:w="124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47"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5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42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03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4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47"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5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42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03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4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47"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5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7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2428"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加强干警归属感</w:t>
            </w:r>
          </w:p>
        </w:tc>
        <w:tc>
          <w:tcPr>
            <w:tcW w:w="203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按时按标准发放经费</w:t>
            </w:r>
          </w:p>
        </w:tc>
        <w:tc>
          <w:tcPr>
            <w:tcW w:w="102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24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47"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5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42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03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4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47"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5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42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03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4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19" w:hRule="atLeast"/>
        </w:trPr>
        <w:tc>
          <w:tcPr>
            <w:tcW w:w="1047"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5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7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2428"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预算控制数</w:t>
            </w:r>
          </w:p>
        </w:tc>
        <w:tc>
          <w:tcPr>
            <w:tcW w:w="203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≤233万元</w:t>
            </w:r>
          </w:p>
        </w:tc>
        <w:tc>
          <w:tcPr>
            <w:tcW w:w="102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233万元</w:t>
            </w:r>
          </w:p>
        </w:tc>
        <w:tc>
          <w:tcPr>
            <w:tcW w:w="124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47"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5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42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03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4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814" w:hRule="atLeast"/>
        </w:trPr>
        <w:tc>
          <w:tcPr>
            <w:tcW w:w="1047"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58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8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w:t>
            </w:r>
          </w:p>
        </w:tc>
        <w:tc>
          <w:tcPr>
            <w:tcW w:w="2428"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执行数和预算数的比率</w:t>
            </w:r>
          </w:p>
        </w:tc>
        <w:tc>
          <w:tcPr>
            <w:tcW w:w="20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02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24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50" w:hRule="atLeast"/>
        </w:trPr>
        <w:tc>
          <w:tcPr>
            <w:tcW w:w="1047"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588" w:type="dxa"/>
            <w:vMerge w:val="restart"/>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效益指标（40）</w:t>
            </w:r>
          </w:p>
        </w:tc>
        <w:tc>
          <w:tcPr>
            <w:tcW w:w="874"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社会效益指标</w:t>
            </w:r>
          </w:p>
        </w:tc>
        <w:tc>
          <w:tcPr>
            <w:tcW w:w="2428"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保障审判工作正常运转</w:t>
            </w:r>
          </w:p>
        </w:tc>
        <w:tc>
          <w:tcPr>
            <w:tcW w:w="203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保障审判工作正常运行</w:t>
            </w:r>
          </w:p>
        </w:tc>
        <w:tc>
          <w:tcPr>
            <w:tcW w:w="102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24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47"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588"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7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42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03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4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47"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58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874"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p>
        </w:tc>
        <w:tc>
          <w:tcPr>
            <w:tcW w:w="2428" w:type="dxa"/>
            <w:gridSpan w:val="2"/>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单位干警满意度</w:t>
            </w:r>
          </w:p>
        </w:tc>
        <w:tc>
          <w:tcPr>
            <w:tcW w:w="2036"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025" w:type="dxa"/>
            <w:vMerge w:val="restart"/>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242" w:type="dxa"/>
            <w:vMerge w:val="restart"/>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47"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5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7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428" w:type="dxa"/>
            <w:gridSpan w:val="2"/>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036"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25" w:type="dxa"/>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42" w:type="dxa"/>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3" w:hRule="atLeast"/>
        </w:trPr>
        <w:tc>
          <w:tcPr>
            <w:tcW w:w="1047"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5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7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428" w:type="dxa"/>
            <w:gridSpan w:val="2"/>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036"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25" w:type="dxa"/>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42" w:type="dxa"/>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88" w:hRule="atLeast"/>
        </w:trPr>
        <w:tc>
          <w:tcPr>
            <w:tcW w:w="1047"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7951"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12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961" w:hRule="atLeast"/>
        </w:trPr>
        <w:tc>
          <w:tcPr>
            <w:tcW w:w="1047"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存在问题、原因及下一步整改措施</w:t>
            </w:r>
          </w:p>
        </w:tc>
        <w:tc>
          <w:tcPr>
            <w:tcW w:w="9193"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w:t>
            </w:r>
          </w:p>
        </w:tc>
      </w:tr>
      <w:bookmarkEnd w:id="11"/>
    </w:tbl>
    <w:p>
      <w:pPr>
        <w:widowControl/>
        <w:spacing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单位运转保障项目</w:t>
      </w:r>
    </w:p>
    <w:tbl>
      <w:tblPr>
        <w:tblStyle w:val="11"/>
        <w:tblW w:w="1002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050"/>
        <w:gridCol w:w="1328"/>
        <w:gridCol w:w="877"/>
        <w:gridCol w:w="1500"/>
        <w:gridCol w:w="1"/>
        <w:gridCol w:w="1246"/>
        <w:gridCol w:w="1"/>
        <w:gridCol w:w="1742"/>
        <w:gridCol w:w="1"/>
        <w:gridCol w:w="1027"/>
        <w:gridCol w:w="124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560" w:hRule="atLeast"/>
        </w:trPr>
        <w:tc>
          <w:tcPr>
            <w:tcW w:w="1050"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bookmarkStart w:id="12" w:name="OLE_LINK6"/>
            <w:r>
              <w:rPr>
                <w:rFonts w:hint="eastAsia" w:ascii="宋体" w:hAnsi="宋体" w:eastAsia="宋体" w:cs="宋体"/>
                <w:i w:val="0"/>
                <w:color w:val="000000"/>
                <w:kern w:val="0"/>
                <w:sz w:val="20"/>
                <w:szCs w:val="20"/>
                <w:u w:val="none"/>
                <w:lang w:val="en-US" w:eastAsia="zh-CN" w:bidi="ar"/>
              </w:rPr>
              <w:t>一、</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基本情况</w:t>
            </w:r>
          </w:p>
        </w:tc>
        <w:tc>
          <w:tcPr>
            <w:tcW w:w="13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237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单位运转保障经费</w:t>
            </w:r>
          </w:p>
        </w:tc>
        <w:tc>
          <w:tcPr>
            <w:tcW w:w="124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4017"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赞皇县人民法院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83" w:hRule="atLeast"/>
        </w:trPr>
        <w:tc>
          <w:tcPr>
            <w:tcW w:w="105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二、预算执行情况</w:t>
            </w:r>
          </w:p>
        </w:tc>
        <w:tc>
          <w:tcPr>
            <w:tcW w:w="22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2748"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277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124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26" w:hRule="atLeast"/>
        </w:trPr>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8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189.5</w:t>
            </w:r>
          </w:p>
        </w:tc>
        <w:tc>
          <w:tcPr>
            <w:tcW w:w="15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124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189.5</w:t>
            </w:r>
          </w:p>
        </w:tc>
        <w:tc>
          <w:tcPr>
            <w:tcW w:w="174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10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113.611935</w:t>
            </w:r>
          </w:p>
        </w:tc>
        <w:tc>
          <w:tcPr>
            <w:tcW w:w="124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59.95%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54" w:hRule="atLeast"/>
        </w:trPr>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8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24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74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0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12" w:hRule="atLeast"/>
        </w:trPr>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8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Calibri" w:hAnsi="Calibri" w:eastAsia="宋体" w:cs="Calibri"/>
                <w:i w:val="0"/>
                <w:color w:val="000000"/>
                <w:sz w:val="20"/>
                <w:szCs w:val="20"/>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24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74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0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2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69" w:hRule="atLeast"/>
        </w:trPr>
        <w:tc>
          <w:tcPr>
            <w:tcW w:w="105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三、目标完成情况</w:t>
            </w:r>
          </w:p>
        </w:tc>
        <w:tc>
          <w:tcPr>
            <w:tcW w:w="370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年度预期目标</w:t>
            </w:r>
          </w:p>
        </w:tc>
        <w:tc>
          <w:tcPr>
            <w:tcW w:w="4018"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124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70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规范、保障、促进审判执行工作，完善审判质效评估体系，促进审判质效、健全司法权力运行机制，提升司法公信力。</w:t>
            </w:r>
          </w:p>
        </w:tc>
        <w:tc>
          <w:tcPr>
            <w:tcW w:w="4018" w:type="dxa"/>
            <w:gridSpan w:val="6"/>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保障了案件审判和管理工作，促进了审判质效的提升，维护了司法公信力。</w:t>
            </w:r>
          </w:p>
        </w:tc>
        <w:tc>
          <w:tcPr>
            <w:tcW w:w="124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59.95%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22" w:hRule="atLeast"/>
        </w:trPr>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70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4018"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22" w:hRule="atLeast"/>
        </w:trPr>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70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4018"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26" w:hRule="atLeast"/>
        </w:trPr>
        <w:tc>
          <w:tcPr>
            <w:tcW w:w="1050"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年度绩效指标完成情况</w:t>
            </w:r>
          </w:p>
        </w:tc>
        <w:tc>
          <w:tcPr>
            <w:tcW w:w="13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8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274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174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102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124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55" w:hRule="atLeast"/>
        </w:trPr>
        <w:tc>
          <w:tcPr>
            <w:tcW w:w="105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28"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产出指标（40）</w:t>
            </w:r>
          </w:p>
        </w:tc>
        <w:tc>
          <w:tcPr>
            <w:tcW w:w="87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2747"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办理各类案件数量</w:t>
            </w:r>
          </w:p>
        </w:tc>
        <w:tc>
          <w:tcPr>
            <w:tcW w:w="1743"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≥3000件</w:t>
            </w:r>
          </w:p>
        </w:tc>
        <w:tc>
          <w:tcPr>
            <w:tcW w:w="1028"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3733件</w:t>
            </w:r>
          </w:p>
        </w:tc>
        <w:tc>
          <w:tcPr>
            <w:tcW w:w="124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5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28"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7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74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74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2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5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28"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7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74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74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2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75" w:hRule="atLeast"/>
        </w:trPr>
        <w:tc>
          <w:tcPr>
            <w:tcW w:w="105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28"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77"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274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审限内结案率</w:t>
            </w:r>
          </w:p>
        </w:tc>
        <w:tc>
          <w:tcPr>
            <w:tcW w:w="174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90%</w:t>
            </w:r>
          </w:p>
        </w:tc>
        <w:tc>
          <w:tcPr>
            <w:tcW w:w="102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59.95%</w:t>
            </w:r>
          </w:p>
        </w:tc>
        <w:tc>
          <w:tcPr>
            <w:tcW w:w="12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713" w:hRule="atLeast"/>
        </w:trPr>
        <w:tc>
          <w:tcPr>
            <w:tcW w:w="105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28"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274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预算控制数</w:t>
            </w:r>
          </w:p>
        </w:tc>
        <w:tc>
          <w:tcPr>
            <w:tcW w:w="174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≦189.5万元</w:t>
            </w:r>
          </w:p>
        </w:tc>
        <w:tc>
          <w:tcPr>
            <w:tcW w:w="102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113.611935</w:t>
            </w:r>
          </w:p>
        </w:tc>
        <w:tc>
          <w:tcPr>
            <w:tcW w:w="12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5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28"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77"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2747"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上诉案件移送时间</w:t>
            </w:r>
          </w:p>
        </w:tc>
        <w:tc>
          <w:tcPr>
            <w:tcW w:w="1743" w:type="dxa"/>
            <w:gridSpan w:val="2"/>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70%</w:t>
            </w:r>
          </w:p>
        </w:tc>
        <w:tc>
          <w:tcPr>
            <w:tcW w:w="1028" w:type="dxa"/>
            <w:gridSpan w:val="2"/>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59.95%</w:t>
            </w:r>
          </w:p>
        </w:tc>
        <w:tc>
          <w:tcPr>
            <w:tcW w:w="1247"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5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28"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77"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74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743"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28"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4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5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28"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77"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74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743"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28"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4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828" w:hRule="atLeast"/>
        </w:trPr>
        <w:tc>
          <w:tcPr>
            <w:tcW w:w="105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8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w:t>
            </w:r>
          </w:p>
        </w:tc>
        <w:tc>
          <w:tcPr>
            <w:tcW w:w="274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执行数和预算数的比率</w:t>
            </w:r>
          </w:p>
        </w:tc>
        <w:tc>
          <w:tcPr>
            <w:tcW w:w="174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02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59.95%</w:t>
            </w:r>
          </w:p>
        </w:tc>
        <w:tc>
          <w:tcPr>
            <w:tcW w:w="124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5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28" w:type="dxa"/>
            <w:vMerge w:val="restart"/>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效益指标（40）</w:t>
            </w:r>
          </w:p>
        </w:tc>
        <w:tc>
          <w:tcPr>
            <w:tcW w:w="877"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社会效益指标</w:t>
            </w:r>
          </w:p>
        </w:tc>
        <w:tc>
          <w:tcPr>
            <w:tcW w:w="2747"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化解社会矛盾、服务群众、对社会的促进作用</w:t>
            </w:r>
          </w:p>
        </w:tc>
        <w:tc>
          <w:tcPr>
            <w:tcW w:w="1743"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028"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24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5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28"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7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74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74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2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5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28"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7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74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74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2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5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2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877" w:type="dxa"/>
            <w:vMerge w:val="restart"/>
            <w:tcBorders>
              <w:top w:val="single" w:color="000000" w:sz="4" w:space="0"/>
              <w:left w:val="nil"/>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p>
        </w:tc>
        <w:tc>
          <w:tcPr>
            <w:tcW w:w="2747" w:type="dxa"/>
            <w:gridSpan w:val="3"/>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服务对象对司法行政各项业务工作的满意率</w:t>
            </w:r>
          </w:p>
        </w:tc>
        <w:tc>
          <w:tcPr>
            <w:tcW w:w="1743" w:type="dxa"/>
            <w:gridSpan w:val="2"/>
            <w:vMerge w:val="restart"/>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c>
          <w:tcPr>
            <w:tcW w:w="1028" w:type="dxa"/>
            <w:gridSpan w:val="2"/>
            <w:vMerge w:val="restart"/>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c>
          <w:tcPr>
            <w:tcW w:w="1247" w:type="dxa"/>
            <w:vMerge w:val="restart"/>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5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77" w:type="dxa"/>
            <w:vMerge w:val="continue"/>
            <w:tcBorders>
              <w:top w:val="single" w:color="000000" w:sz="4" w:space="0"/>
              <w:left w:val="nil"/>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747" w:type="dxa"/>
            <w:gridSpan w:val="3"/>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743" w:type="dxa"/>
            <w:gridSpan w:val="2"/>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28" w:type="dxa"/>
            <w:gridSpan w:val="2"/>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47" w:type="dxa"/>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5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77" w:type="dxa"/>
            <w:vMerge w:val="continue"/>
            <w:tcBorders>
              <w:top w:val="single" w:color="000000" w:sz="4" w:space="0"/>
              <w:left w:val="nil"/>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747" w:type="dxa"/>
            <w:gridSpan w:val="3"/>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743" w:type="dxa"/>
            <w:gridSpan w:val="2"/>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28" w:type="dxa"/>
            <w:gridSpan w:val="2"/>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47" w:type="dxa"/>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26" w:hRule="atLeast"/>
        </w:trPr>
        <w:tc>
          <w:tcPr>
            <w:tcW w:w="105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7723" w:type="dxa"/>
            <w:gridSpan w:val="9"/>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124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978" w:hRule="atLeast"/>
        </w:trPr>
        <w:tc>
          <w:tcPr>
            <w:tcW w:w="105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存在问题、原因及下一步整改措施</w:t>
            </w:r>
          </w:p>
        </w:tc>
        <w:tc>
          <w:tcPr>
            <w:tcW w:w="8970" w:type="dxa"/>
            <w:gridSpan w:val="10"/>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w:t>
            </w:r>
          </w:p>
        </w:tc>
      </w:tr>
      <w:bookmarkEnd w:id="12"/>
    </w:tbl>
    <w:p>
      <w:pPr>
        <w:widowControl/>
        <w:spacing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物业管理费项目</w:t>
      </w:r>
    </w:p>
    <w:tbl>
      <w:tblPr>
        <w:tblStyle w:val="11"/>
        <w:tblW w:w="988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036"/>
        <w:gridCol w:w="1309"/>
        <w:gridCol w:w="865"/>
        <w:gridCol w:w="1480"/>
        <w:gridCol w:w="1229"/>
        <w:gridCol w:w="1718"/>
        <w:gridCol w:w="1"/>
        <w:gridCol w:w="1013"/>
        <w:gridCol w:w="122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564" w:hRule="atLeast"/>
        </w:trPr>
        <w:tc>
          <w:tcPr>
            <w:tcW w:w="1036"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bookmarkStart w:id="13" w:name="OLE_LINK8"/>
            <w:r>
              <w:rPr>
                <w:rFonts w:hint="eastAsia" w:ascii="宋体" w:hAnsi="宋体" w:eastAsia="宋体" w:cs="宋体"/>
                <w:i w:val="0"/>
                <w:color w:val="000000"/>
                <w:kern w:val="0"/>
                <w:sz w:val="20"/>
                <w:szCs w:val="20"/>
                <w:u w:val="none"/>
                <w:lang w:val="en-US" w:eastAsia="zh-CN" w:bidi="ar"/>
              </w:rPr>
              <w:t>一、</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基本情况</w:t>
            </w:r>
          </w:p>
        </w:tc>
        <w:tc>
          <w:tcPr>
            <w:tcW w:w="13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234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物业管理费</w:t>
            </w:r>
          </w:p>
        </w:tc>
        <w:tc>
          <w:tcPr>
            <w:tcW w:w="12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3961"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赞皇县人民法院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87" w:hRule="atLeast"/>
        </w:trPr>
        <w:tc>
          <w:tcPr>
            <w:tcW w:w="103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二、预算执行情况</w:t>
            </w:r>
          </w:p>
        </w:tc>
        <w:tc>
          <w:tcPr>
            <w:tcW w:w="217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270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2732"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12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29" w:hRule="atLeast"/>
        </w:trPr>
        <w:tc>
          <w:tcPr>
            <w:tcW w:w="103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8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36</w:t>
            </w:r>
          </w:p>
        </w:tc>
        <w:tc>
          <w:tcPr>
            <w:tcW w:w="1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12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36</w:t>
            </w:r>
          </w:p>
        </w:tc>
        <w:tc>
          <w:tcPr>
            <w:tcW w:w="17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101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32.2739</w:t>
            </w:r>
          </w:p>
        </w:tc>
        <w:tc>
          <w:tcPr>
            <w:tcW w:w="122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89.65%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58" w:hRule="atLeast"/>
        </w:trPr>
        <w:tc>
          <w:tcPr>
            <w:tcW w:w="103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8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2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7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01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15" w:hRule="atLeast"/>
        </w:trPr>
        <w:tc>
          <w:tcPr>
            <w:tcW w:w="103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8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Calibri" w:hAnsi="Calibri" w:eastAsia="宋体" w:cs="Calibri"/>
                <w:i w:val="0"/>
                <w:color w:val="000000"/>
                <w:sz w:val="20"/>
                <w:szCs w:val="20"/>
                <w:u w:val="none"/>
              </w:rPr>
            </w:pPr>
          </w:p>
        </w:tc>
        <w:tc>
          <w:tcPr>
            <w:tcW w:w="1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2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7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01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73" w:hRule="atLeast"/>
        </w:trPr>
        <w:tc>
          <w:tcPr>
            <w:tcW w:w="103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三、目标完成情况</w:t>
            </w:r>
          </w:p>
        </w:tc>
        <w:tc>
          <w:tcPr>
            <w:tcW w:w="3654"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年度预期目标</w:t>
            </w:r>
          </w:p>
        </w:tc>
        <w:tc>
          <w:tcPr>
            <w:tcW w:w="3961"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12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3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654"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规范、保障、促进审判执行工作，完善审判质效评估体系，促进审判质效、健全司法权力运行机制，提升司法公信力。</w:t>
            </w:r>
          </w:p>
        </w:tc>
        <w:tc>
          <w:tcPr>
            <w:tcW w:w="3961" w:type="dxa"/>
            <w:gridSpan w:val="4"/>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保障了案件审判和管理工作，促进了审判质效的提升，维护了司法公信力。</w:t>
            </w:r>
          </w:p>
        </w:tc>
        <w:tc>
          <w:tcPr>
            <w:tcW w:w="122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89.65%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26" w:hRule="atLeast"/>
        </w:trPr>
        <w:tc>
          <w:tcPr>
            <w:tcW w:w="103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65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961" w:type="dxa"/>
            <w:gridSpan w:val="4"/>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26" w:hRule="atLeast"/>
        </w:trPr>
        <w:tc>
          <w:tcPr>
            <w:tcW w:w="103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65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961" w:type="dxa"/>
            <w:gridSpan w:val="4"/>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29" w:hRule="atLeast"/>
        </w:trPr>
        <w:tc>
          <w:tcPr>
            <w:tcW w:w="1036"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年度绩效指标完成情况</w:t>
            </w:r>
          </w:p>
        </w:tc>
        <w:tc>
          <w:tcPr>
            <w:tcW w:w="13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8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270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171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10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12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60" w:hRule="atLeast"/>
        </w:trPr>
        <w:tc>
          <w:tcPr>
            <w:tcW w:w="1036"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9"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产出指标（40）</w:t>
            </w:r>
          </w:p>
        </w:tc>
        <w:tc>
          <w:tcPr>
            <w:tcW w:w="86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2709"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办理各类案件数量</w:t>
            </w:r>
          </w:p>
        </w:tc>
        <w:tc>
          <w:tcPr>
            <w:tcW w:w="1719"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≥3000件</w:t>
            </w:r>
          </w:p>
        </w:tc>
        <w:tc>
          <w:tcPr>
            <w:tcW w:w="101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3733件</w:t>
            </w:r>
          </w:p>
        </w:tc>
        <w:tc>
          <w:tcPr>
            <w:tcW w:w="122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4" w:hRule="atLeast"/>
        </w:trPr>
        <w:tc>
          <w:tcPr>
            <w:tcW w:w="1036"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9"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6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70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71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1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36"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9"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6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70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71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1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80" w:hRule="atLeast"/>
        </w:trPr>
        <w:tc>
          <w:tcPr>
            <w:tcW w:w="1036"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9"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6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2709"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审限内结案率</w:t>
            </w:r>
          </w:p>
        </w:tc>
        <w:tc>
          <w:tcPr>
            <w:tcW w:w="17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90%</w:t>
            </w:r>
          </w:p>
        </w:tc>
        <w:tc>
          <w:tcPr>
            <w:tcW w:w="10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89.65%</w:t>
            </w:r>
          </w:p>
        </w:tc>
        <w:tc>
          <w:tcPr>
            <w:tcW w:w="12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718" w:hRule="atLeast"/>
        </w:trPr>
        <w:tc>
          <w:tcPr>
            <w:tcW w:w="1036"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9"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2709"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预算控制数</w:t>
            </w:r>
          </w:p>
        </w:tc>
        <w:tc>
          <w:tcPr>
            <w:tcW w:w="17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≦36万元</w:t>
            </w:r>
          </w:p>
        </w:tc>
        <w:tc>
          <w:tcPr>
            <w:tcW w:w="10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32.2739</w:t>
            </w:r>
          </w:p>
        </w:tc>
        <w:tc>
          <w:tcPr>
            <w:tcW w:w="12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36"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9"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65"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2709"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上诉案件移送时间</w:t>
            </w:r>
          </w:p>
        </w:tc>
        <w:tc>
          <w:tcPr>
            <w:tcW w:w="1719" w:type="dxa"/>
            <w:gridSpan w:val="2"/>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70%</w:t>
            </w:r>
          </w:p>
        </w:tc>
        <w:tc>
          <w:tcPr>
            <w:tcW w:w="1013"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89.65%</w:t>
            </w:r>
          </w:p>
        </w:tc>
        <w:tc>
          <w:tcPr>
            <w:tcW w:w="122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36"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9"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6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70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719"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1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2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36"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9"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6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70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719"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1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2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834" w:hRule="atLeast"/>
        </w:trPr>
        <w:tc>
          <w:tcPr>
            <w:tcW w:w="1036"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8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w:t>
            </w:r>
          </w:p>
        </w:tc>
        <w:tc>
          <w:tcPr>
            <w:tcW w:w="270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执行数和预算数的比率</w:t>
            </w:r>
          </w:p>
        </w:tc>
        <w:tc>
          <w:tcPr>
            <w:tcW w:w="171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0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89.65%</w:t>
            </w:r>
          </w:p>
        </w:tc>
        <w:tc>
          <w:tcPr>
            <w:tcW w:w="12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36"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9" w:type="dxa"/>
            <w:vMerge w:val="restart"/>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效益指标（40）</w:t>
            </w:r>
          </w:p>
        </w:tc>
        <w:tc>
          <w:tcPr>
            <w:tcW w:w="86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社会效益指标</w:t>
            </w:r>
          </w:p>
        </w:tc>
        <w:tc>
          <w:tcPr>
            <w:tcW w:w="2709"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化解社会矛盾、服务群众、对社会的促进作用</w:t>
            </w:r>
          </w:p>
        </w:tc>
        <w:tc>
          <w:tcPr>
            <w:tcW w:w="1719"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01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22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30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36"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9"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6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70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71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1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36"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9"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6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70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71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1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36"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865" w:type="dxa"/>
            <w:vMerge w:val="restart"/>
            <w:tcBorders>
              <w:top w:val="single" w:color="000000" w:sz="4" w:space="0"/>
              <w:left w:val="nil"/>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p>
        </w:tc>
        <w:tc>
          <w:tcPr>
            <w:tcW w:w="2709" w:type="dxa"/>
            <w:gridSpan w:val="2"/>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服务对象对司法行政各项业务工作的满意率</w:t>
            </w:r>
          </w:p>
        </w:tc>
        <w:tc>
          <w:tcPr>
            <w:tcW w:w="1719" w:type="dxa"/>
            <w:gridSpan w:val="2"/>
            <w:vMerge w:val="restart"/>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c>
          <w:tcPr>
            <w:tcW w:w="1013" w:type="dxa"/>
            <w:vMerge w:val="restart"/>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c>
          <w:tcPr>
            <w:tcW w:w="1229" w:type="dxa"/>
            <w:vMerge w:val="restart"/>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36"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65" w:type="dxa"/>
            <w:vMerge w:val="continue"/>
            <w:tcBorders>
              <w:top w:val="single" w:color="000000" w:sz="4" w:space="0"/>
              <w:left w:val="nil"/>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709" w:type="dxa"/>
            <w:gridSpan w:val="2"/>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719" w:type="dxa"/>
            <w:gridSpan w:val="2"/>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13" w:type="dxa"/>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29" w:type="dxa"/>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36"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65" w:type="dxa"/>
            <w:vMerge w:val="continue"/>
            <w:tcBorders>
              <w:top w:val="single" w:color="000000" w:sz="4" w:space="0"/>
              <w:left w:val="nil"/>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709" w:type="dxa"/>
            <w:gridSpan w:val="2"/>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719" w:type="dxa"/>
            <w:gridSpan w:val="2"/>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13" w:type="dxa"/>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29" w:type="dxa"/>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29" w:hRule="atLeast"/>
        </w:trPr>
        <w:tc>
          <w:tcPr>
            <w:tcW w:w="1036"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7615"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12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985" w:hRule="atLeast"/>
        </w:trPr>
        <w:tc>
          <w:tcPr>
            <w:tcW w:w="10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存在问题、原因及下一步整改措施</w:t>
            </w:r>
          </w:p>
        </w:tc>
        <w:tc>
          <w:tcPr>
            <w:tcW w:w="8844" w:type="dxa"/>
            <w:gridSpan w:val="8"/>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w:t>
            </w:r>
          </w:p>
        </w:tc>
      </w:tr>
      <w:bookmarkEnd w:id="13"/>
    </w:tbl>
    <w:p>
      <w:pPr>
        <w:widowControl/>
        <w:spacing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办公设备购置项目</w:t>
      </w:r>
    </w:p>
    <w:tbl>
      <w:tblPr>
        <w:tblStyle w:val="11"/>
        <w:tblW w:w="950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995"/>
        <w:gridCol w:w="1258"/>
        <w:gridCol w:w="831"/>
        <w:gridCol w:w="1423"/>
        <w:gridCol w:w="1183"/>
        <w:gridCol w:w="1653"/>
        <w:gridCol w:w="974"/>
        <w:gridCol w:w="118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572" w:hRule="atLeast"/>
        </w:trPr>
        <w:tc>
          <w:tcPr>
            <w:tcW w:w="995"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bookmarkStart w:id="14" w:name="OLE_LINK10"/>
            <w:r>
              <w:rPr>
                <w:rFonts w:hint="eastAsia" w:ascii="宋体" w:hAnsi="宋体" w:eastAsia="宋体" w:cs="宋体"/>
                <w:i w:val="0"/>
                <w:color w:val="000000"/>
                <w:kern w:val="0"/>
                <w:sz w:val="20"/>
                <w:szCs w:val="20"/>
                <w:u w:val="none"/>
                <w:lang w:val="en-US" w:eastAsia="zh-CN" w:bidi="ar"/>
              </w:rPr>
              <w:t>一、</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基本情况</w:t>
            </w:r>
          </w:p>
        </w:tc>
        <w:tc>
          <w:tcPr>
            <w:tcW w:w="12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225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办公设备购置</w:t>
            </w:r>
          </w:p>
        </w:tc>
        <w:tc>
          <w:tcPr>
            <w:tcW w:w="11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381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赞皇县人民法院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93" w:hRule="atLeast"/>
        </w:trPr>
        <w:tc>
          <w:tcPr>
            <w:tcW w:w="99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二、预算执行情况</w:t>
            </w:r>
          </w:p>
        </w:tc>
        <w:tc>
          <w:tcPr>
            <w:tcW w:w="208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260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262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11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35"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83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7</w:t>
            </w:r>
          </w:p>
        </w:tc>
        <w:tc>
          <w:tcPr>
            <w:tcW w:w="142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11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7</w:t>
            </w:r>
          </w:p>
        </w:tc>
        <w:tc>
          <w:tcPr>
            <w:tcW w:w="165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9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4.161</w:t>
            </w:r>
          </w:p>
        </w:tc>
        <w:tc>
          <w:tcPr>
            <w:tcW w:w="118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59.44%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67"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83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42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1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65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9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1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20"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83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Calibri" w:hAnsi="Calibri" w:eastAsia="宋体" w:cs="Calibri"/>
                <w:i w:val="0"/>
                <w:color w:val="000000"/>
                <w:sz w:val="20"/>
                <w:szCs w:val="20"/>
                <w:u w:val="none"/>
              </w:rPr>
            </w:pPr>
          </w:p>
        </w:tc>
        <w:tc>
          <w:tcPr>
            <w:tcW w:w="142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1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65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9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1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79" w:hRule="atLeast"/>
        </w:trPr>
        <w:tc>
          <w:tcPr>
            <w:tcW w:w="99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三、目标完成情况</w:t>
            </w:r>
          </w:p>
        </w:tc>
        <w:tc>
          <w:tcPr>
            <w:tcW w:w="3512"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年度预期目标</w:t>
            </w:r>
          </w:p>
        </w:tc>
        <w:tc>
          <w:tcPr>
            <w:tcW w:w="381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11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512"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规范、保障、促进审判执行工作，完善审判质效评估体系，促进审判质效、健全司法权力运行机制，提升司法公信力。</w:t>
            </w:r>
          </w:p>
        </w:tc>
        <w:tc>
          <w:tcPr>
            <w:tcW w:w="381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保障了案件审判和管理工作，促进了审判质效的提升，维护了司法公信力。</w:t>
            </w:r>
          </w:p>
        </w:tc>
        <w:tc>
          <w:tcPr>
            <w:tcW w:w="118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59.44%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33"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51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81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33"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51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81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35" w:hRule="atLeast"/>
        </w:trPr>
        <w:tc>
          <w:tcPr>
            <w:tcW w:w="995"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年度绩效指标完成情况</w:t>
            </w:r>
          </w:p>
        </w:tc>
        <w:tc>
          <w:tcPr>
            <w:tcW w:w="12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83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260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165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9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11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69" w:hRule="atLeast"/>
        </w:trPr>
        <w:tc>
          <w:tcPr>
            <w:tcW w:w="99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58"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产出指标（40）</w:t>
            </w:r>
          </w:p>
        </w:tc>
        <w:tc>
          <w:tcPr>
            <w:tcW w:w="83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2606"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采购办公用品</w:t>
            </w:r>
          </w:p>
        </w:tc>
        <w:tc>
          <w:tcPr>
            <w:tcW w:w="165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≥500件</w:t>
            </w:r>
          </w:p>
        </w:tc>
        <w:tc>
          <w:tcPr>
            <w:tcW w:w="97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59.44%</w:t>
            </w:r>
          </w:p>
        </w:tc>
        <w:tc>
          <w:tcPr>
            <w:tcW w:w="118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8" w:hRule="atLeast"/>
        </w:trPr>
        <w:tc>
          <w:tcPr>
            <w:tcW w:w="99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58"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60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5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99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58"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60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5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89" w:hRule="atLeast"/>
        </w:trPr>
        <w:tc>
          <w:tcPr>
            <w:tcW w:w="99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58"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2606"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采购验收合格率</w:t>
            </w:r>
          </w:p>
        </w:tc>
        <w:tc>
          <w:tcPr>
            <w:tcW w:w="16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90%</w:t>
            </w:r>
          </w:p>
        </w:tc>
        <w:tc>
          <w:tcPr>
            <w:tcW w:w="9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59.44%</w:t>
            </w:r>
          </w:p>
        </w:tc>
        <w:tc>
          <w:tcPr>
            <w:tcW w:w="11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728" w:hRule="atLeast"/>
        </w:trPr>
        <w:tc>
          <w:tcPr>
            <w:tcW w:w="99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58"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2606"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预算控制数</w:t>
            </w:r>
          </w:p>
        </w:tc>
        <w:tc>
          <w:tcPr>
            <w:tcW w:w="16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≦7万元</w:t>
            </w:r>
          </w:p>
        </w:tc>
        <w:tc>
          <w:tcPr>
            <w:tcW w:w="9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4.161</w:t>
            </w:r>
          </w:p>
        </w:tc>
        <w:tc>
          <w:tcPr>
            <w:tcW w:w="11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99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58"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1"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2606"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采购工作完工及时率</w:t>
            </w:r>
          </w:p>
        </w:tc>
        <w:tc>
          <w:tcPr>
            <w:tcW w:w="1653"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70%</w:t>
            </w:r>
          </w:p>
        </w:tc>
        <w:tc>
          <w:tcPr>
            <w:tcW w:w="974"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59.44%</w:t>
            </w:r>
          </w:p>
        </w:tc>
        <w:tc>
          <w:tcPr>
            <w:tcW w:w="1183"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99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58"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1"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60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5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7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8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99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58"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1"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60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5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7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8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845" w:hRule="atLeast"/>
        </w:trPr>
        <w:tc>
          <w:tcPr>
            <w:tcW w:w="99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8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w:t>
            </w:r>
          </w:p>
        </w:tc>
        <w:tc>
          <w:tcPr>
            <w:tcW w:w="260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执行数和预算数的比率</w:t>
            </w:r>
          </w:p>
        </w:tc>
        <w:tc>
          <w:tcPr>
            <w:tcW w:w="165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9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59.44%</w:t>
            </w:r>
          </w:p>
        </w:tc>
        <w:tc>
          <w:tcPr>
            <w:tcW w:w="11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99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58" w:type="dxa"/>
            <w:vMerge w:val="restart"/>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效益指标（40）</w:t>
            </w:r>
          </w:p>
        </w:tc>
        <w:tc>
          <w:tcPr>
            <w:tcW w:w="83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社会效益指标</w:t>
            </w:r>
          </w:p>
        </w:tc>
        <w:tc>
          <w:tcPr>
            <w:tcW w:w="2606"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化解社会矛盾、服务群众、对社会的促进作用</w:t>
            </w:r>
          </w:p>
        </w:tc>
        <w:tc>
          <w:tcPr>
            <w:tcW w:w="165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97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18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99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58"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60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5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99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58"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60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5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99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831" w:type="dxa"/>
            <w:vMerge w:val="restart"/>
            <w:tcBorders>
              <w:top w:val="single" w:color="000000" w:sz="4" w:space="0"/>
              <w:left w:val="nil"/>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p>
        </w:tc>
        <w:tc>
          <w:tcPr>
            <w:tcW w:w="2606" w:type="dxa"/>
            <w:gridSpan w:val="2"/>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服务对象对司法行政各项业务工作的满意率</w:t>
            </w:r>
          </w:p>
        </w:tc>
        <w:tc>
          <w:tcPr>
            <w:tcW w:w="1653" w:type="dxa"/>
            <w:vMerge w:val="restart"/>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c>
          <w:tcPr>
            <w:tcW w:w="974" w:type="dxa"/>
            <w:vMerge w:val="restart"/>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c>
          <w:tcPr>
            <w:tcW w:w="1183" w:type="dxa"/>
            <w:vMerge w:val="restart"/>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99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1" w:type="dxa"/>
            <w:vMerge w:val="continue"/>
            <w:tcBorders>
              <w:top w:val="single" w:color="000000" w:sz="4" w:space="0"/>
              <w:left w:val="nil"/>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606" w:type="dxa"/>
            <w:gridSpan w:val="2"/>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53" w:type="dxa"/>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74" w:type="dxa"/>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83" w:type="dxa"/>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99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1" w:type="dxa"/>
            <w:vMerge w:val="continue"/>
            <w:tcBorders>
              <w:top w:val="single" w:color="000000" w:sz="4" w:space="0"/>
              <w:left w:val="nil"/>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606" w:type="dxa"/>
            <w:gridSpan w:val="2"/>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53" w:type="dxa"/>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74" w:type="dxa"/>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83" w:type="dxa"/>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35" w:hRule="atLeast"/>
        </w:trPr>
        <w:tc>
          <w:tcPr>
            <w:tcW w:w="99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7322"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11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56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998" w:hRule="atLeast"/>
        </w:trPr>
        <w:tc>
          <w:tcPr>
            <w:tcW w:w="99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存在问题、原因及下一步整改措施</w:t>
            </w:r>
          </w:p>
        </w:tc>
        <w:tc>
          <w:tcPr>
            <w:tcW w:w="8505"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w:t>
            </w:r>
          </w:p>
        </w:tc>
      </w:tr>
      <w:bookmarkEnd w:id="14"/>
    </w:tbl>
    <w:p>
      <w:pPr>
        <w:widowControl/>
        <w:spacing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党组织活动经费项目</w:t>
      </w:r>
    </w:p>
    <w:tbl>
      <w:tblPr>
        <w:tblStyle w:val="11"/>
        <w:tblW w:w="966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012"/>
        <w:gridCol w:w="1279"/>
        <w:gridCol w:w="846"/>
        <w:gridCol w:w="1447"/>
        <w:gridCol w:w="1202"/>
        <w:gridCol w:w="1681"/>
        <w:gridCol w:w="991"/>
        <w:gridCol w:w="120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583" w:hRule="atLeast"/>
        </w:trPr>
        <w:tc>
          <w:tcPr>
            <w:tcW w:w="1012"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bookmarkStart w:id="15" w:name="OLE_LINK12"/>
            <w:r>
              <w:rPr>
                <w:rFonts w:hint="eastAsia" w:ascii="宋体" w:hAnsi="宋体" w:eastAsia="宋体" w:cs="宋体"/>
                <w:i w:val="0"/>
                <w:color w:val="000000"/>
                <w:kern w:val="0"/>
                <w:sz w:val="20"/>
                <w:szCs w:val="20"/>
                <w:u w:val="none"/>
                <w:lang w:val="en-US" w:eastAsia="zh-CN" w:bidi="ar"/>
              </w:rPr>
              <w:t>一、</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基本情况</w:t>
            </w:r>
          </w:p>
        </w:tc>
        <w:tc>
          <w:tcPr>
            <w:tcW w:w="12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229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党组织活动经费</w:t>
            </w:r>
          </w:p>
        </w:tc>
        <w:tc>
          <w:tcPr>
            <w:tcW w:w="12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3874"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赞皇县人民法院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03" w:hRule="atLeast"/>
        </w:trPr>
        <w:tc>
          <w:tcPr>
            <w:tcW w:w="101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二、预算执行情况</w:t>
            </w:r>
          </w:p>
        </w:tc>
        <w:tc>
          <w:tcPr>
            <w:tcW w:w="21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264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267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12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44" w:hRule="atLeast"/>
        </w:trPr>
        <w:tc>
          <w:tcPr>
            <w:tcW w:w="10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8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w:t>
            </w:r>
          </w:p>
        </w:tc>
        <w:tc>
          <w:tcPr>
            <w:tcW w:w="144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12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w:t>
            </w:r>
          </w:p>
        </w:tc>
        <w:tc>
          <w:tcPr>
            <w:tcW w:w="168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9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1.0988</w:t>
            </w:r>
          </w:p>
        </w:tc>
        <w:tc>
          <w:tcPr>
            <w:tcW w:w="120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54.94%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80" w:hRule="atLeast"/>
        </w:trPr>
        <w:tc>
          <w:tcPr>
            <w:tcW w:w="10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8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44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2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68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9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29" w:hRule="atLeast"/>
        </w:trPr>
        <w:tc>
          <w:tcPr>
            <w:tcW w:w="10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8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Calibri" w:hAnsi="Calibri" w:eastAsia="宋体" w:cs="Calibri"/>
                <w:i w:val="0"/>
                <w:color w:val="000000"/>
                <w:sz w:val="20"/>
                <w:szCs w:val="20"/>
                <w:u w:val="none"/>
              </w:rPr>
            </w:pPr>
          </w:p>
        </w:tc>
        <w:tc>
          <w:tcPr>
            <w:tcW w:w="144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2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68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9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2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88" w:hRule="atLeast"/>
        </w:trPr>
        <w:tc>
          <w:tcPr>
            <w:tcW w:w="101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三、目标完成情况</w:t>
            </w:r>
          </w:p>
        </w:tc>
        <w:tc>
          <w:tcPr>
            <w:tcW w:w="3572"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年度预期目标</w:t>
            </w:r>
          </w:p>
        </w:tc>
        <w:tc>
          <w:tcPr>
            <w:tcW w:w="3874"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12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572"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规范、保障、促进审判执行工作，完善审判质效评估体系，促进审判质效、健全司法权力运行机制，提升司法公信力。</w:t>
            </w:r>
          </w:p>
        </w:tc>
        <w:tc>
          <w:tcPr>
            <w:tcW w:w="3874"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保障了案件审判和管理工作，促进了审判质效的提升，维护了司法公信力。</w:t>
            </w:r>
          </w:p>
        </w:tc>
        <w:tc>
          <w:tcPr>
            <w:tcW w:w="120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54.94%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43" w:hRule="atLeast"/>
        </w:trPr>
        <w:tc>
          <w:tcPr>
            <w:tcW w:w="10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57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87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43" w:hRule="atLeast"/>
        </w:trPr>
        <w:tc>
          <w:tcPr>
            <w:tcW w:w="10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57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87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44" w:hRule="atLeast"/>
        </w:trPr>
        <w:tc>
          <w:tcPr>
            <w:tcW w:w="1012"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年度绩效指标完成情况</w:t>
            </w:r>
          </w:p>
        </w:tc>
        <w:tc>
          <w:tcPr>
            <w:tcW w:w="12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8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264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168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9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12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82" w:hRule="atLeast"/>
        </w:trPr>
        <w:tc>
          <w:tcPr>
            <w:tcW w:w="101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79"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产出指标（40）</w:t>
            </w:r>
          </w:p>
        </w:tc>
        <w:tc>
          <w:tcPr>
            <w:tcW w:w="84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2649"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开展党建活动</w:t>
            </w:r>
          </w:p>
        </w:tc>
        <w:tc>
          <w:tcPr>
            <w:tcW w:w="168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≥5次</w:t>
            </w:r>
          </w:p>
        </w:tc>
        <w:tc>
          <w:tcPr>
            <w:tcW w:w="99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54.94%</w:t>
            </w:r>
          </w:p>
        </w:tc>
        <w:tc>
          <w:tcPr>
            <w:tcW w:w="120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4" w:hRule="atLeast"/>
        </w:trPr>
        <w:tc>
          <w:tcPr>
            <w:tcW w:w="101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79"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4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64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8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1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79"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4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64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8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702" w:hRule="atLeast"/>
        </w:trPr>
        <w:tc>
          <w:tcPr>
            <w:tcW w:w="101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79"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4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2649"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开展党建工作活动完成率</w:t>
            </w:r>
          </w:p>
        </w:tc>
        <w:tc>
          <w:tcPr>
            <w:tcW w:w="16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90%</w:t>
            </w:r>
          </w:p>
        </w:tc>
        <w:tc>
          <w:tcPr>
            <w:tcW w:w="9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54.94%</w:t>
            </w:r>
          </w:p>
        </w:tc>
        <w:tc>
          <w:tcPr>
            <w:tcW w:w="12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742" w:hRule="atLeast"/>
        </w:trPr>
        <w:tc>
          <w:tcPr>
            <w:tcW w:w="101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79"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2649"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预算控制数</w:t>
            </w:r>
          </w:p>
        </w:tc>
        <w:tc>
          <w:tcPr>
            <w:tcW w:w="16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≦2万元</w:t>
            </w:r>
          </w:p>
        </w:tc>
        <w:tc>
          <w:tcPr>
            <w:tcW w:w="9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1.0988</w:t>
            </w:r>
          </w:p>
        </w:tc>
        <w:tc>
          <w:tcPr>
            <w:tcW w:w="12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1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79"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46"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2649"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开展党组织活动及时性</w:t>
            </w:r>
          </w:p>
        </w:tc>
        <w:tc>
          <w:tcPr>
            <w:tcW w:w="168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70%</w:t>
            </w:r>
          </w:p>
        </w:tc>
        <w:tc>
          <w:tcPr>
            <w:tcW w:w="99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54.94%</w:t>
            </w:r>
          </w:p>
        </w:tc>
        <w:tc>
          <w:tcPr>
            <w:tcW w:w="1202"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1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79"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46"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64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8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9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1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79"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46"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64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8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9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862" w:hRule="atLeast"/>
        </w:trPr>
        <w:tc>
          <w:tcPr>
            <w:tcW w:w="101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w:t>
            </w:r>
          </w:p>
        </w:tc>
        <w:tc>
          <w:tcPr>
            <w:tcW w:w="264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执行数和预算数的比率</w:t>
            </w:r>
          </w:p>
        </w:tc>
        <w:tc>
          <w:tcPr>
            <w:tcW w:w="168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9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54.94%</w:t>
            </w:r>
          </w:p>
        </w:tc>
        <w:tc>
          <w:tcPr>
            <w:tcW w:w="12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1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79" w:type="dxa"/>
            <w:vMerge w:val="restart"/>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效益指标（40）</w:t>
            </w:r>
          </w:p>
        </w:tc>
        <w:tc>
          <w:tcPr>
            <w:tcW w:w="84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社会效益指标</w:t>
            </w:r>
          </w:p>
        </w:tc>
        <w:tc>
          <w:tcPr>
            <w:tcW w:w="2649"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化解社会矛盾、服务群众、对社会的促进作用</w:t>
            </w:r>
          </w:p>
        </w:tc>
        <w:tc>
          <w:tcPr>
            <w:tcW w:w="168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99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20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1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79"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4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64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8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1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79"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4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64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8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1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7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846" w:type="dxa"/>
            <w:vMerge w:val="restart"/>
            <w:tcBorders>
              <w:top w:val="single" w:color="000000" w:sz="4" w:space="0"/>
              <w:left w:val="nil"/>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p>
        </w:tc>
        <w:tc>
          <w:tcPr>
            <w:tcW w:w="2649" w:type="dxa"/>
            <w:gridSpan w:val="2"/>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服务对象对司法行政各项业务工作的满意率</w:t>
            </w:r>
          </w:p>
        </w:tc>
        <w:tc>
          <w:tcPr>
            <w:tcW w:w="1681" w:type="dxa"/>
            <w:vMerge w:val="restart"/>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c>
          <w:tcPr>
            <w:tcW w:w="991" w:type="dxa"/>
            <w:vMerge w:val="restart"/>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c>
          <w:tcPr>
            <w:tcW w:w="1202" w:type="dxa"/>
            <w:vMerge w:val="restart"/>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1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7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46" w:type="dxa"/>
            <w:vMerge w:val="continue"/>
            <w:tcBorders>
              <w:top w:val="single" w:color="000000" w:sz="4" w:space="0"/>
              <w:left w:val="nil"/>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649" w:type="dxa"/>
            <w:gridSpan w:val="2"/>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81" w:type="dxa"/>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91" w:type="dxa"/>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1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7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46" w:type="dxa"/>
            <w:vMerge w:val="continue"/>
            <w:tcBorders>
              <w:top w:val="single" w:color="000000" w:sz="4" w:space="0"/>
              <w:left w:val="nil"/>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649" w:type="dxa"/>
            <w:gridSpan w:val="2"/>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81" w:type="dxa"/>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91" w:type="dxa"/>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44" w:hRule="atLeast"/>
        </w:trPr>
        <w:tc>
          <w:tcPr>
            <w:tcW w:w="101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7446"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12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54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018" w:hRule="atLeast"/>
        </w:trPr>
        <w:tc>
          <w:tcPr>
            <w:tcW w:w="101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存在问题、原因及下一步整改措施</w:t>
            </w:r>
          </w:p>
        </w:tc>
        <w:tc>
          <w:tcPr>
            <w:tcW w:w="8648"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w:t>
            </w:r>
          </w:p>
        </w:tc>
      </w:tr>
      <w:bookmarkEnd w:id="15"/>
    </w:tbl>
    <w:p>
      <w:pPr>
        <w:widowControl/>
        <w:spacing w:line="360" w:lineRule="auto"/>
        <w:ind w:firstLine="640" w:firstLineChars="200"/>
        <w:jc w:val="left"/>
        <w:rPr>
          <w:rFonts w:hint="eastAsia" w:ascii="Times New Roman" w:eastAsia="仿宋_GB2312"/>
          <w:sz w:val="32"/>
          <w:szCs w:val="32"/>
          <w:lang w:eastAsia="zh-CN"/>
        </w:rPr>
      </w:pPr>
      <w:r>
        <w:rPr>
          <w:rFonts w:hint="eastAsia" w:ascii="Times New Roman" w:eastAsia="仿宋_GB2312"/>
          <w:sz w:val="32"/>
          <w:szCs w:val="32"/>
        </w:rPr>
        <w:t>诉源治理调解经费</w:t>
      </w:r>
      <w:r>
        <w:rPr>
          <w:rFonts w:hint="eastAsia" w:ascii="Times New Roman" w:eastAsia="仿宋_GB2312"/>
          <w:sz w:val="32"/>
          <w:szCs w:val="32"/>
          <w:lang w:eastAsia="zh-CN"/>
        </w:rPr>
        <w:t>项目</w:t>
      </w:r>
    </w:p>
    <w:tbl>
      <w:tblPr>
        <w:tblStyle w:val="11"/>
        <w:tblW w:w="936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981"/>
        <w:gridCol w:w="1240"/>
        <w:gridCol w:w="820"/>
        <w:gridCol w:w="1402"/>
        <w:gridCol w:w="1164"/>
        <w:gridCol w:w="1628"/>
        <w:gridCol w:w="960"/>
        <w:gridCol w:w="116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575" w:hRule="atLeast"/>
        </w:trPr>
        <w:tc>
          <w:tcPr>
            <w:tcW w:w="981"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bookmarkStart w:id="16" w:name="OLE_LINK13"/>
            <w:r>
              <w:rPr>
                <w:rFonts w:hint="eastAsia" w:ascii="宋体" w:hAnsi="宋体" w:eastAsia="宋体" w:cs="宋体"/>
                <w:i w:val="0"/>
                <w:color w:val="000000"/>
                <w:kern w:val="0"/>
                <w:sz w:val="20"/>
                <w:szCs w:val="20"/>
                <w:u w:val="none"/>
                <w:lang w:val="en-US" w:eastAsia="zh-CN" w:bidi="ar"/>
              </w:rPr>
              <w:t>一、</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基本情况</w:t>
            </w:r>
          </w:p>
        </w:tc>
        <w:tc>
          <w:tcPr>
            <w:tcW w:w="12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222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诉源治理调解经费</w:t>
            </w:r>
          </w:p>
        </w:tc>
        <w:tc>
          <w:tcPr>
            <w:tcW w:w="116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375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赞皇县人民法院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96" w:hRule="atLeast"/>
        </w:trPr>
        <w:tc>
          <w:tcPr>
            <w:tcW w:w="98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二、预算执行情况</w:t>
            </w:r>
          </w:p>
        </w:tc>
        <w:tc>
          <w:tcPr>
            <w:tcW w:w="20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256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258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11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37" w:hRule="atLeast"/>
        </w:trPr>
        <w:tc>
          <w:tcPr>
            <w:tcW w:w="98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8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37.5</w:t>
            </w:r>
          </w:p>
        </w:tc>
        <w:tc>
          <w:tcPr>
            <w:tcW w:w="14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116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37.5</w:t>
            </w:r>
          </w:p>
        </w:tc>
        <w:tc>
          <w:tcPr>
            <w:tcW w:w="16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13.013</w:t>
            </w:r>
          </w:p>
        </w:tc>
        <w:tc>
          <w:tcPr>
            <w:tcW w:w="116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34.70%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71" w:hRule="atLeast"/>
        </w:trPr>
        <w:tc>
          <w:tcPr>
            <w:tcW w:w="98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8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4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16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6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16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23" w:hRule="atLeast"/>
        </w:trPr>
        <w:tc>
          <w:tcPr>
            <w:tcW w:w="98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8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Calibri" w:hAnsi="Calibri" w:eastAsia="宋体" w:cs="Calibri"/>
                <w:i w:val="0"/>
                <w:color w:val="000000"/>
                <w:sz w:val="20"/>
                <w:szCs w:val="20"/>
                <w:u w:val="none"/>
              </w:rPr>
            </w:pPr>
          </w:p>
        </w:tc>
        <w:tc>
          <w:tcPr>
            <w:tcW w:w="14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16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6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16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81" w:hRule="atLeast"/>
        </w:trPr>
        <w:tc>
          <w:tcPr>
            <w:tcW w:w="98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三、目标完成情况</w:t>
            </w:r>
          </w:p>
        </w:tc>
        <w:tc>
          <w:tcPr>
            <w:tcW w:w="3462"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年度预期目标</w:t>
            </w:r>
          </w:p>
        </w:tc>
        <w:tc>
          <w:tcPr>
            <w:tcW w:w="3752"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11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98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462"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规范、保障、促进审判执行工作，完善审判质效评估体系，促进审判质效、健全司法权力运行机制，提升司法公信力。</w:t>
            </w:r>
          </w:p>
        </w:tc>
        <w:tc>
          <w:tcPr>
            <w:tcW w:w="3752"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保障了案件审判和管理工作，促进了审判质效的提升，维护了司法公信力。</w:t>
            </w:r>
          </w:p>
        </w:tc>
        <w:tc>
          <w:tcPr>
            <w:tcW w:w="116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34.70%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35" w:hRule="atLeast"/>
        </w:trPr>
        <w:tc>
          <w:tcPr>
            <w:tcW w:w="98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46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75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6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35" w:hRule="atLeast"/>
        </w:trPr>
        <w:tc>
          <w:tcPr>
            <w:tcW w:w="98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46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75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6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37" w:hRule="atLeast"/>
        </w:trPr>
        <w:tc>
          <w:tcPr>
            <w:tcW w:w="981"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年度绩效指标完成情况</w:t>
            </w:r>
          </w:p>
        </w:tc>
        <w:tc>
          <w:tcPr>
            <w:tcW w:w="12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8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256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16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11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73" w:hRule="atLeast"/>
        </w:trPr>
        <w:tc>
          <w:tcPr>
            <w:tcW w:w="981"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40"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产出指标（40）</w:t>
            </w:r>
          </w:p>
        </w:tc>
        <w:tc>
          <w:tcPr>
            <w:tcW w:w="82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2566"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办理各类案件数量</w:t>
            </w:r>
          </w:p>
        </w:tc>
        <w:tc>
          <w:tcPr>
            <w:tcW w:w="162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≥3000件</w:t>
            </w:r>
          </w:p>
        </w:tc>
        <w:tc>
          <w:tcPr>
            <w:tcW w:w="96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3733件</w:t>
            </w:r>
          </w:p>
        </w:tc>
        <w:tc>
          <w:tcPr>
            <w:tcW w:w="116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0" w:hRule="atLeast"/>
        </w:trPr>
        <w:tc>
          <w:tcPr>
            <w:tcW w:w="981"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4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56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6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981"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4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56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6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93" w:hRule="atLeast"/>
        </w:trPr>
        <w:tc>
          <w:tcPr>
            <w:tcW w:w="981"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4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2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2566"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审限内结案率</w:t>
            </w:r>
          </w:p>
        </w:tc>
        <w:tc>
          <w:tcPr>
            <w:tcW w:w="16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90%</w:t>
            </w:r>
          </w:p>
        </w:tc>
        <w:tc>
          <w:tcPr>
            <w:tcW w:w="9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34.70%</w:t>
            </w:r>
          </w:p>
        </w:tc>
        <w:tc>
          <w:tcPr>
            <w:tcW w:w="11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732" w:hRule="atLeast"/>
        </w:trPr>
        <w:tc>
          <w:tcPr>
            <w:tcW w:w="981"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4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2566"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预算控制数</w:t>
            </w:r>
          </w:p>
        </w:tc>
        <w:tc>
          <w:tcPr>
            <w:tcW w:w="16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≦37.5万元</w:t>
            </w:r>
          </w:p>
        </w:tc>
        <w:tc>
          <w:tcPr>
            <w:tcW w:w="9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13.013</w:t>
            </w:r>
          </w:p>
        </w:tc>
        <w:tc>
          <w:tcPr>
            <w:tcW w:w="11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981"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4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20"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2566"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上诉案件移送时间</w:t>
            </w:r>
          </w:p>
        </w:tc>
        <w:tc>
          <w:tcPr>
            <w:tcW w:w="162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70%</w:t>
            </w:r>
          </w:p>
        </w:tc>
        <w:tc>
          <w:tcPr>
            <w:tcW w:w="96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34.70%</w:t>
            </w:r>
          </w:p>
        </w:tc>
        <w:tc>
          <w:tcPr>
            <w:tcW w:w="116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981"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4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2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56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2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6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6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981"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4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2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56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2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6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6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850" w:hRule="atLeast"/>
        </w:trPr>
        <w:tc>
          <w:tcPr>
            <w:tcW w:w="981"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8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w:t>
            </w:r>
          </w:p>
        </w:tc>
        <w:tc>
          <w:tcPr>
            <w:tcW w:w="256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执行数和预算数的比率</w:t>
            </w:r>
          </w:p>
        </w:tc>
        <w:tc>
          <w:tcPr>
            <w:tcW w:w="16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34.70%</w:t>
            </w:r>
          </w:p>
        </w:tc>
        <w:tc>
          <w:tcPr>
            <w:tcW w:w="11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981"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40" w:type="dxa"/>
            <w:vMerge w:val="restart"/>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效益指标（40）</w:t>
            </w:r>
          </w:p>
        </w:tc>
        <w:tc>
          <w:tcPr>
            <w:tcW w:w="82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社会效益指标</w:t>
            </w:r>
          </w:p>
        </w:tc>
        <w:tc>
          <w:tcPr>
            <w:tcW w:w="2566"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化解社会矛盾、服务群众、对社会的促进作用</w:t>
            </w:r>
          </w:p>
        </w:tc>
        <w:tc>
          <w:tcPr>
            <w:tcW w:w="162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96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16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981"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4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2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56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6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981"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4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2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56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6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981"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4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820" w:type="dxa"/>
            <w:vMerge w:val="restart"/>
            <w:tcBorders>
              <w:top w:val="single" w:color="000000" w:sz="4" w:space="0"/>
              <w:left w:val="nil"/>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p>
        </w:tc>
        <w:tc>
          <w:tcPr>
            <w:tcW w:w="2566" w:type="dxa"/>
            <w:gridSpan w:val="2"/>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服务对象对司法行政各项业务工作的满意率</w:t>
            </w:r>
          </w:p>
        </w:tc>
        <w:tc>
          <w:tcPr>
            <w:tcW w:w="1628" w:type="dxa"/>
            <w:vMerge w:val="restart"/>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c>
          <w:tcPr>
            <w:tcW w:w="960" w:type="dxa"/>
            <w:vMerge w:val="restart"/>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c>
          <w:tcPr>
            <w:tcW w:w="1165" w:type="dxa"/>
            <w:vMerge w:val="restart"/>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981"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20" w:type="dxa"/>
            <w:vMerge w:val="continue"/>
            <w:tcBorders>
              <w:top w:val="single" w:color="000000" w:sz="4" w:space="0"/>
              <w:left w:val="nil"/>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566" w:type="dxa"/>
            <w:gridSpan w:val="2"/>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28" w:type="dxa"/>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60" w:type="dxa"/>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65" w:type="dxa"/>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981"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20" w:type="dxa"/>
            <w:vMerge w:val="continue"/>
            <w:tcBorders>
              <w:top w:val="single" w:color="000000" w:sz="4" w:space="0"/>
              <w:left w:val="nil"/>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566" w:type="dxa"/>
            <w:gridSpan w:val="2"/>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28" w:type="dxa"/>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60" w:type="dxa"/>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65" w:type="dxa"/>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37" w:hRule="atLeast"/>
        </w:trPr>
        <w:tc>
          <w:tcPr>
            <w:tcW w:w="981"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7214"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11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35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800" w:hRule="atLeast"/>
        </w:trPr>
        <w:tc>
          <w:tcPr>
            <w:tcW w:w="98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存在问题、原因及下一步整改措施</w:t>
            </w:r>
          </w:p>
        </w:tc>
        <w:tc>
          <w:tcPr>
            <w:tcW w:w="8379"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w:t>
            </w:r>
          </w:p>
        </w:tc>
      </w:tr>
      <w:bookmarkEnd w:id="16"/>
    </w:tbl>
    <w:p>
      <w:pPr>
        <w:widowControl/>
        <w:spacing w:line="360" w:lineRule="auto"/>
        <w:ind w:firstLine="640" w:firstLineChars="200"/>
        <w:jc w:val="left"/>
        <w:rPr>
          <w:rFonts w:hint="eastAsia" w:ascii="Times New Roman" w:eastAsia="仿宋_GB2312"/>
          <w:sz w:val="32"/>
          <w:szCs w:val="32"/>
          <w:lang w:eastAsia="zh-CN"/>
        </w:rPr>
      </w:pPr>
      <w:r>
        <w:rPr>
          <w:rFonts w:hint="eastAsia" w:ascii="Times New Roman" w:eastAsia="仿宋_GB2312"/>
          <w:sz w:val="32"/>
          <w:szCs w:val="32"/>
          <w:lang w:eastAsia="zh-CN"/>
        </w:rPr>
        <w:t>文件资料印刷费项目</w:t>
      </w:r>
    </w:p>
    <w:tbl>
      <w:tblPr>
        <w:tblStyle w:val="11"/>
        <w:tblW w:w="982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030"/>
        <w:gridCol w:w="1301"/>
        <w:gridCol w:w="860"/>
        <w:gridCol w:w="1470"/>
        <w:gridCol w:w="1"/>
        <w:gridCol w:w="1221"/>
        <w:gridCol w:w="1708"/>
        <w:gridCol w:w="1"/>
        <w:gridCol w:w="1006"/>
        <w:gridCol w:w="122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537" w:hRule="atLeast"/>
        </w:trPr>
        <w:tc>
          <w:tcPr>
            <w:tcW w:w="1030"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bookmarkStart w:id="17" w:name="OLE_LINK14"/>
            <w:r>
              <w:rPr>
                <w:rFonts w:hint="eastAsia" w:ascii="宋体" w:hAnsi="宋体" w:eastAsia="宋体" w:cs="宋体"/>
                <w:i w:val="0"/>
                <w:color w:val="000000"/>
                <w:kern w:val="0"/>
                <w:sz w:val="20"/>
                <w:szCs w:val="20"/>
                <w:u w:val="none"/>
                <w:lang w:val="en-US" w:eastAsia="zh-CN" w:bidi="ar"/>
              </w:rPr>
              <w:t>一、</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基本情况</w:t>
            </w:r>
          </w:p>
        </w:tc>
        <w:tc>
          <w:tcPr>
            <w:tcW w:w="13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233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文件资料印刷费</w:t>
            </w:r>
          </w:p>
        </w:tc>
        <w:tc>
          <w:tcPr>
            <w:tcW w:w="122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3937"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赞皇县人民法院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64" w:hRule="atLeast"/>
        </w:trPr>
        <w:tc>
          <w:tcPr>
            <w:tcW w:w="10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二、预算执行情况</w:t>
            </w:r>
          </w:p>
        </w:tc>
        <w:tc>
          <w:tcPr>
            <w:tcW w:w="216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2692"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271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12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09" w:hRule="atLeast"/>
        </w:trPr>
        <w:tc>
          <w:tcPr>
            <w:tcW w:w="10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6</w:t>
            </w:r>
          </w:p>
        </w:tc>
        <w:tc>
          <w:tcPr>
            <w:tcW w:w="147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122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6</w:t>
            </w:r>
          </w:p>
        </w:tc>
        <w:tc>
          <w:tcPr>
            <w:tcW w:w="17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100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2.97</w:t>
            </w:r>
          </w:p>
        </w:tc>
        <w:tc>
          <w:tcPr>
            <w:tcW w:w="122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49.50%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27" w:hRule="atLeast"/>
        </w:trPr>
        <w:tc>
          <w:tcPr>
            <w:tcW w:w="10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47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22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7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00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2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95" w:hRule="atLeast"/>
        </w:trPr>
        <w:tc>
          <w:tcPr>
            <w:tcW w:w="10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Calibri" w:hAnsi="Calibri" w:eastAsia="宋体" w:cs="Calibri"/>
                <w:i w:val="0"/>
                <w:color w:val="000000"/>
                <w:sz w:val="20"/>
                <w:szCs w:val="20"/>
                <w:u w:val="none"/>
              </w:rPr>
            </w:pPr>
          </w:p>
        </w:tc>
        <w:tc>
          <w:tcPr>
            <w:tcW w:w="147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22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7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00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22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50" w:hRule="atLeast"/>
        </w:trPr>
        <w:tc>
          <w:tcPr>
            <w:tcW w:w="10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三、目标完成情况</w:t>
            </w:r>
          </w:p>
        </w:tc>
        <w:tc>
          <w:tcPr>
            <w:tcW w:w="3632"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年度预期目标</w:t>
            </w:r>
          </w:p>
        </w:tc>
        <w:tc>
          <w:tcPr>
            <w:tcW w:w="3936"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12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632" w:type="dxa"/>
            <w:gridSpan w:val="4"/>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规范、保障、促进审判执行工作，完善审判质效评估体系，促进审判质效、健全司法权力运行机制，提升司法公信力。</w:t>
            </w:r>
          </w:p>
        </w:tc>
        <w:tc>
          <w:tcPr>
            <w:tcW w:w="3936" w:type="dxa"/>
            <w:gridSpan w:val="4"/>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保障了案件审判和管理工作，促进了审判质效的提升，维护了司法公信力。</w:t>
            </w:r>
          </w:p>
        </w:tc>
        <w:tc>
          <w:tcPr>
            <w:tcW w:w="122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49.50%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00" w:hRule="atLeast"/>
        </w:trPr>
        <w:tc>
          <w:tcPr>
            <w:tcW w:w="10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632" w:type="dxa"/>
            <w:gridSpan w:val="4"/>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936" w:type="dxa"/>
            <w:gridSpan w:val="4"/>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2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00" w:hRule="atLeast"/>
        </w:trPr>
        <w:tc>
          <w:tcPr>
            <w:tcW w:w="10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632" w:type="dxa"/>
            <w:gridSpan w:val="4"/>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936" w:type="dxa"/>
            <w:gridSpan w:val="4"/>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2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09" w:hRule="atLeast"/>
        </w:trPr>
        <w:tc>
          <w:tcPr>
            <w:tcW w:w="1030"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年度绩效指标完成情况</w:t>
            </w:r>
          </w:p>
        </w:tc>
        <w:tc>
          <w:tcPr>
            <w:tcW w:w="13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2692"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170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10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12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29" w:hRule="atLeast"/>
        </w:trPr>
        <w:tc>
          <w:tcPr>
            <w:tcW w:w="103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1"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产出指标（40）</w:t>
            </w:r>
          </w:p>
        </w:tc>
        <w:tc>
          <w:tcPr>
            <w:tcW w:w="86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2692"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印刷完成数量</w:t>
            </w:r>
          </w:p>
        </w:tc>
        <w:tc>
          <w:tcPr>
            <w:tcW w:w="1709"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≥500件</w:t>
            </w:r>
          </w:p>
        </w:tc>
        <w:tc>
          <w:tcPr>
            <w:tcW w:w="100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49.50%</w:t>
            </w:r>
          </w:p>
        </w:tc>
        <w:tc>
          <w:tcPr>
            <w:tcW w:w="122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3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1"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69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70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2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3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1"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69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70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2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47" w:hRule="atLeast"/>
        </w:trPr>
        <w:tc>
          <w:tcPr>
            <w:tcW w:w="103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1"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6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269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印刷完成合格率</w:t>
            </w:r>
          </w:p>
        </w:tc>
        <w:tc>
          <w:tcPr>
            <w:tcW w:w="17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90%</w:t>
            </w:r>
          </w:p>
        </w:tc>
        <w:tc>
          <w:tcPr>
            <w:tcW w:w="10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49.50%</w:t>
            </w:r>
          </w:p>
        </w:tc>
        <w:tc>
          <w:tcPr>
            <w:tcW w:w="12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84" w:hRule="atLeast"/>
        </w:trPr>
        <w:tc>
          <w:tcPr>
            <w:tcW w:w="103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1"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269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预算控制数</w:t>
            </w:r>
          </w:p>
        </w:tc>
        <w:tc>
          <w:tcPr>
            <w:tcW w:w="17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≦6万元</w:t>
            </w:r>
          </w:p>
        </w:tc>
        <w:tc>
          <w:tcPr>
            <w:tcW w:w="10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2.97</w:t>
            </w:r>
          </w:p>
        </w:tc>
        <w:tc>
          <w:tcPr>
            <w:tcW w:w="12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3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1"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60"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2692"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印刷完成时间情况</w:t>
            </w:r>
          </w:p>
        </w:tc>
        <w:tc>
          <w:tcPr>
            <w:tcW w:w="1709" w:type="dxa"/>
            <w:gridSpan w:val="2"/>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70%</w:t>
            </w:r>
          </w:p>
        </w:tc>
        <w:tc>
          <w:tcPr>
            <w:tcW w:w="100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49.50%</w:t>
            </w:r>
          </w:p>
        </w:tc>
        <w:tc>
          <w:tcPr>
            <w:tcW w:w="1222"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3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1"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6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69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709"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0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2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3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1"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6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69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709"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0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2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794" w:hRule="atLeast"/>
        </w:trPr>
        <w:tc>
          <w:tcPr>
            <w:tcW w:w="103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w:t>
            </w:r>
          </w:p>
        </w:tc>
        <w:tc>
          <w:tcPr>
            <w:tcW w:w="2692"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执行数和预算数的比率</w:t>
            </w:r>
          </w:p>
        </w:tc>
        <w:tc>
          <w:tcPr>
            <w:tcW w:w="170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0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49.50%</w:t>
            </w:r>
          </w:p>
        </w:tc>
        <w:tc>
          <w:tcPr>
            <w:tcW w:w="12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3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1" w:type="dxa"/>
            <w:vMerge w:val="restart"/>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效益指标（40）</w:t>
            </w:r>
          </w:p>
        </w:tc>
        <w:tc>
          <w:tcPr>
            <w:tcW w:w="86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社会效益指标</w:t>
            </w:r>
          </w:p>
        </w:tc>
        <w:tc>
          <w:tcPr>
            <w:tcW w:w="2692"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化解社会矛盾、服务群众、对社会的促进作用</w:t>
            </w:r>
          </w:p>
        </w:tc>
        <w:tc>
          <w:tcPr>
            <w:tcW w:w="1709"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00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22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3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1"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6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69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70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2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3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1"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6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69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70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2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3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860" w:type="dxa"/>
            <w:vMerge w:val="restart"/>
            <w:tcBorders>
              <w:top w:val="single" w:color="000000" w:sz="4" w:space="0"/>
              <w:left w:val="nil"/>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p>
        </w:tc>
        <w:tc>
          <w:tcPr>
            <w:tcW w:w="2692" w:type="dxa"/>
            <w:gridSpan w:val="3"/>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服务对象对司法行政各项业务工作的满意率</w:t>
            </w:r>
          </w:p>
        </w:tc>
        <w:tc>
          <w:tcPr>
            <w:tcW w:w="1709" w:type="dxa"/>
            <w:gridSpan w:val="2"/>
            <w:vMerge w:val="restart"/>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c>
          <w:tcPr>
            <w:tcW w:w="1006" w:type="dxa"/>
            <w:vMerge w:val="restart"/>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c>
          <w:tcPr>
            <w:tcW w:w="1222" w:type="dxa"/>
            <w:vMerge w:val="restart"/>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3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60" w:type="dxa"/>
            <w:vMerge w:val="continue"/>
            <w:tcBorders>
              <w:top w:val="single" w:color="000000" w:sz="4" w:space="0"/>
              <w:left w:val="nil"/>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692" w:type="dxa"/>
            <w:gridSpan w:val="3"/>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709" w:type="dxa"/>
            <w:gridSpan w:val="2"/>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06" w:type="dxa"/>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22" w:type="dxa"/>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3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60" w:type="dxa"/>
            <w:vMerge w:val="continue"/>
            <w:tcBorders>
              <w:top w:val="single" w:color="000000" w:sz="4" w:space="0"/>
              <w:left w:val="nil"/>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692" w:type="dxa"/>
            <w:gridSpan w:val="3"/>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709" w:type="dxa"/>
            <w:gridSpan w:val="2"/>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06" w:type="dxa"/>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22" w:type="dxa"/>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09" w:hRule="atLeast"/>
        </w:trPr>
        <w:tc>
          <w:tcPr>
            <w:tcW w:w="103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7568" w:type="dxa"/>
            <w:gridSpan w:val="8"/>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12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48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938" w:hRule="atLeast"/>
        </w:trPr>
        <w:tc>
          <w:tcPr>
            <w:tcW w:w="103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存在问题、原因及下一步整改措施</w:t>
            </w:r>
          </w:p>
        </w:tc>
        <w:tc>
          <w:tcPr>
            <w:tcW w:w="8790" w:type="dxa"/>
            <w:gridSpan w:val="9"/>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w:t>
            </w:r>
          </w:p>
        </w:tc>
      </w:tr>
      <w:bookmarkEnd w:id="17"/>
    </w:tbl>
    <w:p>
      <w:pPr>
        <w:widowControl/>
        <w:spacing w:line="360" w:lineRule="auto"/>
        <w:ind w:firstLine="640" w:firstLineChars="200"/>
        <w:jc w:val="left"/>
        <w:rPr>
          <w:rFonts w:hint="eastAsia" w:ascii="Times New Roman" w:eastAsia="仿宋_GB2312"/>
          <w:sz w:val="32"/>
          <w:szCs w:val="32"/>
          <w:lang w:eastAsia="zh-CN"/>
        </w:rPr>
      </w:pPr>
      <w:r>
        <w:rPr>
          <w:rFonts w:hint="eastAsia" w:ascii="Times New Roman" w:eastAsia="仿宋_GB2312"/>
          <w:sz w:val="32"/>
          <w:szCs w:val="32"/>
          <w:lang w:eastAsia="zh-CN"/>
        </w:rPr>
        <w:t>业务委托咨询费项目</w:t>
      </w:r>
    </w:p>
    <w:tbl>
      <w:tblPr>
        <w:tblStyle w:val="11"/>
        <w:tblW w:w="930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975"/>
        <w:gridCol w:w="1232"/>
        <w:gridCol w:w="814"/>
        <w:gridCol w:w="1393"/>
        <w:gridCol w:w="1157"/>
        <w:gridCol w:w="1618"/>
        <w:gridCol w:w="954"/>
        <w:gridCol w:w="115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578" w:hRule="atLeast"/>
        </w:trPr>
        <w:tc>
          <w:tcPr>
            <w:tcW w:w="975"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bookmarkStart w:id="18" w:name="OLE_LINK15"/>
            <w:r>
              <w:rPr>
                <w:rFonts w:hint="eastAsia" w:ascii="宋体" w:hAnsi="宋体" w:eastAsia="宋体" w:cs="宋体"/>
                <w:i w:val="0"/>
                <w:color w:val="000000"/>
                <w:kern w:val="0"/>
                <w:sz w:val="20"/>
                <w:szCs w:val="20"/>
                <w:u w:val="none"/>
                <w:lang w:val="en-US" w:eastAsia="zh-CN" w:bidi="ar"/>
              </w:rPr>
              <w:t>一、</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基本情况</w:t>
            </w: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220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业务委托咨询费</w:t>
            </w:r>
          </w:p>
        </w:tc>
        <w:tc>
          <w:tcPr>
            <w:tcW w:w="11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372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赞皇县人民法院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99" w:hRule="atLeast"/>
        </w:trPr>
        <w:tc>
          <w:tcPr>
            <w:tcW w:w="97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二、预算执行情况</w:t>
            </w:r>
          </w:p>
        </w:tc>
        <w:tc>
          <w:tcPr>
            <w:tcW w:w="204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25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257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11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40" w:hRule="atLeast"/>
        </w:trPr>
        <w:tc>
          <w:tcPr>
            <w:tcW w:w="9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8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21</w:t>
            </w:r>
          </w:p>
        </w:tc>
        <w:tc>
          <w:tcPr>
            <w:tcW w:w="13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11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21</w:t>
            </w:r>
          </w:p>
        </w:tc>
        <w:tc>
          <w:tcPr>
            <w:tcW w:w="16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9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9.406848</w:t>
            </w:r>
          </w:p>
        </w:tc>
        <w:tc>
          <w:tcPr>
            <w:tcW w:w="115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44.79%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75" w:hRule="atLeast"/>
        </w:trPr>
        <w:tc>
          <w:tcPr>
            <w:tcW w:w="9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8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3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1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6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9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15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25" w:hRule="atLeast"/>
        </w:trPr>
        <w:tc>
          <w:tcPr>
            <w:tcW w:w="9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8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Calibri" w:hAnsi="Calibri" w:eastAsia="宋体" w:cs="Calibri"/>
                <w:i w:val="0"/>
                <w:color w:val="000000"/>
                <w:sz w:val="20"/>
                <w:szCs w:val="20"/>
                <w:u w:val="none"/>
              </w:rPr>
            </w:pPr>
          </w:p>
        </w:tc>
        <w:tc>
          <w:tcPr>
            <w:tcW w:w="13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1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6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9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15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85" w:hRule="atLeast"/>
        </w:trPr>
        <w:tc>
          <w:tcPr>
            <w:tcW w:w="97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三、目标完成情况</w:t>
            </w:r>
          </w:p>
        </w:tc>
        <w:tc>
          <w:tcPr>
            <w:tcW w:w="343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年度预期目标</w:t>
            </w:r>
          </w:p>
        </w:tc>
        <w:tc>
          <w:tcPr>
            <w:tcW w:w="372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11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9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439"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规范、保障、促进审判执行工作，完善审判质效评估体系，促进审判质效、健全司法权力运行机制，提升司法公信力。</w:t>
            </w:r>
          </w:p>
        </w:tc>
        <w:tc>
          <w:tcPr>
            <w:tcW w:w="3729"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保障了案件审判和管理工作，促进了审判质效的提升，维护了司法公信力。</w:t>
            </w:r>
          </w:p>
        </w:tc>
        <w:tc>
          <w:tcPr>
            <w:tcW w:w="115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44.79%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39" w:hRule="atLeast"/>
        </w:trPr>
        <w:tc>
          <w:tcPr>
            <w:tcW w:w="9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43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72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5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39" w:hRule="atLeast"/>
        </w:trPr>
        <w:tc>
          <w:tcPr>
            <w:tcW w:w="9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43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72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5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40" w:hRule="atLeast"/>
        </w:trPr>
        <w:tc>
          <w:tcPr>
            <w:tcW w:w="975"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年度绩效指标完成情况</w:t>
            </w: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8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25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16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9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11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77" w:hRule="atLeast"/>
        </w:trPr>
        <w:tc>
          <w:tcPr>
            <w:tcW w:w="97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32"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产出指标（40）</w:t>
            </w:r>
          </w:p>
        </w:tc>
        <w:tc>
          <w:tcPr>
            <w:tcW w:w="81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255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办理各类案件数量</w:t>
            </w:r>
          </w:p>
        </w:tc>
        <w:tc>
          <w:tcPr>
            <w:tcW w:w="161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≥3000件</w:t>
            </w:r>
          </w:p>
        </w:tc>
        <w:tc>
          <w:tcPr>
            <w:tcW w:w="95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3733件</w:t>
            </w:r>
          </w:p>
        </w:tc>
        <w:tc>
          <w:tcPr>
            <w:tcW w:w="115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2" w:hRule="atLeast"/>
        </w:trPr>
        <w:tc>
          <w:tcPr>
            <w:tcW w:w="97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32"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55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5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97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32"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55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5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97" w:hRule="atLeast"/>
        </w:trPr>
        <w:tc>
          <w:tcPr>
            <w:tcW w:w="97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32"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1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2550"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审限内结案率</w:t>
            </w:r>
          </w:p>
        </w:tc>
        <w:tc>
          <w:tcPr>
            <w:tcW w:w="16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90%</w:t>
            </w:r>
          </w:p>
        </w:tc>
        <w:tc>
          <w:tcPr>
            <w:tcW w:w="9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44.79%</w:t>
            </w:r>
          </w:p>
        </w:tc>
        <w:tc>
          <w:tcPr>
            <w:tcW w:w="11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737" w:hRule="atLeast"/>
        </w:trPr>
        <w:tc>
          <w:tcPr>
            <w:tcW w:w="97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32"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2550"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预算控制数</w:t>
            </w:r>
          </w:p>
        </w:tc>
        <w:tc>
          <w:tcPr>
            <w:tcW w:w="16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≦21万元</w:t>
            </w:r>
          </w:p>
        </w:tc>
        <w:tc>
          <w:tcPr>
            <w:tcW w:w="9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9.406848</w:t>
            </w:r>
          </w:p>
        </w:tc>
        <w:tc>
          <w:tcPr>
            <w:tcW w:w="11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97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32"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14"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255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上诉案件移送时间</w:t>
            </w:r>
          </w:p>
        </w:tc>
        <w:tc>
          <w:tcPr>
            <w:tcW w:w="161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70%</w:t>
            </w:r>
          </w:p>
        </w:tc>
        <w:tc>
          <w:tcPr>
            <w:tcW w:w="954"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44.79%</w:t>
            </w:r>
          </w:p>
        </w:tc>
        <w:tc>
          <w:tcPr>
            <w:tcW w:w="1157"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97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32"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1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55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1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5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5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97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32"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1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55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1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5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5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855" w:hRule="atLeast"/>
        </w:trPr>
        <w:tc>
          <w:tcPr>
            <w:tcW w:w="97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8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w:t>
            </w:r>
          </w:p>
        </w:tc>
        <w:tc>
          <w:tcPr>
            <w:tcW w:w="25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执行数和预算数的比率</w:t>
            </w:r>
          </w:p>
        </w:tc>
        <w:tc>
          <w:tcPr>
            <w:tcW w:w="16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9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44.79%</w:t>
            </w:r>
          </w:p>
        </w:tc>
        <w:tc>
          <w:tcPr>
            <w:tcW w:w="11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97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32" w:type="dxa"/>
            <w:vMerge w:val="restart"/>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效益指标（40）</w:t>
            </w:r>
          </w:p>
        </w:tc>
        <w:tc>
          <w:tcPr>
            <w:tcW w:w="814"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社会效益指标</w:t>
            </w:r>
          </w:p>
        </w:tc>
        <w:tc>
          <w:tcPr>
            <w:tcW w:w="255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化解社会矛盾、服务群众、对社会的促进作用</w:t>
            </w:r>
          </w:p>
        </w:tc>
        <w:tc>
          <w:tcPr>
            <w:tcW w:w="161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95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15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97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32"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1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55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5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97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32"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1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55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5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97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3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814" w:type="dxa"/>
            <w:vMerge w:val="restart"/>
            <w:tcBorders>
              <w:top w:val="single" w:color="000000" w:sz="4" w:space="0"/>
              <w:left w:val="nil"/>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p>
        </w:tc>
        <w:tc>
          <w:tcPr>
            <w:tcW w:w="2550" w:type="dxa"/>
            <w:gridSpan w:val="2"/>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服务对象对司法行政各项业务工作的满意率</w:t>
            </w:r>
          </w:p>
        </w:tc>
        <w:tc>
          <w:tcPr>
            <w:tcW w:w="1618" w:type="dxa"/>
            <w:vMerge w:val="restart"/>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c>
          <w:tcPr>
            <w:tcW w:w="954" w:type="dxa"/>
            <w:vMerge w:val="restart"/>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c>
          <w:tcPr>
            <w:tcW w:w="1157" w:type="dxa"/>
            <w:vMerge w:val="restart"/>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97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14" w:type="dxa"/>
            <w:vMerge w:val="continue"/>
            <w:tcBorders>
              <w:top w:val="single" w:color="000000" w:sz="4" w:space="0"/>
              <w:left w:val="nil"/>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550" w:type="dxa"/>
            <w:gridSpan w:val="2"/>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18" w:type="dxa"/>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54" w:type="dxa"/>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57" w:type="dxa"/>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97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14" w:type="dxa"/>
            <w:vMerge w:val="continue"/>
            <w:tcBorders>
              <w:top w:val="single" w:color="000000" w:sz="4" w:space="0"/>
              <w:left w:val="nil"/>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550" w:type="dxa"/>
            <w:gridSpan w:val="2"/>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18" w:type="dxa"/>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54" w:type="dxa"/>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57" w:type="dxa"/>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40" w:hRule="atLeast"/>
        </w:trPr>
        <w:tc>
          <w:tcPr>
            <w:tcW w:w="97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7168"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11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46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010" w:hRule="atLeast"/>
        </w:trPr>
        <w:tc>
          <w:tcPr>
            <w:tcW w:w="97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存在问题、原因及下一步整改措施</w:t>
            </w:r>
          </w:p>
        </w:tc>
        <w:tc>
          <w:tcPr>
            <w:tcW w:w="8325"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w:t>
            </w:r>
          </w:p>
        </w:tc>
      </w:tr>
      <w:bookmarkEnd w:id="18"/>
    </w:tbl>
    <w:p>
      <w:pPr>
        <w:widowControl/>
        <w:spacing w:line="360" w:lineRule="auto"/>
        <w:ind w:firstLine="640" w:firstLineChars="200"/>
        <w:jc w:val="left"/>
        <w:rPr>
          <w:rFonts w:hint="eastAsia" w:ascii="Times New Roman" w:eastAsia="仿宋_GB2312"/>
          <w:sz w:val="32"/>
          <w:szCs w:val="32"/>
          <w:lang w:eastAsia="zh-CN"/>
        </w:rPr>
      </w:pPr>
    </w:p>
    <w:p>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（三）部门评价项目绩效评价结果</w:t>
      </w:r>
    </w:p>
    <w:p>
      <w:pPr>
        <w:widowControl/>
        <w:spacing w:line="360" w:lineRule="auto"/>
        <w:ind w:firstLine="640" w:firstLineChars="200"/>
        <w:jc w:val="left"/>
        <w:rPr>
          <w:rFonts w:hint="eastAsia" w:ascii="Times New Roman" w:eastAsia="仿宋_GB2312"/>
          <w:sz w:val="32"/>
          <w:szCs w:val="32"/>
          <w:lang w:eastAsia="zh-CN"/>
        </w:rPr>
      </w:pPr>
      <w:r>
        <w:rPr>
          <w:rFonts w:hint="eastAsia" w:ascii="Times New Roman" w:eastAsia="仿宋_GB2312"/>
          <w:sz w:val="32"/>
          <w:szCs w:val="32"/>
          <w:lang w:eastAsia="zh-CN"/>
        </w:rPr>
        <w:t>无</w:t>
      </w:r>
    </w:p>
    <w:p>
      <w:pPr>
        <w:widowControl/>
        <w:spacing w:line="360" w:lineRule="auto"/>
        <w:ind w:firstLine="640" w:firstLineChars="200"/>
        <w:jc w:val="left"/>
        <w:rPr>
          <w:rFonts w:ascii="Times New Roman" w:eastAsia="黑体"/>
          <w:sz w:val="32"/>
          <w:szCs w:val="32"/>
        </w:rPr>
      </w:pPr>
      <w:r>
        <w:rPr>
          <w:rFonts w:ascii="Times New Roman" w:eastAsia="黑体"/>
          <w:sz w:val="32"/>
          <w:szCs w:val="32"/>
        </w:rPr>
        <w:t>十、其他需要说明的情况</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1.本单位2024年度政府性基金预算财政拨款收入支出决算表（公开07表）、国有资本经营预算财政拨款支出决算表（公开08表）无相应收支，故空表列示。</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2.由于决算公开表格中金额数值应当保留两位小数，公开数据为四舍五入计算结果，个别数据合计项与分项之和存在小数点后差额，特此说明。</w:t>
      </w:r>
    </w:p>
    <w:p>
      <w:pPr>
        <w:rPr>
          <w:rFonts w:ascii="Times New Roman" w:hAnsi="Times New Roman" w:eastAsia="仿宋_GB2312" w:cs="Times New Roman"/>
          <w:sz w:val="32"/>
          <w:szCs w:val="32"/>
        </w:rPr>
      </w:pPr>
      <w:r>
        <w:rPr>
          <w:rFonts w:ascii="Times New Roman" w:hAnsi="Times New Roman" w:eastAsia="仿宋_GB2312" w:cs="Times New Roman"/>
          <w:sz w:val="32"/>
          <w:szCs w:val="32"/>
        </w:rPr>
        <w:br w:type="page"/>
      </w:r>
    </w:p>
    <w:p>
      <w:pPr>
        <w:widowControl/>
        <w:spacing w:line="360" w:lineRule="auto"/>
        <w:jc w:val="center"/>
        <w:outlineLvl w:val="0"/>
        <w:rPr>
          <w:rFonts w:ascii="Times New Roman" w:eastAsia="黑体"/>
          <w:sz w:val="44"/>
          <w:szCs w:val="44"/>
        </w:rPr>
      </w:pPr>
      <w:r>
        <w:rPr>
          <w:rFonts w:ascii="Times New Roman" w:eastAsia="黑体"/>
          <w:sz w:val="44"/>
          <w:szCs w:val="44"/>
        </w:rPr>
        <w:t>第四部分名词解释</w:t>
      </w:r>
    </w:p>
    <w:p>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sz w:val="32"/>
          <w:szCs w:val="32"/>
        </w:rPr>
        <w:t>指单位从同级财政部门取得的财政预算资金。</w:t>
      </w:r>
    </w:p>
    <w:p>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sz w:val="32"/>
          <w:szCs w:val="32"/>
        </w:rPr>
        <w:t>指事业单位开展专业业务活动及辅助活动取得的收入。</w:t>
      </w:r>
    </w:p>
    <w:p>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sz w:val="32"/>
          <w:szCs w:val="32"/>
        </w:rPr>
        <w:t>指事业单位在专业业务活动及其辅助活动之外开展非独立核算经营活动取得的收入。</w:t>
      </w:r>
    </w:p>
    <w:p>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sz w:val="32"/>
          <w:szCs w:val="32"/>
        </w:rPr>
        <w:t>指单位取得的除上述收入以外的各项收入。主要是事业单位固定资产出租收入、存款利息收入等。</w:t>
      </w:r>
    </w:p>
    <w:p>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sz w:val="32"/>
          <w:szCs w:val="32"/>
        </w:rPr>
        <w:t>指事业单位按照预算管理要求使用非财政拨款结余弥补收支差额的金额，以及使用专用结余安排支出的金额。</w:t>
      </w:r>
    </w:p>
    <w:p>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sz w:val="32"/>
          <w:szCs w:val="32"/>
        </w:rPr>
        <w:t>指单位以前年度尚未完成、结转到本年仍按原规定用途继续使用的资金，或项目已完成等产生的结余资金。</w:t>
      </w:r>
    </w:p>
    <w:p>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sz w:val="32"/>
          <w:szCs w:val="32"/>
        </w:rPr>
        <w:t>指事业单位按照会计制度规定缴纳的所得税、提取的专用结余以及转入非财政拨款结余的金额等。</w:t>
      </w:r>
    </w:p>
    <w:p>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sz w:val="32"/>
          <w:szCs w:val="32"/>
        </w:rPr>
        <w:t>指单位按有关规定结转到下年或以后年度继续使用的资金，或项目已完成等产生的结余资金。</w:t>
      </w:r>
    </w:p>
    <w:p>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sz w:val="32"/>
          <w:szCs w:val="32"/>
        </w:rPr>
        <w:t>指为保障机构正常运转、完成日常工作任务而发生的人员支出和公用支出。</w:t>
      </w:r>
    </w:p>
    <w:p>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sz w:val="32"/>
          <w:szCs w:val="32"/>
        </w:rPr>
        <w:t>指在基本支出之外为完成特定行政任务和事业发展目标所发生的支出。</w:t>
      </w:r>
    </w:p>
    <w:p>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w:t>
      </w:r>
      <w:r>
        <w:rPr>
          <w:rFonts w:ascii="Times New Roman" w:eastAsia="仿宋_GB2312"/>
          <w:sz w:val="32"/>
          <w:szCs w:val="32"/>
        </w:rPr>
        <w:t>指事业单位在专业业务活动及其辅助活动之外开展非独立核算经营活动发生的支出。</w:t>
      </w:r>
    </w:p>
    <w:p>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sz w:val="32"/>
          <w:szCs w:val="32"/>
        </w:rPr>
        <w:t>填列由各级非发展与改革部门集中安排的用于购置固定资产、战备性和应急性储备、土地和无形资产，以及购建基础设施、大型修缮和财政支持企业更新改造所发生的支出。</w:t>
      </w:r>
    </w:p>
    <w:p>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sz w:val="32"/>
          <w:szCs w:val="32"/>
        </w:rPr>
        <w:t>填列单位除公务用车运行维护费以外的其他交通费用。如公务交通补贴、租车费用、出租车费用，飞机、船舶等燃料费、维修费、保险费等。</w:t>
      </w:r>
    </w:p>
    <w:p>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sz w:val="32"/>
          <w:szCs w:val="32"/>
        </w:rPr>
        <w:t>填列单位公务用车车辆购置支出（含车辆购置税、牌照费）。</w:t>
      </w:r>
    </w:p>
    <w:p>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sz w:val="32"/>
          <w:szCs w:val="32"/>
        </w:rPr>
        <w:t>填列单位除公务用车外的其他各类交通工具（如船舶、飞机等）购置支出（含车辆购置税、牌照费）。</w:t>
      </w:r>
    </w:p>
    <w:p>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cols w:space="0" w:num="1"/>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356D2DE6-3301-4A43-88FF-AAF9FF22C3C0}"/>
  </w:font>
  <w:font w:name="黑体">
    <w:panose1 w:val="02010609060101010101"/>
    <w:charset w:val="86"/>
    <w:family w:val="auto"/>
    <w:pitch w:val="default"/>
    <w:sig w:usb0="800002BF" w:usb1="38CF7CFA" w:usb2="00000016" w:usb3="00000000" w:csb0="00040001" w:csb1="00000000"/>
    <w:embedRegular r:id="rId2" w:fontKey="{1EC2A886-75F3-4100-9DBE-968E81CEF2AD}"/>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3" w:fontKey="{72CFEA4C-9244-40A3-9B58-7621DEC12EE2}"/>
  </w:font>
  <w:font w:name="仿宋">
    <w:panose1 w:val="02010609060101010101"/>
    <w:charset w:val="86"/>
    <w:family w:val="modern"/>
    <w:pitch w:val="default"/>
    <w:sig w:usb0="800002BF" w:usb1="38CF7CFA" w:usb2="00000016" w:usb3="00000000" w:csb0="00040001" w:csb1="00000000"/>
    <w:embedRegular r:id="rId4" w:fontKey="{7C5E8E6F-E54A-4CAA-9712-EADE8A3F5B5B}"/>
  </w:font>
  <w:font w:name="Calibri Light">
    <w:panose1 w:val="020F0302020204030204"/>
    <w:charset w:val="00"/>
    <w:family w:val="swiss"/>
    <w:pitch w:val="default"/>
    <w:sig w:usb0="A00002EF" w:usb1="4000207B" w:usb2="00000000" w:usb3="00000000" w:csb0="2000019F" w:csb1="00000000"/>
  </w:font>
  <w:font w:name="华文中宋">
    <w:altName w:val="宋体"/>
    <w:panose1 w:val="00000000000000000000"/>
    <w:charset w:val="86"/>
    <w:family w:val="auto"/>
    <w:pitch w:val="default"/>
    <w:sig w:usb0="00000000" w:usb1="00000000" w:usb2="00000000" w:usb3="00000000" w:csb0="0004009F" w:csb1="DFD70000"/>
  </w:font>
  <w:font w:name="楷体_GB2312">
    <w:panose1 w:val="02010609030101010101"/>
    <w:charset w:val="86"/>
    <w:family w:val="auto"/>
    <w:pitch w:val="default"/>
    <w:sig w:usb0="00000000" w:usb1="00000000" w:usb2="00000000" w:usb3="00000000" w:csb0="00000000" w:csb1="00000000"/>
    <w:embedRegular r:id="rId5" w:fontKey="{17587705-7CCB-4852-9597-FF324B1F4C57}"/>
  </w:font>
  <w:font w:name="方正小标宋_GBK">
    <w:altName w:val="微软雅黑"/>
    <w:panose1 w:val="00000000000000000000"/>
    <w:charset w:val="86"/>
    <w:family w:val="script"/>
    <w:pitch w:val="default"/>
    <w:sig w:usb0="00000000" w:usb1="00000000" w:usb2="00082016" w:usb3="00000000" w:csb0="00040001" w:csb1="00000000"/>
    <w:embedRegular r:id="rId6" w:fontKey="{76F1AF53-3B60-4471-A9BA-A9A3D4A9DF34}"/>
  </w:font>
  <w:font w:name="仿宋_GB2312">
    <w:panose1 w:val="02010609030101010101"/>
    <w:charset w:val="86"/>
    <w:family w:val="auto"/>
    <w:pitch w:val="default"/>
    <w:sig w:usb0="00000000" w:usb1="00000000" w:usb2="00000000" w:usb3="00000000" w:csb0="00000000" w:csb1="00000000"/>
    <w:embedRegular r:id="rId7" w:fontKey="{FF892ABC-04DB-44C6-A242-71F7D5C9A8E1}"/>
  </w:font>
  <w:font w:name="ArialUnicodeMS">
    <w:altName w:val="Malgun Gothic"/>
    <w:panose1 w:val="00000000000000000000"/>
    <w:charset w:val="81"/>
    <w:family w:val="auto"/>
    <w:pitch w:val="default"/>
    <w:sig w:usb0="00000000" w:usb1="00000000" w:usb2="00000010" w:usb3="00000000" w:csb0="00080001" w:csb1="00000000"/>
    <w:embedRegular r:id="rId8" w:fontKey="{D59904DB-2F17-4320-B42C-23C6B5147F28}"/>
  </w:font>
  <w:font w:name="方正仿宋_GB2312">
    <w:panose1 w:val="02000000000000000000"/>
    <w:charset w:val="86"/>
    <w:family w:val="auto"/>
    <w:pitch w:val="default"/>
    <w:sig w:usb0="00000000" w:usb1="00000000" w:usb2="00000000" w:usb3="00000000" w:csb0="00000000" w:csb1="00000000"/>
    <w:embedRegular r:id="rId9" w:fontKey="{E54A4951-8A03-4750-9567-2CDAF22F0931}"/>
  </w:font>
  <w:font w:name="___WRD_EMBED_SUB_45">
    <w:panose1 w:val="02010609030101010101"/>
    <w:charset w:val="86"/>
    <w:family w:val="auto"/>
    <w:pitch w:val="default"/>
    <w:sig w:usb0="00000000" w:usb1="00000000" w:usb2="00000000" w:usb3="00000000" w:csb0="00000000" w:csb1="00000000"/>
    <w:embedRegular r:id="rId10" w:fontKey="{17F617A2-C660-4194-8037-B68121F16D57}"/>
  </w:font>
  <w:font w:name="微软雅黑">
    <w:panose1 w:val="020B0503020204020204"/>
    <w:charset w:val="86"/>
    <w:family w:val="auto"/>
    <w:pitch w:val="default"/>
    <w:sig w:usb0="80000287" w:usb1="280F3C52" w:usb2="00000016" w:usb3="00000000" w:csb0="0004001F" w:csb1="00000000"/>
  </w:font>
  <w:font w:name="Malgun Gothic">
    <w:panose1 w:val="020B0503020000020004"/>
    <w:charset w:val="81"/>
    <w:family w:val="auto"/>
    <w:pitch w:val="default"/>
    <w:sig w:usb0="900002AF" w:usb1="01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jc w:val="center"/>
    </w:pPr>
  </w:p>
  <w:p>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643A5E"/>
    <w:rsid w:val="00037E00"/>
    <w:rsid w:val="00086151"/>
    <w:rsid w:val="000E7672"/>
    <w:rsid w:val="00236F8C"/>
    <w:rsid w:val="00643A5E"/>
    <w:rsid w:val="006528BA"/>
    <w:rsid w:val="007431CC"/>
    <w:rsid w:val="00822154"/>
    <w:rsid w:val="008C65C9"/>
    <w:rsid w:val="00AA6265"/>
    <w:rsid w:val="00C65689"/>
    <w:rsid w:val="00CC2C8E"/>
    <w:rsid w:val="01A03C5A"/>
    <w:rsid w:val="01A5267D"/>
    <w:rsid w:val="01AF6A8D"/>
    <w:rsid w:val="024808A2"/>
    <w:rsid w:val="025C3821"/>
    <w:rsid w:val="02DA3B1B"/>
    <w:rsid w:val="02E57B4D"/>
    <w:rsid w:val="02EC51FB"/>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486B24"/>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432FB5"/>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779AA"/>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0735D"/>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numPr>
        <w:ilvl w:val="1"/>
        <w:numId w:val="1"/>
      </w:numPr>
      <w:spacing w:line="416" w:lineRule="auto"/>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Layout w:type="fixed"/>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Autospacing="1" w:afterAutospacing="1"/>
      <w:jc w:val="left"/>
    </w:pPr>
    <w:rPr>
      <w:rFonts w:cs="Times New Roman"/>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 w:type="character" w:customStyle="1" w:styleId="25">
    <w:name w:val="font21"/>
    <w:basedOn w:val="13"/>
    <w:qFormat/>
    <w:uiPriority w:val="0"/>
    <w:rPr>
      <w:rFonts w:ascii="Calibri" w:hAnsi="Calibri" w:cs="Calibri"/>
      <w:color w:val="000000"/>
      <w:sz w:val="20"/>
      <w:szCs w:val="20"/>
      <w:u w:val="none"/>
    </w:rPr>
  </w:style>
  <w:style w:type="character" w:customStyle="1" w:styleId="26">
    <w:name w:val="font61"/>
    <w:basedOn w:val="13"/>
    <w:qFormat/>
    <w:uiPriority w:val="0"/>
    <w:rPr>
      <w:rFonts w:hint="eastAsia" w:ascii="宋体" w:hAnsi="宋体" w:eastAsia="宋体" w:cs="宋体"/>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numbering" Target="numbering.xml"/><Relationship Id="rId17" Type="http://schemas.openxmlformats.org/officeDocument/2006/relationships/customXml" Target="../customXml/item1.xml"/><Relationship Id="rId16" Type="http://schemas.openxmlformats.org/officeDocument/2006/relationships/chart" Target="charts/chart6.xml"/><Relationship Id="rId15" Type="http://schemas.openxmlformats.org/officeDocument/2006/relationships/chart" Target="charts/chart5.xml"/><Relationship Id="rId14" Type="http://schemas.openxmlformats.org/officeDocument/2006/relationships/chart" Target="charts/chart4.xml"/><Relationship Id="rId13" Type="http://schemas.openxmlformats.org/officeDocument/2006/relationships/chart" Target="charts/chart3.xml"/><Relationship Id="rId12" Type="http://schemas.openxmlformats.org/officeDocument/2006/relationships/chart" Target="charts/chart2.xml"/><Relationship Id="rId11" Type="http://schemas.openxmlformats.org/officeDocument/2006/relationships/chart" Target="charts/chart1.xml"/><Relationship Id="rId10" Type="http://schemas.openxmlformats.org/officeDocument/2006/relationships/image" Target="media/image1.jpe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2.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6.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1724.16</c:v>
                </c:pt>
                <c:pt idx="1">
                  <c:v>1780.82</c:v>
                </c:pt>
              </c:numCache>
            </c:numRef>
          </c:val>
        </c:ser>
        <c:dLbls>
          <c:showLegendKey val="0"/>
          <c:showVal val="1"/>
          <c:showCatName val="0"/>
          <c:showSerName val="0"/>
          <c:showPercent val="0"/>
          <c:showBubbleSize val="0"/>
        </c:dLbls>
        <c:gapWidth val="246"/>
        <c:overlap val="-28"/>
        <c:axId val="193396096"/>
        <c:axId val="185012608"/>
      </c:barChart>
      <c:catAx>
        <c:axId val="19339609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85012608"/>
        <c:crosses val="autoZero"/>
        <c:auto val="1"/>
        <c:lblAlgn val="ctr"/>
        <c:lblOffset val="100"/>
        <c:noMultiLvlLbl val="0"/>
      </c:catAx>
      <c:valAx>
        <c:axId val="185012608"/>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9339609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17808207.05</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9202076.97</c:v>
                </c:pt>
                <c:pt idx="1">
                  <c:v>8606130.08</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财政拨款收入</c:v>
                </c:pt>
                <c:pt idx="1">
                  <c:v>财政拨款支出</c:v>
                </c:pt>
              </c:strCache>
            </c:strRef>
          </c:cat>
          <c:val>
            <c:numRef>
              <c:f>Sheet1!$B$2:$B$3</c:f>
              <c:numCache>
                <c:formatCode>General</c:formatCode>
                <c:ptCount val="2"/>
                <c:pt idx="0">
                  <c:v>1724.16</c:v>
                </c:pt>
                <c:pt idx="1">
                  <c:v>1724.16</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财政拨款收入</c:v>
                </c:pt>
                <c:pt idx="1">
                  <c:v>财政拨款支出</c:v>
                </c:pt>
              </c:strCache>
            </c:strRef>
          </c:cat>
          <c:val>
            <c:numRef>
              <c:f>Sheet1!$C$2:$C$3</c:f>
              <c:numCache>
                <c:formatCode>General</c:formatCode>
                <c:ptCount val="2"/>
                <c:pt idx="0">
                  <c:v>1780.82</c:v>
                </c:pt>
                <c:pt idx="1">
                  <c:v>1780.82</c:v>
                </c:pt>
              </c:numCache>
            </c:numRef>
          </c:val>
        </c:ser>
        <c:dLbls>
          <c:showLegendKey val="0"/>
          <c:showVal val="1"/>
          <c:showCatName val="0"/>
          <c:showSerName val="0"/>
          <c:showPercent val="0"/>
          <c:showBubbleSize val="0"/>
        </c:dLbls>
        <c:gapWidth val="246"/>
        <c:overlap val="-28"/>
        <c:axId val="216179456"/>
        <c:axId val="216180992"/>
      </c:barChart>
      <c:catAx>
        <c:axId val="216179456"/>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16180992"/>
        <c:crosses val="autoZero"/>
        <c:auto val="1"/>
        <c:lblAlgn val="ctr"/>
        <c:lblOffset val="100"/>
        <c:noMultiLvlLbl val="0"/>
      </c:catAx>
      <c:valAx>
        <c:axId val="21618099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1617945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财政拨款收入</c:v>
                </c:pt>
                <c:pt idx="1">
                  <c:v>财政拨款支出</c:v>
                </c:pt>
              </c:strCache>
            </c:strRef>
          </c:cat>
          <c:val>
            <c:numRef>
              <c:f>Sheet1!$B$2:$B$3</c:f>
              <c:numCache>
                <c:formatCode>General</c:formatCode>
                <c:ptCount val="2"/>
                <c:pt idx="0">
                  <c:v>1954.95</c:v>
                </c:pt>
                <c:pt idx="1">
                  <c:v>1954.95</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财政拨款收入</c:v>
                </c:pt>
                <c:pt idx="1">
                  <c:v>财政拨款支出</c:v>
                </c:pt>
              </c:strCache>
            </c:strRef>
          </c:cat>
          <c:val>
            <c:numRef>
              <c:f>Sheet1!$C$2:$C$3</c:f>
              <c:numCache>
                <c:formatCode>General</c:formatCode>
                <c:ptCount val="2"/>
                <c:pt idx="0">
                  <c:v>1780.82</c:v>
                </c:pt>
                <c:pt idx="1">
                  <c:v>1780.82</c:v>
                </c:pt>
              </c:numCache>
            </c:numRef>
          </c:val>
        </c:ser>
        <c:dLbls>
          <c:showLegendKey val="0"/>
          <c:showVal val="1"/>
          <c:showCatName val="0"/>
          <c:showSerName val="0"/>
          <c:showPercent val="0"/>
          <c:showBubbleSize val="0"/>
        </c:dLbls>
        <c:gapWidth val="150"/>
        <c:axId val="216479616"/>
        <c:axId val="216481152"/>
      </c:barChart>
      <c:catAx>
        <c:axId val="21647961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16481152"/>
        <c:crosses val="autoZero"/>
        <c:auto val="1"/>
        <c:lblAlgn val="ctr"/>
        <c:lblOffset val="100"/>
        <c:noMultiLvlLbl val="0"/>
      </c:catAx>
      <c:valAx>
        <c:axId val="21648115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1647961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Lbls>
            <c:delete val="1"/>
          </c:dLbls>
          <c:cat>
            <c:strRef>
              <c:f>Sheet1!$A$2:$A$5</c:f>
              <c:strCache>
                <c:ptCount val="4"/>
                <c:pt idx="0">
                  <c:v>公共安全支出</c:v>
                </c:pt>
                <c:pt idx="1">
                  <c:v>社会保障和就业支出</c:v>
                </c:pt>
                <c:pt idx="2">
                  <c:v>卫生健康支出</c:v>
                </c:pt>
                <c:pt idx="3">
                  <c:v>住房保障支出</c:v>
                </c:pt>
              </c:strCache>
            </c:strRef>
          </c:cat>
          <c:val>
            <c:numRef>
              <c:f>Sheet1!$B$2:$B$5</c:f>
              <c:numCache>
                <c:formatCode>General</c:formatCode>
                <c:ptCount val="4"/>
                <c:pt idx="0">
                  <c:v>1552</c:v>
                </c:pt>
                <c:pt idx="1">
                  <c:v>110.1</c:v>
                </c:pt>
                <c:pt idx="2">
                  <c:v>54.95</c:v>
                </c:pt>
                <c:pt idx="3">
                  <c:v>63.77</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神州网信技术有限公司</Company>
  <Pages>33</Pages>
  <Words>7750</Words>
  <Characters>4346</Characters>
  <Lines>36</Lines>
  <Paragraphs>24</Paragraphs>
  <TotalTime>1</TotalTime>
  <ScaleCrop>false</ScaleCrop>
  <LinksUpToDate>false</LinksUpToDate>
  <CharactersWithSpaces>12072</CharactersWithSpaces>
  <Application>WPS Office_11.8.2.8411_F1E327BC-269C-435d-A152-05C5408002CA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2025-09-11T03:10:00Z</dcterms:created>
  <dc:creator>王明新TIAD</dc:creator>
  <cp:lastModifiedBy>Administrator</cp:lastModifiedBy>
  <cp:lastPrinted>2023-08-04T01:00:00Z</cp:lastPrinted>
  <dcterms:modified xsi:type="dcterms:W3CDTF">2025-09-11T10:11:24Z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eyJoZGlkIjoiYjA3YzVjY2RhYzM1OWI4MmYzZjdlYWUzZWM2YTQyNTYiLCJ1c2VySWQiOiIxNTIwMzY1OTkzIn0=</vt:lpwstr>
  </property>
</Properties>
</file>