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left"/>
        <w:rPr>
          <w:rFonts w:ascii="宋体" w:hAnsi="宋体" w:eastAsia="宋体"/>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：62</w:t>
      </w:r>
      <w:r>
        <w:rPr>
          <w:rFonts w:hint="eastAsia" w:ascii="宋体" w:hAnsi="宋体" w:eastAsia="宋体"/>
          <w:color w:val="000000"/>
          <w:sz w:val="40"/>
          <w:szCs w:val="40"/>
        </w:rPr>
        <w:t>5001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：赞皇县人民法院（本级）</w:t>
      </w:r>
    </w:p>
    <w:p>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widowControl/>
        <w:spacing w:line="360" w:lineRule="auto"/>
        <w:jc w:val="center"/>
        <w:rPr>
          <w:rFonts w:ascii="Times New Roman" w:eastAsia="方正小标宋_GBK"/>
          <w:sz w:val="72"/>
          <w:szCs w:val="72"/>
        </w:rPr>
      </w:pPr>
      <w:r>
        <w:rPr>
          <w:rFonts w:ascii="Times New Roman" w:eastAsia="方正小标宋_GBK"/>
          <w:sz w:val="72"/>
          <w:szCs w:val="72"/>
        </w:rPr>
        <w:t>赞皇县人民法院（本级）</w:t>
      </w:r>
    </w:p>
    <w:p>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eastAsia="zh-CN"/>
        </w:rPr>
        <w:t>单位</w:t>
      </w:r>
      <w:r>
        <w:rPr>
          <w:rFonts w:ascii="Times New Roman" w:eastAsia="方正小标宋_GBK"/>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widowControl/>
        <w:spacing w:line="360" w:lineRule="auto"/>
        <w:jc w:val="center"/>
        <w:rPr>
          <w:rFonts w:hint="eastAsia" w:ascii="Times New Roman" w:eastAsia="楷体_GB2312"/>
          <w:sz w:val="44"/>
          <w:szCs w:val="44"/>
        </w:rPr>
      </w:pPr>
      <w:r>
        <w:rPr>
          <w:rFonts w:ascii="Times New Roman" w:eastAsia="楷体_GB2312"/>
          <w:sz w:val="44"/>
          <w:szCs w:val="44"/>
        </w:rPr>
        <w:t>赞皇县人民法院（本级）</w:t>
      </w:r>
    </w:p>
    <w:p>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eastAsia="zh-CN"/>
        </w:rPr>
        <w:t>九</w:t>
      </w:r>
      <w:r>
        <w:rPr>
          <w:rFonts w:ascii="Times New Roman" w:eastAsia="楷体_GB2312"/>
          <w:sz w:val="44"/>
          <w:szCs w:val="44"/>
        </w:rPr>
        <w:t>月</w:t>
      </w: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line="360" w:lineRule="auto"/>
        <w:jc w:val="center"/>
        <w:outlineLvl w:val="0"/>
        <w:rPr>
          <w:rFonts w:ascii="Times New Roman" w:eastAsia="黑体"/>
          <w:sz w:val="44"/>
          <w:szCs w:val="44"/>
        </w:rPr>
      </w:pPr>
      <w:r>
        <w:rPr>
          <w:rFonts w:ascii="Times New Roman" w:eastAsia="黑体"/>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360" w:lineRule="auto"/>
        <w:jc w:val="left"/>
        <w:rPr>
          <w:rFonts w:ascii="Times New Roman" w:eastAsia="黑体"/>
          <w:sz w:val="32"/>
          <w:szCs w:val="32"/>
        </w:rPr>
      </w:pPr>
      <w:r>
        <w:rPr>
          <w:rFonts w:ascii="Times New Roman" w:eastAsia="黑体"/>
          <w:sz w:val="32"/>
          <w:szCs w:val="32"/>
        </w:rPr>
        <w:t>第一部分单位概况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pPr>
        <w:widowControl/>
        <w:spacing w:line="360" w:lineRule="auto"/>
        <w:jc w:val="left"/>
        <w:outlineLvl w:val="0"/>
        <w:rPr>
          <w:rFonts w:ascii="Times New Roman" w:eastAsia="黑体"/>
          <w:sz w:val="32"/>
          <w:szCs w:val="32"/>
        </w:rPr>
      </w:pPr>
      <w:r>
        <w:rPr>
          <w:rFonts w:ascii="Times New Roman" w:eastAsia="黑体"/>
          <w:sz w:val="32"/>
          <w:szCs w:val="32"/>
        </w:rPr>
        <w:t>第二部分2024年度</w:t>
      </w:r>
      <w:r>
        <w:rPr>
          <w:rFonts w:hint="eastAsia" w:ascii="Times New Roman" w:eastAsia="黑体"/>
          <w:sz w:val="32"/>
          <w:szCs w:val="32"/>
          <w:lang w:eastAsia="zh-CN"/>
        </w:rPr>
        <w:t>单位</w:t>
      </w:r>
      <w:r>
        <w:rPr>
          <w:rFonts w:ascii="Times New Roman" w:eastAsia="黑体"/>
          <w:sz w:val="32"/>
          <w:szCs w:val="32"/>
        </w:rPr>
        <w:t>决算报表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pPr>
        <w:widowControl/>
        <w:spacing w:line="360" w:lineRule="auto"/>
        <w:jc w:val="left"/>
        <w:rPr>
          <w:rFonts w:ascii="Times New Roman" w:eastAsia="黑体"/>
          <w:sz w:val="32"/>
          <w:szCs w:val="32"/>
        </w:rPr>
      </w:pPr>
      <w:r>
        <w:rPr>
          <w:rFonts w:ascii="Times New Roman" w:eastAsia="黑体"/>
          <w:sz w:val="32"/>
          <w:szCs w:val="32"/>
        </w:rPr>
        <w:t>第三部分2024年度</w:t>
      </w:r>
      <w:r>
        <w:rPr>
          <w:rFonts w:hint="eastAsia" w:ascii="Times New Roman" w:eastAsia="黑体"/>
          <w:sz w:val="32"/>
          <w:szCs w:val="32"/>
          <w:lang w:eastAsia="zh-CN"/>
        </w:rPr>
        <w:t>单位</w:t>
      </w:r>
      <w:r>
        <w:rPr>
          <w:rFonts w:ascii="Times New Roman" w:eastAsia="黑体"/>
          <w:sz w:val="32"/>
          <w:szCs w:val="32"/>
        </w:rPr>
        <w:t>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pPr>
        <w:widowControl/>
        <w:spacing w:line="360" w:lineRule="auto"/>
        <w:jc w:val="left"/>
        <w:rPr>
          <w:rFonts w:ascii="Times New Roman" w:eastAsia="黑体"/>
          <w:sz w:val="32"/>
          <w:szCs w:val="32"/>
        </w:rPr>
      </w:pPr>
      <w:r>
        <w:rPr>
          <w:rFonts w:ascii="Times New Roman" w:eastAsia="黑体"/>
          <w:sz w:val="32"/>
          <w:szCs w:val="32"/>
        </w:rPr>
        <w:t>第四部分名词解释</w:t>
      </w:r>
    </w:p>
    <w:p>
      <w:pPr>
        <w:widowControl/>
        <w:spacing w:after="160" w:line="580" w:lineRule="exact"/>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第一部分单位概况</w:t>
      </w:r>
    </w:p>
    <w:p>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(二)依法审判法律规定由</w:t>
      </w:r>
      <w:r>
        <w:rPr>
          <w:rFonts w:hint="eastAsia" w:ascii="Times New Roman" w:eastAsia="仿宋_GB2312"/>
          <w:sz w:val="32"/>
          <w:szCs w:val="32"/>
          <w:lang w:eastAsia="zh-CN"/>
        </w:rPr>
        <w:t>赞皇</w:t>
      </w:r>
      <w:bookmarkStart w:id="18" w:name="_GoBack"/>
      <w:bookmarkEnd w:id="18"/>
      <w:r>
        <w:rPr>
          <w:rFonts w:hint="eastAsia" w:ascii="Times New Roman" w:eastAsia="仿宋_GB2312"/>
          <w:sz w:val="32"/>
          <w:szCs w:val="32"/>
        </w:rPr>
        <w:t>县人民法院管辖的刑</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(三)依法审判上级人民法院指定、同级人民法院移</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送的刑事、民事、行政等第一审案件。​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(四)审查和受理各类申诉案件，审判各类再审案件，</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处理来信来访。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(五)依法办理发生法律效力的民事、行政案件判决</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和裁定执行事项及刑事案件判决和裁定中关于财产部分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的执行事项；办理法律规定由基层人民法院执行的其他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法律文书的执行事项。​</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(六)负责审判工作的调查研究，总结审判工作经验。</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(七)负责干警思想政治教育和业务培训工作；按照</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权限管理法官和其他工作人员。​</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(八)管理有关经费和物资装备。​</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(九)负责司法技术鉴定、通讯、计算机等技术管理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工作。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(十)负责审判工作中的法制宣传，教育公民忠于祖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国，自觉遵守宪法、法律和社会公德。 ​</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(十一)完成其他应由</w:t>
      </w:r>
      <w:r>
        <w:rPr>
          <w:rFonts w:hint="eastAsia" w:ascii="Times New Roman" w:eastAsia="仿宋_GB2312"/>
          <w:sz w:val="32"/>
          <w:szCs w:val="32"/>
          <w:lang w:eastAsia="zh-CN"/>
        </w:rPr>
        <w:t>赞皇</w:t>
      </w:r>
      <w:r>
        <w:rPr>
          <w:rFonts w:hint="eastAsia" w:ascii="Times New Roman" w:eastAsia="仿宋_GB2312"/>
          <w:sz w:val="32"/>
          <w:szCs w:val="32"/>
        </w:rPr>
        <w:t>县人民法院负责的工作。</w:t>
      </w:r>
    </w:p>
    <w:p>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w:t>
      </w:r>
      <w:r>
        <w:rPr>
          <w:rFonts w:hint="eastAsia" w:ascii="Times New Roman" w:eastAsia="仿宋_GB2312"/>
          <w:sz w:val="32"/>
          <w:szCs w:val="32"/>
          <w:lang w:eastAsia="zh-CN"/>
        </w:rPr>
        <w:t>单位</w:t>
      </w:r>
      <w:r>
        <w:rPr>
          <w:rFonts w:ascii="Times New Roman" w:eastAsia="仿宋_GB2312"/>
          <w:sz w:val="32"/>
          <w:szCs w:val="32"/>
        </w:rPr>
        <w:t>决算汇编范围的独立核算单位（以下简称“单位”）共</w:t>
      </w:r>
      <w:r>
        <w:rPr>
          <w:rFonts w:hint="eastAsia" w:ascii="Times New Roman" w:eastAsia="仿宋_GB2312"/>
          <w:sz w:val="32"/>
          <w:szCs w:val="32"/>
        </w:rPr>
        <w:t>1</w:t>
      </w:r>
      <w:r>
        <w:rPr>
          <w:rFonts w:ascii="Times New Roman" w:eastAsia="仿宋_GB2312"/>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赞皇县人民法院（本级）</w:t>
            </w:r>
          </w:p>
        </w:tc>
        <w:tc>
          <w:tcPr>
            <w:tcW w:w="2445" w:type="dxa"/>
          </w:tcPr>
          <w:p>
            <w:pPr>
              <w:spacing w:line="560" w:lineRule="exact"/>
              <w:jc w:val="center"/>
              <w:rPr>
                <w:rFonts w:ascii="仿宋_GB2312" w:hAnsi="Calibri" w:eastAsia="仿宋_GB2312" w:cs="ArialUnicodeMS"/>
                <w:sz w:val="28"/>
                <w:szCs w:val="28"/>
              </w:rPr>
            </w:pPr>
            <w:r>
              <w:rPr>
                <w:rFonts w:ascii="宋体" w:hAnsi="宋体" w:eastAsia="宋体"/>
                <w:sz w:val="28"/>
                <w:szCs w:val="28"/>
              </w:rPr>
              <w:t>行政单位</w:t>
            </w:r>
          </w:p>
        </w:tc>
        <w:tc>
          <w:tcPr>
            <w:tcW w:w="2665" w:type="dxa"/>
          </w:tcPr>
          <w:p>
            <w:pPr>
              <w:spacing w:line="560" w:lineRule="exact"/>
              <w:jc w:val="center"/>
              <w:rPr>
                <w:rFonts w:ascii="仿宋_GB2312" w:hAnsi="Calibri" w:eastAsia="仿宋_GB2312" w:cs="ArialUnicodeMS"/>
                <w:sz w:val="28"/>
                <w:szCs w:val="28"/>
              </w:rPr>
            </w:pPr>
            <w:r>
              <w:rPr>
                <w:rFonts w:ascii="宋体" w:hAnsi="宋体" w:eastAsia="宋体"/>
                <w:sz w:val="28"/>
                <w:szCs w:val="28"/>
              </w:rPr>
              <w:t>财政拨款</w:t>
            </w:r>
          </w:p>
        </w:tc>
      </w:tr>
    </w:tbl>
    <w:p>
      <w:pPr>
        <w:widowControl/>
        <w:spacing w:line="360" w:lineRule="auto"/>
        <w:outlineLvl w:val="0"/>
        <w:rPr>
          <w:rFonts w:hint="eastAsia" w:ascii="Times New Roman" w:hAnsi="Times New Roman" w:eastAsia="黑体" w:cs="Times New Roman"/>
          <w:sz w:val="32"/>
          <w:szCs w:val="32"/>
        </w:rPr>
      </w:pPr>
    </w:p>
    <w:p>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tbl>
      <w:tblPr>
        <w:tblStyle w:val="11"/>
        <w:tblW w:w="11658" w:type="dxa"/>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Layout w:type="fixed"/>
          <w:tblCellMar>
            <w:top w:w="0" w:type="dxa"/>
            <w:left w:w="108" w:type="dxa"/>
            <w:bottom w:w="0" w:type="dxa"/>
            <w:right w:w="108" w:type="dxa"/>
          </w:tblCellMar>
        </w:tblPrEx>
        <w:trPr>
          <w:gridAfter w:val="1"/>
          <w:wAfter w:w="35" w:type="dxa"/>
          <w:trHeight w:val="361" w:hRule="atLeast"/>
        </w:trPr>
        <w:tc>
          <w:tcPr>
            <w:tcW w:w="11623" w:type="dxa"/>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Layout w:type="fixed"/>
          <w:tblCellMar>
            <w:top w:w="0" w:type="dxa"/>
            <w:left w:w="108" w:type="dxa"/>
            <w:bottom w:w="0" w:type="dxa"/>
            <w:right w:w="108" w:type="dxa"/>
          </w:tblCellMar>
        </w:tblPrEx>
        <w:trPr>
          <w:gridAfter w:val="1"/>
          <w:wAfter w:w="35" w:type="dxa"/>
          <w:trHeight w:val="357" w:hRule="atLeast"/>
        </w:trPr>
        <w:tc>
          <w:tcPr>
            <w:tcW w:w="11623" w:type="dxa"/>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gridAfter w:val="1"/>
          <w:wAfter w:w="35" w:type="dxa"/>
          <w:trHeight w:val="351" w:hRule="atLeast"/>
        </w:trPr>
        <w:tc>
          <w:tcPr>
            <w:tcW w:w="4579" w:type="dxa"/>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（单位）：赞皇县人民法院（本级）</w:t>
            </w:r>
          </w:p>
        </w:tc>
        <w:tc>
          <w:tcPr>
            <w:tcW w:w="2942" w:type="dxa"/>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4102" w:type="dxa"/>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gridAfter w:val="1"/>
          <w:wAfter w:w="35" w:type="dxa"/>
          <w:trHeight w:val="544" w:hRule="atLeast"/>
        </w:trPr>
        <w:tc>
          <w:tcPr>
            <w:tcW w:w="5896" w:type="dxa"/>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Layout w:type="fixed"/>
          <w:tblCellMar>
            <w:top w:w="0" w:type="dxa"/>
            <w:left w:w="108" w:type="dxa"/>
            <w:bottom w:w="0" w:type="dxa"/>
            <w:right w:w="108" w:type="dxa"/>
          </w:tblCellMar>
        </w:tblPrEx>
        <w:trPr>
          <w:gridAfter w:val="1"/>
          <w:wAfter w:w="35" w:type="dxa"/>
          <w:trHeight w:val="308"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93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931"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93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931"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1930" w:type="dxa"/>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1931"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1930" w:type="dxa"/>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1931"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308"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r>
      <w:tr>
        <w:tblPrEx>
          <w:tblLayout w:type="fixed"/>
          <w:tblCellMar>
            <w:top w:w="0" w:type="dxa"/>
            <w:left w:w="108" w:type="dxa"/>
            <w:bottom w:w="0" w:type="dxa"/>
            <w:right w:w="108" w:type="dxa"/>
          </w:tblCellMar>
        </w:tblPrEx>
        <w:trPr>
          <w:trHeight w:val="308" w:hRule="atLeast"/>
        </w:trPr>
        <w:tc>
          <w:tcPr>
            <w:tcW w:w="11658" w:type="dxa"/>
            <w:gridSpan w:val="9"/>
            <w:tcBorders>
              <w:top w:val="nil"/>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本年度的总收支和年末结转结余情况。</w:t>
            </w:r>
          </w:p>
          <w:p>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Ind w:w="0" w:type="dxa"/>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（单位）：赞皇县人民法院（本级）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1,780.82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1,780.82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公共安全支出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法院</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691.39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691.39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550.13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550.13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其他法院支出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310.48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310.48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2101103</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公务员医疗补助</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26.12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26.12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本年度取得的各项收入情况。</w:t>
            </w:r>
          </w:p>
        </w:tc>
      </w:tr>
    </w:tbl>
    <w:p>
      <w:pPr>
        <w:rPr>
          <w:rFonts w:ascii="仿宋_GB2312" w:hAnsi="宋体" w:eastAsia="仿宋_GB2312"/>
          <w:b/>
          <w:sz w:val="32"/>
          <w:szCs w:val="32"/>
        </w:rPr>
      </w:pPr>
    </w:p>
    <w:p>
      <w:pPr>
        <w:rPr>
          <w:rFonts w:ascii="黑体" w:hAnsi="黑体" w:eastAsia="黑体"/>
          <w:bCs/>
          <w:sz w:val="32"/>
          <w:szCs w:val="32"/>
        </w:rPr>
      </w:pPr>
      <w:r>
        <w:rPr>
          <w:rFonts w:hint="eastAsia" w:ascii="仿宋_GB2312" w:hAnsi="宋体" w:eastAsia="仿宋_GB2312"/>
          <w:b/>
          <w:sz w:val="32"/>
          <w:szCs w:val="32"/>
        </w:rPr>
        <w:br w:type="page"/>
      </w:r>
    </w:p>
    <w:tbl>
      <w:tblPr>
        <w:tblStyle w:val="11"/>
        <w:tblW w:w="9346" w:type="dxa"/>
        <w:jc w:val="center"/>
        <w:tblInd w:w="0" w:type="dxa"/>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（单位）：赞皇县人民法院（本级） </w:t>
            </w:r>
            <w:r>
              <w:rPr>
                <w:rFonts w:hint="eastAsia" w:asciiTheme="minorEastAsia" w:hAnsiTheme="minorEastAsia" w:cstheme="minorEastAsia"/>
                <w:color w:val="000000"/>
                <w:sz w:val="20"/>
                <w:szCs w:val="20"/>
                <w:lang w:bidi="ar"/>
              </w:rPr>
              <w:t xml:space="preserve">                                                                                                         </w:t>
            </w:r>
          </w:p>
        </w:tc>
        <w:tc>
          <w:tcPr>
            <w:tcW w:w="2622" w:type="dxa"/>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243" w:type="dxa"/>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1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1125"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1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1125"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11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1492"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87"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87" w:type="dxa"/>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87" w:type="dxa"/>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2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112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12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12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12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49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920.21</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法院</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2040599</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其他法院支出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本年度各项支出情况。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1708" w:type="dxa"/>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Layout w:type="fixed"/>
          <w:tblCellMar>
            <w:top w:w="0" w:type="dxa"/>
            <w:left w:w="108" w:type="dxa"/>
            <w:bottom w:w="0" w:type="dxa"/>
            <w:right w:w="108" w:type="dxa"/>
          </w:tblCellMar>
        </w:tblPrEx>
        <w:trPr>
          <w:trHeight w:val="550" w:hRule="atLeast"/>
        </w:trPr>
        <w:tc>
          <w:tcPr>
            <w:tcW w:w="11708" w:type="dxa"/>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Layout w:type="fixed"/>
          <w:tblCellMar>
            <w:top w:w="0" w:type="dxa"/>
            <w:left w:w="108" w:type="dxa"/>
            <w:bottom w:w="0" w:type="dxa"/>
            <w:right w:w="108" w:type="dxa"/>
          </w:tblCellMar>
        </w:tblPrEx>
        <w:trPr>
          <w:trHeight w:val="300" w:hRule="atLeast"/>
        </w:trPr>
        <w:tc>
          <w:tcPr>
            <w:tcW w:w="11708" w:type="dxa"/>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Layout w:type="fixed"/>
          <w:tblCellMar>
            <w:top w:w="0" w:type="dxa"/>
            <w:left w:w="108" w:type="dxa"/>
            <w:bottom w:w="0" w:type="dxa"/>
            <w:right w:w="108" w:type="dxa"/>
          </w:tblCellMar>
        </w:tblPrEx>
        <w:trPr>
          <w:trHeight w:val="300" w:hRule="atLeast"/>
        </w:trPr>
        <w:tc>
          <w:tcPr>
            <w:tcW w:w="5691" w:type="dxa"/>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（单位）：赞皇县人民法院（本级） </w:t>
            </w:r>
            <w:r>
              <w:rPr>
                <w:rFonts w:hint="eastAsia" w:asciiTheme="minorEastAsia" w:hAnsiTheme="minorEastAsia" w:cstheme="minorEastAsia"/>
                <w:color w:val="000000"/>
                <w:sz w:val="20"/>
                <w:szCs w:val="20"/>
                <w:lang w:bidi="ar"/>
              </w:rPr>
              <w:t xml:space="preserve">                                                                                                   </w:t>
            </w:r>
          </w:p>
        </w:tc>
        <w:tc>
          <w:tcPr>
            <w:tcW w:w="1520" w:type="dxa"/>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4497" w:type="dxa"/>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08" w:hRule="atLeast"/>
        </w:trPr>
        <w:tc>
          <w:tcPr>
            <w:tcW w:w="4033" w:type="dxa"/>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7675" w:type="dxa"/>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Layout w:type="fixed"/>
          <w:tblCellMar>
            <w:top w:w="0" w:type="dxa"/>
            <w:left w:w="108" w:type="dxa"/>
            <w:bottom w:w="0" w:type="dxa"/>
            <w:right w:w="108" w:type="dxa"/>
          </w:tblCellMar>
        </w:tblPrEx>
        <w:trPr>
          <w:trHeight w:val="312" w:hRule="atLeast"/>
        </w:trPr>
        <w:tc>
          <w:tcPr>
            <w:tcW w:w="1982"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62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428"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2096"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293" w:type="dxa"/>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218"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1218"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1227"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Layout w:type="fixed"/>
          <w:tblCellMar>
            <w:top w:w="0" w:type="dxa"/>
            <w:left w:w="108" w:type="dxa"/>
            <w:bottom w:w="0" w:type="dxa"/>
            <w:right w:w="108" w:type="dxa"/>
          </w:tblCellMar>
        </w:tblPrEx>
        <w:trPr>
          <w:trHeight w:val="312" w:hRule="atLeast"/>
        </w:trPr>
        <w:tc>
          <w:tcPr>
            <w:tcW w:w="1982"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28"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96"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293" w:type="dxa"/>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18"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18"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27"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42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2096"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29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21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121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1227" w:type="dxa"/>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142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1293" w:type="dxa"/>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142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1293" w:type="dxa"/>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1428"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1293" w:type="dxa"/>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1,780.82</w:t>
            </w:r>
          </w:p>
          <w:p>
            <w:pPr>
              <w:jc w:val="right"/>
              <w:rPr>
                <w:rFonts w:ascii="Times New Roman" w:hAnsi="Times New Roman" w:eastAsia="宋体" w:cs="Times New Roman"/>
                <w:color w:val="000000"/>
                <w:sz w:val="20"/>
                <w:szCs w:val="20"/>
              </w:rPr>
            </w:pPr>
          </w:p>
        </w:tc>
        <w:tc>
          <w:tcPr>
            <w:tcW w:w="1218"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1708" w:type="dxa"/>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8600" w:type="dxa"/>
        <w:tblInd w:w="-657" w:type="dxa"/>
        <w:tblLayout w:type="fixed"/>
        <w:tblCellMar>
          <w:top w:w="0" w:type="dxa"/>
          <w:left w:w="108" w:type="dxa"/>
          <w:bottom w:w="0" w:type="dxa"/>
          <w:right w:w="108" w:type="dxa"/>
        </w:tblCellMar>
      </w:tblPr>
      <w:tblGrid>
        <w:gridCol w:w="908"/>
        <w:gridCol w:w="3416"/>
        <w:gridCol w:w="322"/>
        <w:gridCol w:w="918"/>
        <w:gridCol w:w="1003"/>
        <w:gridCol w:w="378"/>
        <w:gridCol w:w="1655"/>
      </w:tblGrid>
      <w:tr>
        <w:tblPrEx>
          <w:tblLayout w:type="fixed"/>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Layout w:type="fixed"/>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29" w:hRule="atLeast"/>
        </w:trPr>
        <w:tc>
          <w:tcPr>
            <w:tcW w:w="4646" w:type="dxa"/>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（单位）：赞皇县人民法院（本级）</w:t>
            </w:r>
          </w:p>
        </w:tc>
        <w:tc>
          <w:tcPr>
            <w:tcW w:w="1921" w:type="dxa"/>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2033" w:type="dxa"/>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510"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4276"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Layout w:type="fixed"/>
          <w:tblCellMar>
            <w:top w:w="0" w:type="dxa"/>
            <w:left w:w="108" w:type="dxa"/>
            <w:bottom w:w="0" w:type="dxa"/>
            <w:right w:w="108" w:type="dxa"/>
          </w:tblCellMar>
        </w:tblPrEx>
        <w:trPr>
          <w:trHeight w:val="369"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2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38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65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Layout w:type="fixed"/>
          <w:tblCellMar>
            <w:top w:w="0" w:type="dxa"/>
            <w:left w:w="108" w:type="dxa"/>
            <w:bottom w:w="0" w:type="dxa"/>
            <w:right w:w="108" w:type="dxa"/>
          </w:tblCellMar>
        </w:tblPrEx>
        <w:trPr>
          <w:trHeight w:val="346"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38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6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69"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38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6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69"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655"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Layout w:type="fixed"/>
          <w:tblCellMar>
            <w:top w:w="0" w:type="dxa"/>
            <w:left w:w="108" w:type="dxa"/>
            <w:bottom w:w="0" w:type="dxa"/>
            <w:right w:w="108" w:type="dxa"/>
          </w:tblCellMar>
        </w:tblPrEx>
        <w:trPr>
          <w:trHeight w:val="369"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920.21</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法院</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2040599</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其他法院支出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1336" w:type="dxa"/>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Layout w:type="fixed"/>
          <w:tblCellMar>
            <w:top w:w="0" w:type="dxa"/>
            <w:left w:w="108" w:type="dxa"/>
            <w:bottom w:w="0" w:type="dxa"/>
            <w:right w:w="108" w:type="dxa"/>
          </w:tblCellMar>
        </w:tblPrEx>
        <w:trPr>
          <w:trHeight w:val="624" w:hRule="atLeast"/>
        </w:trPr>
        <w:tc>
          <w:tcPr>
            <w:tcW w:w="11336" w:type="dxa"/>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tblPrEx>
          <w:tblLayout w:type="fixed"/>
          <w:tblCellMar>
            <w:top w:w="0" w:type="dxa"/>
            <w:left w:w="108" w:type="dxa"/>
            <w:bottom w:w="0" w:type="dxa"/>
            <w:right w:w="108" w:type="dxa"/>
          </w:tblCellMar>
        </w:tblPrEx>
        <w:trPr>
          <w:trHeight w:val="300" w:hRule="atLeast"/>
        </w:trPr>
        <w:tc>
          <w:tcPr>
            <w:tcW w:w="11336" w:type="dxa"/>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90" w:hRule="atLeast"/>
        </w:trPr>
        <w:tc>
          <w:tcPr>
            <w:tcW w:w="5198" w:type="dxa"/>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（单位）：赞皇县人民法院（本级） </w:t>
            </w:r>
            <w:r>
              <w:rPr>
                <w:rFonts w:hint="eastAsia" w:asciiTheme="minorEastAsia" w:hAnsiTheme="minorEastAsia" w:cstheme="minorEastAsia"/>
                <w:color w:val="000000"/>
                <w:sz w:val="18"/>
                <w:szCs w:val="18"/>
                <w:lang w:bidi="ar"/>
              </w:rPr>
              <w:t xml:space="preserve">                                                                   </w:t>
            </w:r>
          </w:p>
        </w:tc>
        <w:tc>
          <w:tcPr>
            <w:tcW w:w="1961" w:type="dxa"/>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4177" w:type="dxa"/>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510" w:hRule="atLeast"/>
        </w:trPr>
        <w:tc>
          <w:tcPr>
            <w:tcW w:w="3794"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7542" w:type="dxa"/>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1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712.99</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145.63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241.23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3.42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77.52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220.07</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0.60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55.46</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4.48</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29.72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28.83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8.70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26.12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11.74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63.77</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2.52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61.59</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3.64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54.64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6.95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4.65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6.06</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29.70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32.14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8.25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2776"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774.58</w:t>
            </w:r>
          </w:p>
        </w:tc>
        <w:tc>
          <w:tcPr>
            <w:tcW w:w="6519"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145.63</w:t>
            </w:r>
          </w:p>
        </w:tc>
      </w:tr>
      <w:tr>
        <w:tblPrEx>
          <w:tblLayout w:type="fixed"/>
          <w:tblCellMar>
            <w:top w:w="0" w:type="dxa"/>
            <w:left w:w="108" w:type="dxa"/>
            <w:bottom w:w="0" w:type="dxa"/>
            <w:right w:w="108" w:type="dxa"/>
          </w:tblCellMar>
        </w:tblPrEx>
        <w:trPr>
          <w:trHeight w:val="510" w:hRule="atLeast"/>
        </w:trPr>
        <w:tc>
          <w:tcPr>
            <w:tcW w:w="11336" w:type="dxa"/>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0479" w:type="dxa"/>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Layout w:type="fixed"/>
          <w:tblCellMar>
            <w:top w:w="0" w:type="dxa"/>
            <w:left w:w="108" w:type="dxa"/>
            <w:bottom w:w="0" w:type="dxa"/>
            <w:right w:w="108" w:type="dxa"/>
          </w:tblCellMar>
        </w:tblPrEx>
        <w:trPr>
          <w:trHeight w:val="550" w:hRule="atLeast"/>
        </w:trPr>
        <w:tc>
          <w:tcPr>
            <w:tcW w:w="10479" w:type="dxa"/>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Layout w:type="fixed"/>
          <w:tblCellMar>
            <w:top w:w="0" w:type="dxa"/>
            <w:left w:w="108" w:type="dxa"/>
            <w:bottom w:w="0" w:type="dxa"/>
            <w:right w:w="108" w:type="dxa"/>
          </w:tblCellMar>
        </w:tblPrEx>
        <w:trPr>
          <w:trHeight w:val="90" w:hRule="atLeast"/>
        </w:trPr>
        <w:tc>
          <w:tcPr>
            <w:tcW w:w="10479" w:type="dxa"/>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trPr>
        <w:tc>
          <w:tcPr>
            <w:tcW w:w="4039" w:type="dxa"/>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（单位）：赞皇县人民法院（本级） </w:t>
            </w:r>
            <w:r>
              <w:rPr>
                <w:rFonts w:hint="eastAsia" w:ascii="宋体" w:hAnsi="宋体" w:eastAsia="宋体"/>
                <w:color w:val="000000"/>
                <w:sz w:val="20"/>
                <w:szCs w:val="20"/>
                <w:lang w:bidi="ar"/>
              </w:rPr>
              <w:t xml:space="preserve">                                                                                     </w:t>
            </w:r>
          </w:p>
        </w:tc>
        <w:tc>
          <w:tcPr>
            <w:tcW w:w="2551"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889" w:type="dxa"/>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10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3372"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2043"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47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19"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146"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2043" w:type="dxa"/>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7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19"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46"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43" w:type="dxa"/>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73" w:type="dxa"/>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19"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46"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43" w:type="dxa"/>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306" w:type="dxa"/>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1107"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111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1146"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204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Layout w:type="fixed"/>
          <w:tblCellMar>
            <w:top w:w="0" w:type="dxa"/>
            <w:left w:w="108" w:type="dxa"/>
            <w:bottom w:w="0" w:type="dxa"/>
            <w:right w:w="108" w:type="dxa"/>
          </w:tblCellMar>
        </w:tblPrEx>
        <w:trPr>
          <w:trHeight w:val="869" w:hRule="atLeast"/>
        </w:trPr>
        <w:tc>
          <w:tcPr>
            <w:tcW w:w="2733"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0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1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4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4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0479" w:type="dxa"/>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428" w:type="dxa"/>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tblPrEx>
          <w:tblLayout w:type="fixed"/>
          <w:tblCellMar>
            <w:top w:w="0" w:type="dxa"/>
            <w:left w:w="108" w:type="dxa"/>
            <w:bottom w:w="0" w:type="dxa"/>
            <w:right w:w="108" w:type="dxa"/>
          </w:tblCellMar>
        </w:tblPrEx>
        <w:trPr>
          <w:trHeight w:val="550" w:hRule="atLeast"/>
        </w:trPr>
        <w:tc>
          <w:tcPr>
            <w:tcW w:w="9428" w:type="dxa"/>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Layout w:type="fixed"/>
          <w:tblCellMar>
            <w:top w:w="0" w:type="dxa"/>
            <w:left w:w="108" w:type="dxa"/>
            <w:bottom w:w="0" w:type="dxa"/>
            <w:right w:w="108" w:type="dxa"/>
          </w:tblCellMar>
        </w:tblPrEx>
        <w:trPr>
          <w:trHeight w:val="300" w:hRule="atLeast"/>
        </w:trPr>
        <w:tc>
          <w:tcPr>
            <w:tcW w:w="9428" w:type="dxa"/>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trPr>
        <w:tc>
          <w:tcPr>
            <w:tcW w:w="3722" w:type="dxa"/>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（单位）：赞皇县人民法院（本级）</w:t>
            </w:r>
          </w:p>
        </w:tc>
        <w:tc>
          <w:tcPr>
            <w:tcW w:w="2679"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027" w:type="dxa"/>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12" w:hRule="atLeast"/>
        </w:trPr>
        <w:tc>
          <w:tcPr>
            <w:tcW w:w="5019"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4409" w:type="dxa"/>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Layout w:type="fixed"/>
          <w:tblCellMar>
            <w:top w:w="0" w:type="dxa"/>
            <w:left w:w="108" w:type="dxa"/>
            <w:bottom w:w="0" w:type="dxa"/>
            <w:right w:w="108" w:type="dxa"/>
          </w:tblCellMar>
        </w:tblPrEx>
        <w:trPr>
          <w:trHeight w:val="312" w:hRule="atLeast"/>
        </w:trPr>
        <w:tc>
          <w:tcPr>
            <w:tcW w:w="501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4409" w:type="dxa"/>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12" w:hRule="atLeast"/>
        </w:trPr>
        <w:tc>
          <w:tcPr>
            <w:tcW w:w="2992"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337" w:type="dxa"/>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337" w:type="dxa"/>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735" w:type="dxa"/>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Layout w:type="fixed"/>
          <w:tblCellMar>
            <w:top w:w="0" w:type="dxa"/>
            <w:left w:w="108" w:type="dxa"/>
            <w:bottom w:w="0" w:type="dxa"/>
            <w:right w:w="108" w:type="dxa"/>
          </w:tblCellMar>
        </w:tblPrEx>
        <w:trPr>
          <w:trHeight w:val="312" w:hRule="atLeast"/>
        </w:trPr>
        <w:tc>
          <w:tcPr>
            <w:tcW w:w="2992"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1337" w:type="dxa"/>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37" w:type="dxa"/>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735" w:type="dxa"/>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5019" w:type="dxa"/>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1337" w:type="dxa"/>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1331"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1741"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Layout w:type="fixed"/>
          <w:tblCellMar>
            <w:top w:w="0" w:type="dxa"/>
            <w:left w:w="108" w:type="dxa"/>
            <w:bottom w:w="0" w:type="dxa"/>
            <w:right w:w="108" w:type="dxa"/>
          </w:tblCellMar>
        </w:tblPrEx>
        <w:trPr>
          <w:trHeight w:val="308" w:hRule="atLeast"/>
        </w:trPr>
        <w:tc>
          <w:tcPr>
            <w:tcW w:w="5019"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1337" w:type="dxa"/>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31"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741"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9428" w:type="dxa"/>
            <w:gridSpan w:val="8"/>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本年度国有资本经营预算财政拨款支出情况。（如无相关数据，则需注明空表列示）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11595" w:type="dxa"/>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Layout w:type="fixed"/>
          <w:tblCellMar>
            <w:top w:w="0" w:type="dxa"/>
            <w:left w:w="108" w:type="dxa"/>
            <w:bottom w:w="0" w:type="dxa"/>
            <w:right w:w="108" w:type="dxa"/>
          </w:tblCellMar>
        </w:tblPrEx>
        <w:trPr>
          <w:trHeight w:val="550" w:hRule="atLeast"/>
        </w:trPr>
        <w:tc>
          <w:tcPr>
            <w:tcW w:w="11595" w:type="dxa"/>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Layout w:type="fixed"/>
          <w:tblCellMar>
            <w:top w:w="0" w:type="dxa"/>
            <w:left w:w="108" w:type="dxa"/>
            <w:bottom w:w="0" w:type="dxa"/>
            <w:right w:w="108" w:type="dxa"/>
          </w:tblCellMar>
        </w:tblPrEx>
        <w:trPr>
          <w:trHeight w:val="260" w:hRule="atLeast"/>
        </w:trPr>
        <w:tc>
          <w:tcPr>
            <w:tcW w:w="11595" w:type="dxa"/>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260" w:hRule="atLeast"/>
        </w:trPr>
        <w:tc>
          <w:tcPr>
            <w:tcW w:w="4489" w:type="dxa"/>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（单位）：赞皇县人民法院（本级）</w:t>
            </w:r>
          </w:p>
        </w:tc>
        <w:tc>
          <w:tcPr>
            <w:tcW w:w="2171"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4935" w:type="dxa"/>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31" w:hRule="atLeast"/>
        </w:trPr>
        <w:tc>
          <w:tcPr>
            <w:tcW w:w="5811" w:type="dxa"/>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5784" w:type="dxa"/>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431" w:hRule="atLeast"/>
        </w:trPr>
        <w:tc>
          <w:tcPr>
            <w:tcW w:w="985" w:type="dxa"/>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224"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2823" w:type="dxa"/>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779"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849"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32"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2611" w:type="dxa"/>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92"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Layout w:type="fixed"/>
          <w:tblCellMar>
            <w:top w:w="0" w:type="dxa"/>
            <w:left w:w="108" w:type="dxa"/>
            <w:bottom w:w="0" w:type="dxa"/>
            <w:right w:w="108" w:type="dxa"/>
          </w:tblCellMar>
        </w:tblPrEx>
        <w:trPr>
          <w:trHeight w:val="431" w:hRule="atLeast"/>
        </w:trPr>
        <w:tc>
          <w:tcPr>
            <w:tcW w:w="985" w:type="dxa"/>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1224"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812"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944"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067"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779"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849"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1132"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638"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948"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92"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431" w:hRule="atLeast"/>
        </w:trPr>
        <w:tc>
          <w:tcPr>
            <w:tcW w:w="985"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22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81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94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067"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779"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849"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3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638"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948"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19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Layout w:type="fixed"/>
          <w:tblCellMar>
            <w:top w:w="0" w:type="dxa"/>
            <w:left w:w="108" w:type="dxa"/>
            <w:bottom w:w="0" w:type="dxa"/>
            <w:right w:w="108" w:type="dxa"/>
          </w:tblCellMar>
        </w:tblPrEx>
        <w:trPr>
          <w:trHeight w:val="431" w:hRule="atLeast"/>
        </w:trPr>
        <w:tc>
          <w:tcPr>
            <w:tcW w:w="985" w:type="dxa"/>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224"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81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944"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067"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779"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849"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13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638"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025"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948"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19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Layout w:type="fixed"/>
          <w:tblCellMar>
            <w:top w:w="0" w:type="dxa"/>
            <w:left w:w="108" w:type="dxa"/>
            <w:bottom w:w="0" w:type="dxa"/>
            <w:right w:w="108" w:type="dxa"/>
          </w:tblCellMar>
        </w:tblPrEx>
        <w:trPr>
          <w:trHeight w:val="431" w:hRule="atLeast"/>
        </w:trPr>
        <w:tc>
          <w:tcPr>
            <w:tcW w:w="11595" w:type="dxa"/>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pPr>
    </w:p>
    <w:p>
      <w:pPr>
        <w:rPr>
          <w:rFonts w:ascii="仿宋_GB2312" w:hAnsi="宋体" w:eastAsia="仿宋_GB2312"/>
          <w:b/>
          <w:sz w:val="32"/>
          <w:szCs w:val="32"/>
        </w:rPr>
        <w:sectPr>
          <w:headerReference r:id="rId8" w:type="default"/>
          <w:pgSz w:w="11906" w:h="16838"/>
          <w:pgMar w:top="1531" w:right="1984" w:bottom="1531" w:left="2098" w:header="851" w:footer="992" w:gutter="0"/>
          <w:cols w:space="720" w:num="1"/>
          <w:docGrid w:type="lines" w:linePitch="312" w:charSpace="0"/>
        </w:sectPr>
      </w:pPr>
      <w:r>
        <w:rPr>
          <w:rFonts w:hint="eastAsia" w:ascii="仿宋_GB2312" w:hAnsi="宋体" w:eastAsia="仿宋_GB2312"/>
          <w:b/>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本单位2024年度收、支总计（含结转和结余）均为1,780.82万元。与2023年度决算相比，收支各增加56.66万元，增长3.3%，主要原因是</w:t>
      </w:r>
      <w:r>
        <w:rPr>
          <w:rFonts w:ascii="宋体" w:hAnsi="宋体" w:eastAsia="宋体"/>
          <w:sz w:val="32"/>
          <w:szCs w:val="32"/>
        </w:rPr>
        <w:t>人员经费及项目经费收支增加</w:t>
      </w:r>
      <w:r>
        <w:rPr>
          <w:rFonts w:ascii="Times New Roman" w:eastAsia="仿宋_GB2312"/>
          <w:sz w:val="32"/>
          <w:szCs w:val="32"/>
        </w:rPr>
        <w:t>。</w:t>
      </w:r>
    </w:p>
    <w:p>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hAnsi="Times New Roman" w:eastAsia="Arial"/>
          <w:color w:val="000000"/>
          <w:sz w:val="18"/>
          <w:szCs w:val="18"/>
          <w:shd w:val="clear" w:color="auto"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1,780.82万元，其中：财政拨款收入1,780.82万元，占100.0%；上级补助收入0.00万元，占0.0%；事业收入0.00万元，占0.0%；经营收入0.00万元，占0.0%；附属单位上缴收入0.00万元，占0.0%；其他收入0.00万元，占0.0%。</w:t>
      </w:r>
    </w:p>
    <w:p>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本单位2024年度本年支出合计1,780.82万元，其中：基本支出920.21万元，占51.7%；项目支出860.61万元，占48.3%；上缴上级支出0.00万元，占0.0%；经营支出0.00万元，占0.0%；对附属单位补助支出0.00万元，占0.0%。</w:t>
      </w:r>
    </w:p>
    <w:p>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line="360" w:lineRule="auto"/>
        <w:ind w:firstLine="640" w:firstLineChars="200"/>
        <w:jc w:val="left"/>
        <w:rPr>
          <w:rFonts w:hint="eastAsia" w:ascii="宋体" w:hAnsi="宋体" w:eastAsia="宋体"/>
          <w:sz w:val="32"/>
          <w:szCs w:val="32"/>
        </w:rPr>
      </w:pPr>
      <w:r>
        <w:rPr>
          <w:rFonts w:ascii="Times New Roman" w:eastAsia="仿宋_GB2312"/>
          <w:sz w:val="32"/>
          <w:szCs w:val="32"/>
        </w:rPr>
        <w:t>本单位2024年度财政拨款收、支总计（含结转和结余）均为1,780.82万元。与2023年度相比，财政拨款收支各增加56.66万元，增长3.3%，主要原因是</w:t>
      </w:r>
      <w:r>
        <w:rPr>
          <w:rFonts w:ascii="宋体" w:hAnsi="宋体" w:eastAsia="宋体"/>
          <w:sz w:val="32"/>
          <w:szCs w:val="32"/>
        </w:rPr>
        <w:t>人员经费及项目经费收支增加</w:t>
      </w:r>
      <w:r>
        <w:rPr>
          <w:rFonts w:hint="eastAsia" w:ascii="宋体" w:hAnsi="宋体" w:eastAsia="宋体"/>
          <w:sz w:val="32"/>
          <w:szCs w:val="32"/>
        </w:rPr>
        <w:t>。</w:t>
      </w:r>
    </w:p>
    <w:p>
      <w:pPr>
        <w:widowControl/>
        <w:spacing w:line="360" w:lineRule="auto"/>
        <w:ind w:firstLine="640" w:firstLineChars="200"/>
        <w:jc w:val="left"/>
        <w:rPr>
          <w:rFonts w:hint="eastAsia" w:ascii="Times New Roman" w:eastAsia="仿宋_GB2312"/>
          <w:sz w:val="32"/>
          <w:szCs w:val="32"/>
        </w:rPr>
      </w:pPr>
      <w:r>
        <w:rPr>
          <w:rFonts w:ascii="Times New Roman" w:eastAsia="仿宋_GB2312"/>
          <w:sz w:val="32"/>
          <w:szCs w:val="32"/>
        </w:rPr>
        <w:t>本单位2024</w:t>
      </w:r>
      <w:r>
        <w:rPr>
          <w:rFonts w:hint="eastAsia" w:ascii="宋体" w:hAnsi="宋体" w:eastAsia="宋体"/>
          <w:sz w:val="32"/>
          <w:szCs w:val="32"/>
        </w:rPr>
        <w:t>年度财政拨款</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年收入</w:t>
      </w:r>
      <w:r>
        <w:rPr>
          <w:rFonts w:ascii="Times New Roman" w:eastAsia="仿宋_GB2312"/>
          <w:sz w:val="32"/>
          <w:szCs w:val="32"/>
        </w:rPr>
        <w:t>1,780.82</w:t>
      </w:r>
      <w:r>
        <w:rPr>
          <w:rFonts w:hint="eastAsia" w:ascii="宋体" w:hAnsi="宋体" w:eastAsia="宋体"/>
          <w:sz w:val="32"/>
          <w:szCs w:val="32"/>
        </w:rPr>
        <w:t>万元</w:t>
      </w:r>
      <w:r>
        <w:rPr>
          <w:rFonts w:ascii="Times New Roman" w:eastAsia="仿宋_GB2312"/>
          <w:sz w:val="32"/>
          <w:szCs w:val="32"/>
        </w:rPr>
        <w:t>,</w:t>
      </w:r>
      <w:r>
        <w:rPr>
          <w:rFonts w:hint="eastAsia" w:ascii="宋体" w:hAnsi="宋体" w:eastAsia="宋体"/>
          <w:sz w:val="32"/>
          <w:szCs w:val="32"/>
        </w:rPr>
        <w:t>比上年增加</w:t>
      </w:r>
      <w:r>
        <w:rPr>
          <w:rFonts w:ascii="Times New Roman" w:eastAsia="仿宋_GB2312"/>
          <w:sz w:val="32"/>
          <w:szCs w:val="32"/>
        </w:rPr>
        <w:t>56.66</w:t>
      </w:r>
      <w:r>
        <w:rPr>
          <w:rFonts w:hint="eastAsia" w:ascii="宋体" w:hAnsi="宋体" w:eastAsia="宋体"/>
          <w:sz w:val="32"/>
          <w:szCs w:val="32"/>
        </w:rPr>
        <w:t>万元，增长</w:t>
      </w:r>
      <w:r>
        <w:rPr>
          <w:rFonts w:ascii="Times New Roman" w:eastAsia="仿宋_GB2312"/>
          <w:sz w:val="32"/>
          <w:szCs w:val="32"/>
        </w:rPr>
        <w:t>3.3%</w:t>
      </w:r>
      <w:r>
        <w:rPr>
          <w:rFonts w:hint="eastAsia" w:ascii="宋体" w:hAnsi="宋体" w:eastAsia="宋体"/>
          <w:sz w:val="32"/>
          <w:szCs w:val="32"/>
        </w:rPr>
        <w:t>，主要原因是；</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年支出</w:t>
      </w:r>
      <w:r>
        <w:rPr>
          <w:rFonts w:ascii="Times New Roman" w:eastAsia="仿宋_GB2312"/>
          <w:sz w:val="32"/>
          <w:szCs w:val="32"/>
        </w:rPr>
        <w:t>1,780.82</w:t>
      </w:r>
      <w:r>
        <w:rPr>
          <w:rFonts w:hint="eastAsia" w:ascii="宋体" w:hAnsi="宋体" w:eastAsia="宋体"/>
          <w:sz w:val="32"/>
          <w:szCs w:val="32"/>
        </w:rPr>
        <w:t>万元，比上年增加</w:t>
      </w:r>
      <w:r>
        <w:rPr>
          <w:rFonts w:ascii="Times New Roman" w:eastAsia="仿宋_GB2312"/>
          <w:sz w:val="32"/>
          <w:szCs w:val="32"/>
        </w:rPr>
        <w:t>56.66</w:t>
      </w:r>
      <w:r>
        <w:rPr>
          <w:rFonts w:hint="eastAsia" w:ascii="宋体" w:hAnsi="宋体" w:eastAsia="宋体"/>
          <w:sz w:val="32"/>
          <w:szCs w:val="32"/>
        </w:rPr>
        <w:t>万元，增长</w:t>
      </w:r>
      <w:r>
        <w:rPr>
          <w:rFonts w:ascii="Times New Roman" w:eastAsia="仿宋_GB2312"/>
          <w:sz w:val="32"/>
          <w:szCs w:val="32"/>
        </w:rPr>
        <w:t>3.3%</w:t>
      </w:r>
      <w:r>
        <w:rPr>
          <w:rFonts w:hint="eastAsia" w:ascii="宋体" w:hAnsi="宋体" w:eastAsia="宋体"/>
          <w:sz w:val="32"/>
          <w:szCs w:val="32"/>
        </w:rPr>
        <w:t>，主要原因是</w:t>
      </w:r>
      <w:r>
        <w:rPr>
          <w:rFonts w:ascii="宋体" w:hAnsi="宋体" w:eastAsia="宋体"/>
          <w:sz w:val="32"/>
          <w:szCs w:val="32"/>
        </w:rPr>
        <w:t>人员经费及项目经费收支增加</w:t>
      </w:r>
      <w:r>
        <w:rPr>
          <w:rFonts w:hint="eastAsia" w:ascii="宋体" w:hAnsi="宋体" w:eastAsia="宋体"/>
          <w:sz w:val="32"/>
          <w:szCs w:val="32"/>
        </w:rPr>
        <w:t>。</w:t>
      </w:r>
      <w:r>
        <w:rPr>
          <w:rFonts w:ascii="Times New Roman" w:eastAsia="仿宋_GB2312"/>
          <w:sz w:val="32"/>
          <w:szCs w:val="32"/>
        </w:rPr>
        <w:t>本单位</w:t>
      </w:r>
      <w:r>
        <w:rPr>
          <w:rFonts w:hint="eastAsia" w:ascii="Times New Roman" w:eastAsia="仿宋_GB2312"/>
          <w:sz w:val="32"/>
          <w:szCs w:val="32"/>
        </w:rPr>
        <w:t>2024</w:t>
      </w:r>
      <w:r>
        <w:rPr>
          <w:rFonts w:hint="eastAsia" w:ascii="宋体" w:hAnsi="宋体" w:eastAsia="宋体"/>
          <w:sz w:val="32"/>
          <w:szCs w:val="32"/>
        </w:rPr>
        <w:t>年度无政府</w:t>
      </w:r>
      <w:r>
        <w:rPr>
          <w:rFonts w:hint="eastAsia" w:ascii="___WRD_EMBED_SUB_45" w:hAnsi="___WRD_EMBED_SUB_45" w:eastAsia="___WRD_EMBED_SUB_45" w:cs="___WRD_EMBED_SUB_45"/>
          <w:sz w:val="32"/>
          <w:szCs w:val="32"/>
        </w:rPr>
        <w:t>性基</w:t>
      </w:r>
      <w:r>
        <w:rPr>
          <w:rFonts w:hint="eastAsia" w:ascii="宋体" w:hAnsi="宋体" w:eastAsia="宋体"/>
          <w:sz w:val="32"/>
          <w:szCs w:val="32"/>
        </w:rPr>
        <w:t>金预算财政拨款</w:t>
      </w:r>
      <w:r>
        <w:rPr>
          <w:rFonts w:ascii="宋体" w:hAnsi="宋体" w:eastAsia="宋体"/>
          <w:sz w:val="32"/>
          <w:szCs w:val="32"/>
        </w:rPr>
        <w:t>收入和</w:t>
      </w:r>
      <w:r>
        <w:rPr>
          <w:rFonts w:hint="eastAsia" w:ascii="宋体" w:hAnsi="宋体" w:eastAsia="宋体"/>
          <w:sz w:val="32"/>
          <w:szCs w:val="32"/>
        </w:rPr>
        <w:t>国有资</w:t>
      </w:r>
      <w:r>
        <w:rPr>
          <w:rFonts w:hint="eastAsia" w:ascii="___WRD_EMBED_SUB_45" w:hAnsi="___WRD_EMBED_SUB_45" w:eastAsia="___WRD_EMBED_SUB_45" w:cs="___WRD_EMBED_SUB_45"/>
          <w:sz w:val="32"/>
          <w:szCs w:val="32"/>
        </w:rPr>
        <w:t>本经</w:t>
      </w:r>
      <w:r>
        <w:rPr>
          <w:rFonts w:hint="eastAsia" w:ascii="宋体" w:hAnsi="宋体" w:eastAsia="宋体"/>
          <w:sz w:val="32"/>
          <w:szCs w:val="32"/>
        </w:rPr>
        <w:t>营预算财政拨款收入。</w:t>
      </w:r>
    </w:p>
    <w:p>
      <w:pPr>
        <w:widowControl/>
        <w:spacing w:line="360" w:lineRule="auto"/>
        <w:ind w:firstLine="640" w:firstLineChars="200"/>
        <w:jc w:val="left"/>
        <w:rPr>
          <w:rFonts w:ascii="Times New Roman" w:eastAsia="仿宋_GB2312"/>
          <w:sz w:val="32"/>
          <w:szCs w:val="32"/>
        </w:rPr>
      </w:pPr>
    </w:p>
    <w:p>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line="360" w:lineRule="auto"/>
        <w:ind w:firstLine="640" w:firstLineChars="200"/>
        <w:jc w:val="left"/>
        <w:rPr>
          <w:rFonts w:hint="eastAsia" w:ascii="Times New Roman" w:eastAsia="仿宋_GB2312"/>
          <w:sz w:val="32"/>
          <w:szCs w:val="32"/>
        </w:rPr>
      </w:pPr>
      <w:r>
        <w:rPr>
          <w:rFonts w:ascii="Times New Roman" w:eastAsia="仿宋_GB2312"/>
          <w:sz w:val="32"/>
          <w:szCs w:val="32"/>
        </w:rPr>
        <w:t>本单位2024</w:t>
      </w:r>
      <w:r>
        <w:rPr>
          <w:rFonts w:hint="eastAsia" w:ascii="宋体" w:hAnsi="宋体" w:eastAsia="宋体"/>
          <w:sz w:val="32"/>
          <w:szCs w:val="32"/>
        </w:rPr>
        <w:t>年度财政拨款</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年收入</w:t>
      </w:r>
      <w:r>
        <w:rPr>
          <w:rFonts w:ascii="Times New Roman" w:eastAsia="仿宋_GB2312"/>
          <w:sz w:val="32"/>
          <w:szCs w:val="32"/>
        </w:rPr>
        <w:t>1,780.82</w:t>
      </w:r>
      <w:r>
        <w:rPr>
          <w:rFonts w:hint="eastAsia" w:ascii="宋体" w:hAnsi="宋体" w:eastAsia="宋体"/>
          <w:sz w:val="32"/>
          <w:szCs w:val="32"/>
        </w:rPr>
        <w:t>万元，完成年初预算的</w:t>
      </w:r>
      <w:r>
        <w:rPr>
          <w:rFonts w:ascii="Times New Roman" w:eastAsia="仿宋_GB2312"/>
          <w:sz w:val="32"/>
          <w:szCs w:val="32"/>
        </w:rPr>
        <w:t>91.1%</w:t>
      </w:r>
      <w:r>
        <w:rPr>
          <w:rFonts w:hint="eastAsia" w:ascii="宋体" w:hAnsi="宋体" w:eastAsia="宋体"/>
          <w:sz w:val="32"/>
          <w:szCs w:val="32"/>
        </w:rPr>
        <w:t>，比年初预算减少</w:t>
      </w:r>
      <w:r>
        <w:rPr>
          <w:rFonts w:ascii="Times New Roman" w:eastAsia="仿宋_GB2312"/>
          <w:sz w:val="32"/>
          <w:szCs w:val="32"/>
        </w:rPr>
        <w:t>174.13</w:t>
      </w:r>
      <w:r>
        <w:rPr>
          <w:rFonts w:hint="eastAsia" w:ascii="宋体" w:hAnsi="宋体" w:eastAsia="宋体"/>
          <w:sz w:val="32"/>
          <w:szCs w:val="32"/>
        </w:rPr>
        <w:t>万元，决算数小于预算数主要原因是厉行节约，减少支出；</w:t>
      </w:r>
      <w:r>
        <w:rPr>
          <w:rFonts w:ascii="Times New Roman" w:eastAsia="仿宋_GB2312"/>
          <w:sz w:val="32"/>
          <w:szCs w:val="32"/>
        </w:rPr>
        <w:t>本</w:t>
      </w:r>
      <w:r>
        <w:rPr>
          <w:rFonts w:hint="eastAsia" w:ascii="宋体" w:hAnsi="宋体" w:eastAsia="宋体"/>
          <w:sz w:val="32"/>
          <w:szCs w:val="32"/>
        </w:rPr>
        <w:t>年支出</w:t>
      </w:r>
      <w:r>
        <w:rPr>
          <w:rFonts w:ascii="Times New Roman" w:eastAsia="仿宋_GB2312"/>
          <w:sz w:val="32"/>
          <w:szCs w:val="32"/>
        </w:rPr>
        <w:t>1,780.82</w:t>
      </w:r>
      <w:r>
        <w:rPr>
          <w:rFonts w:hint="eastAsia" w:ascii="宋体" w:hAnsi="宋体" w:eastAsia="宋体"/>
          <w:sz w:val="32"/>
          <w:szCs w:val="32"/>
        </w:rPr>
        <w:t>万元，完成年初预算的</w:t>
      </w:r>
      <w:r>
        <w:rPr>
          <w:rFonts w:ascii="Times New Roman" w:eastAsia="仿宋_GB2312"/>
          <w:sz w:val="32"/>
          <w:szCs w:val="32"/>
        </w:rPr>
        <w:t>91.1%</w:t>
      </w:r>
      <w:r>
        <w:rPr>
          <w:rFonts w:hint="eastAsia" w:ascii="宋体" w:hAnsi="宋体" w:eastAsia="宋体"/>
          <w:sz w:val="32"/>
          <w:szCs w:val="32"/>
        </w:rPr>
        <w:t>，比年初预算减少</w:t>
      </w:r>
      <w:r>
        <w:rPr>
          <w:rFonts w:ascii="Times New Roman" w:eastAsia="仿宋_GB2312"/>
          <w:sz w:val="32"/>
          <w:szCs w:val="32"/>
        </w:rPr>
        <w:t>174.13</w:t>
      </w:r>
      <w:r>
        <w:rPr>
          <w:rFonts w:hint="eastAsia" w:ascii="宋体" w:hAnsi="宋体" w:eastAsia="宋体"/>
          <w:sz w:val="32"/>
          <w:szCs w:val="32"/>
        </w:rPr>
        <w:t>万元，决算数小于预算数</w:t>
      </w:r>
      <w:r>
        <w:rPr>
          <w:rFonts w:hint="eastAsia" w:ascii="Times New Roman" w:eastAsia="仿宋_GB2312"/>
          <w:sz w:val="32"/>
          <w:szCs w:val="32"/>
        </w:rPr>
        <w:t>主要原因是</w:t>
      </w:r>
      <w:r>
        <w:rPr>
          <w:rFonts w:ascii="Times New Roman" w:eastAsia="仿宋_GB2312"/>
          <w:sz w:val="32"/>
          <w:szCs w:val="32"/>
        </w:rPr>
        <w:t>厉行节约</w:t>
      </w:r>
      <w:r>
        <w:rPr>
          <w:rFonts w:hint="eastAsia" w:ascii="Times New Roman" w:eastAsia="仿宋_GB2312"/>
          <w:sz w:val="32"/>
          <w:szCs w:val="32"/>
        </w:rPr>
        <w:t>，</w:t>
      </w:r>
      <w:r>
        <w:rPr>
          <w:rFonts w:ascii="Times New Roman" w:eastAsia="仿宋_GB2312"/>
          <w:sz w:val="32"/>
          <w:szCs w:val="32"/>
        </w:rPr>
        <w:t>减少支出</w:t>
      </w:r>
      <w:r>
        <w:rPr>
          <w:rFonts w:hint="eastAsia" w:ascii="Times New Roman" w:eastAsia="仿宋_GB2312"/>
          <w:sz w:val="32"/>
          <w:szCs w:val="32"/>
        </w:rPr>
        <w:t>。</w:t>
      </w:r>
      <w:r>
        <w:rPr>
          <w:rFonts w:ascii="Times New Roman" w:eastAsia="仿宋_GB2312"/>
          <w:sz w:val="32"/>
          <w:szCs w:val="32"/>
        </w:rPr>
        <w:t>本单位</w:t>
      </w:r>
      <w:r>
        <w:rPr>
          <w:rFonts w:hint="eastAsia" w:ascii="Times New Roman" w:eastAsia="仿宋_GB2312"/>
          <w:sz w:val="32"/>
          <w:szCs w:val="32"/>
        </w:rPr>
        <w:t>2024</w:t>
      </w:r>
      <w:r>
        <w:rPr>
          <w:rFonts w:hint="eastAsia" w:ascii="宋体" w:hAnsi="宋体" w:eastAsia="宋体"/>
          <w:sz w:val="32"/>
          <w:szCs w:val="32"/>
        </w:rPr>
        <w:t>年度无政府</w:t>
      </w:r>
      <w:r>
        <w:rPr>
          <w:rFonts w:hint="eastAsia" w:ascii="___WRD_EMBED_SUB_45" w:hAnsi="___WRD_EMBED_SUB_45" w:eastAsia="___WRD_EMBED_SUB_45" w:cs="___WRD_EMBED_SUB_45"/>
          <w:sz w:val="32"/>
          <w:szCs w:val="32"/>
        </w:rPr>
        <w:t>性基</w:t>
      </w:r>
      <w:r>
        <w:rPr>
          <w:rFonts w:hint="eastAsia" w:ascii="宋体" w:hAnsi="宋体" w:eastAsia="宋体"/>
          <w:sz w:val="32"/>
          <w:szCs w:val="32"/>
        </w:rPr>
        <w:t>金预算财政拨款</w:t>
      </w:r>
      <w:r>
        <w:rPr>
          <w:rFonts w:ascii="宋体" w:hAnsi="宋体" w:eastAsia="宋体"/>
          <w:sz w:val="32"/>
          <w:szCs w:val="32"/>
        </w:rPr>
        <w:t>收入和</w:t>
      </w:r>
      <w:r>
        <w:rPr>
          <w:rFonts w:hint="eastAsia" w:ascii="宋体" w:hAnsi="宋体" w:eastAsia="宋体"/>
          <w:sz w:val="32"/>
          <w:szCs w:val="32"/>
        </w:rPr>
        <w:t>国有资</w:t>
      </w:r>
      <w:r>
        <w:rPr>
          <w:rFonts w:hint="eastAsia" w:ascii="___WRD_EMBED_SUB_45" w:hAnsi="___WRD_EMBED_SUB_45" w:eastAsia="___WRD_EMBED_SUB_45" w:cs="___WRD_EMBED_SUB_45"/>
          <w:sz w:val="32"/>
          <w:szCs w:val="32"/>
        </w:rPr>
        <w:t>本经</w:t>
      </w:r>
      <w:r>
        <w:rPr>
          <w:rFonts w:hint="eastAsia" w:ascii="宋体" w:hAnsi="宋体" w:eastAsia="宋体"/>
          <w:sz w:val="32"/>
          <w:szCs w:val="32"/>
        </w:rPr>
        <w:t>营预算财政拨款收入。</w:t>
      </w:r>
    </w:p>
    <w:p>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2024年度财政拨款支出1,780.82万元，主要用于以下方面：</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共安全类（类）支出1,552.00万元，占87.2%，主要用于等支出；社会保障和就业（类）支出110.10万元，占6.2%，主要用于等支出；卫生健康（类）支出54.95万元，占3.1%，主要用于等支出；；住房保障（类）支出63.77万元，占3.6%，主要用于等支出</w:t>
      </w:r>
      <w:r>
        <w:rPr>
          <w:rFonts w:hint="eastAsia" w:ascii="宋体" w:hAnsi="宋体" w:eastAsia="宋体"/>
          <w:sz w:val="32"/>
          <w:szCs w:val="32"/>
        </w:rPr>
        <w:t>。</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2024年度财政拨款基本支出920.21万元，其中：</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人员经费774.58万元，主要包括基本工资、津贴补贴、奖金、伙食补助费、绩效工资、机关事业</w:t>
      </w:r>
      <w:r>
        <w:rPr>
          <w:rFonts w:hint="eastAsia" w:ascii="Times New Roman" w:eastAsia="仿宋_GB2312"/>
          <w:sz w:val="32"/>
          <w:szCs w:val="32"/>
          <w:lang w:eastAsia="zh-CN"/>
        </w:rPr>
        <w:t>单位</w:t>
      </w:r>
      <w:r>
        <w:rPr>
          <w:rFonts w:ascii="Times New Roman" w:eastAsia="仿宋_GB2312"/>
          <w:sz w:val="32"/>
          <w:szCs w:val="32"/>
        </w:rPr>
        <w:t>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145.63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五、财政拨款“三公”经费支出决算情况说明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29.70万元，支出决算为29.70万元，完成预算的100.0%，较预算增加0.00万元，增长0.0%，主要原因是；较2023年度决算减少0.98万元，降低3.2%，主要原因是本年公务用车购置费支出减少。</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本单位2024年度因公出国（境）费支出预算为0.00万元,支出决算0.00万元。完成预算的0.0%。因公出国（境）费支出于上年预算持平</w:t>
      </w:r>
      <w:r>
        <w:rPr>
          <w:rFonts w:hint="eastAsia"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本单位2024年度公务用车购置及运行维护费预算为29.70万元，支出决算29.70万元，完成预算的100.0%,与本年预算持平 ,主要原因是</w:t>
      </w:r>
      <w:bookmarkStart w:id="0" w:name="OLE_LINK1"/>
      <w:r>
        <w:rPr>
          <w:rFonts w:ascii="Times New Roman" w:eastAsia="仿宋_GB2312"/>
          <w:sz w:val="32"/>
          <w:szCs w:val="32"/>
        </w:rPr>
        <w:t>厉行节约</w:t>
      </w:r>
      <w:r>
        <w:rPr>
          <w:rFonts w:hint="eastAsia" w:ascii="Times New Roman" w:eastAsia="仿宋_GB2312"/>
          <w:sz w:val="32"/>
          <w:szCs w:val="32"/>
        </w:rPr>
        <w:t>，</w:t>
      </w:r>
      <w:r>
        <w:rPr>
          <w:rFonts w:ascii="Times New Roman" w:eastAsia="仿宋_GB2312"/>
          <w:sz w:val="32"/>
          <w:szCs w:val="32"/>
        </w:rPr>
        <w:t>减少支出</w:t>
      </w:r>
      <w:bookmarkEnd w:id="0"/>
      <w:r>
        <w:rPr>
          <w:rFonts w:ascii="Times New Roman" w:eastAsia="仿宋_GB2312"/>
          <w:sz w:val="32"/>
          <w:szCs w:val="32"/>
        </w:rPr>
        <w:t>；较上年减少0.98万元，降低3.2%,主要原因是公务用车购置费支出减少。其中：</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万元。公务用车购置费支出较预算增加0.00万元，增长0.0%,主要原因是；较上年增加0.00万元，增长0.00%,主要原因是本年未发生公务用车购置业务。</w:t>
      </w:r>
    </w:p>
    <w:p>
      <w:pPr>
        <w:widowControl/>
        <w:spacing w:line="360" w:lineRule="auto"/>
        <w:ind w:firstLine="643" w:firstLineChars="200"/>
        <w:rPr>
          <w:rFonts w:ascii="Times New Roman" w:eastAsia="仿宋_GB2312"/>
          <w:sz w:val="32"/>
          <w:szCs w:val="32"/>
        </w:rPr>
      </w:pPr>
      <w:r>
        <w:rPr>
          <w:rFonts w:ascii="Times New Roman" w:eastAsia="仿宋_GB2312"/>
          <w:b/>
          <w:sz w:val="32"/>
          <w:szCs w:val="32"/>
        </w:rPr>
        <w:t>公务用车运行维护费支出29.70万元：</w:t>
      </w:r>
      <w:r>
        <w:rPr>
          <w:rFonts w:ascii="Times New Roman" w:eastAsia="仿宋_GB2312"/>
          <w:sz w:val="32"/>
          <w:szCs w:val="32"/>
        </w:rPr>
        <w:t>本单位2024年度单位公务用车保有量10辆，发生运行维护费支出29.70万元。公车运行维护费支出与上年预算持平</w:t>
      </w:r>
      <w:r>
        <w:rPr>
          <w:rFonts w:hint="eastAsia" w:ascii="Times New Roman" w:eastAsia="仿宋_GB2312"/>
          <w:sz w:val="32"/>
          <w:szCs w:val="32"/>
        </w:rPr>
        <w:t>。</w:t>
      </w:r>
      <w:r>
        <w:rPr>
          <w:rFonts w:ascii="Times New Roman" w:eastAsia="仿宋_GB2312"/>
          <w:sz w:val="32"/>
          <w:szCs w:val="32"/>
        </w:rPr>
        <w:t>较上年减少0.98万元，降低3.2%，主要原因是厉行节约</w:t>
      </w:r>
      <w:r>
        <w:rPr>
          <w:rFonts w:hint="eastAsia" w:ascii="Times New Roman" w:eastAsia="仿宋_GB2312"/>
          <w:sz w:val="32"/>
          <w:szCs w:val="32"/>
        </w:rPr>
        <w:t>，</w:t>
      </w:r>
      <w:r>
        <w:rPr>
          <w:rFonts w:ascii="Times New Roman" w:eastAsia="仿宋_GB2312"/>
          <w:sz w:val="32"/>
          <w:szCs w:val="32"/>
        </w:rPr>
        <w:t>减少支出。</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本单位2024年度机关运行经费支出145.63万元，较2023年度减少53.27万元，降低26.8%。主要原因是厉行节约</w:t>
      </w:r>
      <w:r>
        <w:rPr>
          <w:rFonts w:hint="eastAsia" w:ascii="Times New Roman" w:eastAsia="仿宋_GB2312"/>
          <w:sz w:val="32"/>
          <w:szCs w:val="32"/>
        </w:rPr>
        <w:t>，</w:t>
      </w:r>
      <w:r>
        <w:rPr>
          <w:rFonts w:ascii="Times New Roman" w:eastAsia="仿宋_GB2312"/>
          <w:sz w:val="32"/>
          <w:szCs w:val="32"/>
        </w:rPr>
        <w:t>减少支出。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10辆，比上年增加0辆，主要是。其中，副部（省）级及以上领导用车0辆，主要负责人用车0辆，机要通信用车0辆，应急保障用车1辆，执法执勤用车7辆，特种专业技术用车2辆，离退休干部用车0辆，其他用车0辆，其他用车主要是。单位价值100万元（含）以上设备（不含车辆）0台（套）。</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bookmarkStart w:id="1" w:name="OLE_LINK2"/>
      <w:r>
        <w:rPr>
          <w:rFonts w:hint="eastAsia" w:ascii="Times New Roman" w:eastAsia="仿宋_GB2312"/>
          <w:sz w:val="32"/>
          <w:szCs w:val="32"/>
          <w:lang w:val="en-US" w:eastAsia="zh-CN"/>
        </w:rPr>
        <w:t>822.424808</w:t>
      </w:r>
      <w:bookmarkEnd w:id="1"/>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22</w:t>
      </w:r>
      <w:r>
        <w:rPr>
          <w:rFonts w:ascii="Times New Roman" w:eastAsia="仿宋_GB2312"/>
          <w:sz w:val="32"/>
          <w:szCs w:val="32"/>
        </w:rPr>
        <w:t>个，涉及资金</w:t>
      </w:r>
      <w:r>
        <w:rPr>
          <w:rFonts w:hint="eastAsia" w:ascii="Times New Roman" w:eastAsia="仿宋_GB2312"/>
          <w:sz w:val="32"/>
          <w:szCs w:val="32"/>
          <w:lang w:val="en-US" w:eastAsia="zh-CN"/>
        </w:rPr>
        <w:t>822.424808</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w:t>
      </w:r>
      <w:r>
        <w:rPr>
          <w:rFonts w:hint="eastAsia" w:ascii="Times New Roman" w:eastAsia="仿宋_GB2312"/>
          <w:sz w:val="32"/>
          <w:szCs w:val="32"/>
        </w:rPr>
        <w:t>我单位 2024 年无政府性基金预算项目；我单位 2024 年无国有资本经营预算项目。</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本单位在今年单位决算公开中反映聘用制书记员经费及劳务</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派遣人员经费等 6 个项目绩效自评结果。</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聘用制书记员经费项目绩效自评情况：根据年初设定的绩效目标，“聘用制书记员经费”项目绩效自评得分为</w:t>
      </w:r>
      <w:r>
        <w:rPr>
          <w:rFonts w:hint="eastAsia" w:ascii="Times New Roman" w:eastAsia="仿宋_GB2312"/>
          <w:sz w:val="32"/>
          <w:szCs w:val="32"/>
          <w:lang w:val="en-US" w:eastAsia="zh-CN"/>
        </w:rPr>
        <w:t>96</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158.58</w:t>
      </w:r>
      <w:r>
        <w:rPr>
          <w:rFonts w:hint="eastAsia" w:ascii="Times New Roman" w:eastAsia="仿宋_GB2312"/>
          <w:sz w:val="32"/>
          <w:szCs w:val="32"/>
        </w:rPr>
        <w:t xml:space="preserve"> 万元，执行数为</w:t>
      </w:r>
      <w:r>
        <w:rPr>
          <w:rFonts w:hint="eastAsia" w:ascii="Times New Roman" w:eastAsia="仿宋_GB2312"/>
          <w:sz w:val="32"/>
          <w:szCs w:val="32"/>
          <w:lang w:val="en-US" w:eastAsia="zh-CN"/>
        </w:rPr>
        <w:t>153.60926</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96.87</w:t>
      </w:r>
      <w:r>
        <w:rPr>
          <w:rFonts w:hint="eastAsia" w:ascii="Times New Roman" w:eastAsia="仿宋_GB2312"/>
          <w:sz w:val="32"/>
          <w:szCs w:val="32"/>
        </w:rPr>
        <w:t xml:space="preserve">%。项目绩效目标完成情况：2024 年我院聘用制书记员人数为 </w:t>
      </w:r>
      <w:r>
        <w:rPr>
          <w:rFonts w:hint="eastAsia" w:ascii="Times New Roman" w:eastAsia="仿宋_GB2312"/>
          <w:sz w:val="32"/>
          <w:szCs w:val="32"/>
          <w:lang w:val="en-US" w:eastAsia="zh-CN"/>
        </w:rPr>
        <w:t>21</w:t>
      </w:r>
      <w:r>
        <w:rPr>
          <w:rFonts w:hint="eastAsia" w:ascii="Times New Roman" w:eastAsia="仿宋_GB2312"/>
          <w:sz w:val="32"/>
          <w:szCs w:val="32"/>
        </w:rPr>
        <w:t xml:space="preserve"> 人，人员满勤率达到 9</w:t>
      </w:r>
      <w:r>
        <w:rPr>
          <w:rFonts w:hint="eastAsia" w:ascii="Times New Roman" w:eastAsia="仿宋_GB2312"/>
          <w:sz w:val="32"/>
          <w:szCs w:val="32"/>
          <w:lang w:val="en-US" w:eastAsia="zh-CN"/>
        </w:rPr>
        <w:t>7</w:t>
      </w:r>
      <w:r>
        <w:rPr>
          <w:rFonts w:hint="eastAsia" w:ascii="Times New Roman" w:eastAsia="仿宋_GB2312"/>
          <w:sz w:val="32"/>
          <w:szCs w:val="32"/>
        </w:rPr>
        <w:t xml:space="preserve">%以上，成本控制在 </w:t>
      </w:r>
      <w:r>
        <w:rPr>
          <w:rFonts w:hint="eastAsia" w:ascii="Times New Roman" w:eastAsia="仿宋_GB2312"/>
          <w:sz w:val="32"/>
          <w:szCs w:val="32"/>
          <w:lang w:val="en-US" w:eastAsia="zh-CN"/>
        </w:rPr>
        <w:t>158.58</w:t>
      </w:r>
      <w:r>
        <w:rPr>
          <w:rFonts w:hint="eastAsia" w:ascii="Times New Roman" w:eastAsia="仿宋_GB2312"/>
          <w:sz w:val="32"/>
          <w:szCs w:val="32"/>
        </w:rPr>
        <w:t xml:space="preserve"> 万元以内，预算执行率达到</w:t>
      </w:r>
      <w:r>
        <w:rPr>
          <w:rFonts w:hint="eastAsia" w:ascii="Times New Roman" w:eastAsia="仿宋_GB2312"/>
          <w:sz w:val="32"/>
          <w:szCs w:val="32"/>
          <w:lang w:val="en-US" w:eastAsia="zh-CN"/>
        </w:rPr>
        <w:t>97</w:t>
      </w:r>
      <w:r>
        <w:rPr>
          <w:rFonts w:hint="eastAsia" w:ascii="Times New Roman" w:eastAsia="仿宋_GB2312"/>
          <w:sz w:val="32"/>
          <w:szCs w:val="32"/>
        </w:rPr>
        <w:t xml:space="preserve">%，有效保障了法院各项工作的正常运转，维护社会稳定。通过项目实施，完成了年初设定的各项绩效目标，发现的问题是预算执行率未达 </w:t>
      </w:r>
      <w:r>
        <w:rPr>
          <w:rFonts w:hint="eastAsia" w:ascii="Times New Roman" w:eastAsia="仿宋_GB2312"/>
          <w:sz w:val="32"/>
          <w:szCs w:val="32"/>
          <w:lang w:val="en-US" w:eastAsia="zh-CN"/>
        </w:rPr>
        <w:t>100</w:t>
      </w:r>
      <w:r>
        <w:rPr>
          <w:rFonts w:hint="eastAsia" w:ascii="Times New Roman" w:eastAsia="仿宋_GB2312"/>
          <w:sz w:val="32"/>
          <w:szCs w:val="32"/>
        </w:rPr>
        <w:t>%，主要原因为存在年初资金安排待细化，下一步需加强预算管理</w:t>
      </w:r>
      <w:r>
        <w:rPr>
          <w:rFonts w:hint="eastAsia" w:ascii="Times New Roman" w:eastAsia="仿宋_GB2312"/>
          <w:sz w:val="32"/>
          <w:szCs w:val="32"/>
          <w:lang w:eastAsia="zh-CN"/>
        </w:rPr>
        <w:t>。</w:t>
      </w:r>
    </w:p>
    <w:p>
      <w:pPr>
        <w:widowControl/>
        <w:spacing w:line="360" w:lineRule="auto"/>
        <w:ind w:firstLine="640" w:firstLineChars="200"/>
        <w:jc w:val="left"/>
        <w:rPr>
          <w:rFonts w:hint="eastAsia" w:ascii="Times New Roman" w:eastAsia="仿宋_GB2312"/>
          <w:sz w:val="32"/>
          <w:szCs w:val="32"/>
        </w:rPr>
      </w:pPr>
      <w:bookmarkStart w:id="2" w:name="OLE_LINK4"/>
      <w:bookmarkStart w:id="3" w:name="OLE_LINK16"/>
      <w:r>
        <w:rPr>
          <w:rFonts w:hint="eastAsia" w:ascii="Times New Roman" w:eastAsia="仿宋_GB2312"/>
          <w:sz w:val="32"/>
          <w:szCs w:val="32"/>
        </w:rPr>
        <w:t>劳务派遣人员经费项目</w:t>
      </w:r>
      <w:bookmarkEnd w:id="2"/>
      <w:r>
        <w:rPr>
          <w:rFonts w:hint="eastAsia" w:ascii="Times New Roman" w:eastAsia="仿宋_GB2312"/>
          <w:sz w:val="32"/>
          <w:szCs w:val="32"/>
        </w:rPr>
        <w:t>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目标，项目绩效自评得分为 </w:t>
      </w:r>
      <w:r>
        <w:rPr>
          <w:rFonts w:hint="eastAsia" w:ascii="Times New Roman" w:eastAsia="仿宋_GB2312"/>
          <w:sz w:val="32"/>
          <w:szCs w:val="32"/>
          <w:lang w:val="en-US" w:eastAsia="zh-CN"/>
        </w:rPr>
        <w:t>100</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233</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233</w:t>
      </w:r>
      <w:r>
        <w:rPr>
          <w:rFonts w:hint="eastAsia" w:ascii="Times New Roman" w:eastAsia="仿宋_GB2312"/>
          <w:sz w:val="32"/>
          <w:szCs w:val="32"/>
        </w:rPr>
        <w:t xml:space="preserve"> 万元，完成预算的 100%。通过项目实施，完成了年初设定的各项绩效目标，保障了劳务派遣人员工资及养老保险等社保及时发放缴纳。未发现问题。</w:t>
      </w:r>
    </w:p>
    <w:bookmarkEnd w:id="3"/>
    <w:p>
      <w:pPr>
        <w:widowControl/>
        <w:spacing w:line="360" w:lineRule="auto"/>
        <w:ind w:firstLine="640" w:firstLineChars="200"/>
        <w:jc w:val="left"/>
        <w:rPr>
          <w:rFonts w:hint="eastAsia" w:ascii="Times New Roman" w:eastAsia="仿宋_GB2312"/>
          <w:sz w:val="32"/>
          <w:szCs w:val="32"/>
        </w:rPr>
      </w:pPr>
      <w:bookmarkStart w:id="4" w:name="OLE_LINK5"/>
      <w:r>
        <w:rPr>
          <w:rFonts w:hint="eastAsia" w:ascii="Times New Roman" w:eastAsia="仿宋_GB2312"/>
          <w:sz w:val="32"/>
          <w:szCs w:val="32"/>
        </w:rPr>
        <w:t>单位运转保障项目</w:t>
      </w:r>
      <w:bookmarkEnd w:id="4"/>
      <w:r>
        <w:rPr>
          <w:rFonts w:hint="eastAsia" w:ascii="Times New Roman" w:eastAsia="仿宋_GB2312"/>
          <w:sz w:val="32"/>
          <w:szCs w:val="32"/>
        </w:rPr>
        <w:t xml:space="preserve">绩效自评情况：根据年初设定的绩效目标，项目绩效自评得分为 </w:t>
      </w:r>
      <w:r>
        <w:rPr>
          <w:rFonts w:hint="eastAsia" w:ascii="Times New Roman" w:eastAsia="仿宋_GB2312"/>
          <w:sz w:val="32"/>
          <w:szCs w:val="32"/>
          <w:lang w:val="en-US" w:eastAsia="zh-CN"/>
        </w:rPr>
        <w:t>50</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189.5</w:t>
      </w:r>
      <w:r>
        <w:rPr>
          <w:rFonts w:hint="eastAsia" w:ascii="Times New Roman" w:eastAsia="仿宋_GB2312"/>
          <w:sz w:val="32"/>
          <w:szCs w:val="32"/>
        </w:rPr>
        <w:t>万元，执行数为</w:t>
      </w:r>
      <w:r>
        <w:rPr>
          <w:rFonts w:hint="eastAsia" w:ascii="Times New Roman" w:eastAsia="仿宋_GB2312"/>
          <w:sz w:val="32"/>
          <w:szCs w:val="32"/>
          <w:lang w:val="en-US" w:eastAsia="zh-CN"/>
        </w:rPr>
        <w:t>113.611935</w:t>
      </w:r>
      <w:r>
        <w:rPr>
          <w:rFonts w:hint="eastAsia" w:ascii="Times New Roman" w:eastAsia="仿宋_GB2312"/>
          <w:sz w:val="32"/>
          <w:szCs w:val="32"/>
        </w:rPr>
        <w:t>万元，完成预算的</w:t>
      </w:r>
      <w:r>
        <w:rPr>
          <w:rFonts w:hint="eastAsia" w:ascii="Times New Roman" w:eastAsia="仿宋_GB2312"/>
          <w:sz w:val="32"/>
          <w:szCs w:val="32"/>
          <w:lang w:val="en-US" w:eastAsia="zh-CN"/>
        </w:rPr>
        <w:t>59.95</w:t>
      </w:r>
      <w:r>
        <w:rPr>
          <w:rFonts w:hint="eastAsia" w:ascii="Times New Roman" w:eastAsia="仿宋_GB2312"/>
          <w:sz w:val="32"/>
          <w:szCs w:val="32"/>
        </w:rPr>
        <w:t>%。通过项目实施，完成了年初设定的各项绩效目标，保障了</w:t>
      </w:r>
      <w:r>
        <w:rPr>
          <w:rFonts w:hint="eastAsia" w:ascii="Times New Roman" w:eastAsia="仿宋_GB2312"/>
          <w:sz w:val="32"/>
          <w:szCs w:val="32"/>
          <w:lang w:eastAsia="zh-CN"/>
        </w:rPr>
        <w:t>法院</w:t>
      </w:r>
      <w:r>
        <w:rPr>
          <w:rFonts w:hint="eastAsia" w:ascii="Times New Roman" w:eastAsia="仿宋_GB2312"/>
          <w:sz w:val="32"/>
          <w:szCs w:val="32"/>
        </w:rPr>
        <w:t>工作顺利开展。未发现问题。</w:t>
      </w:r>
    </w:p>
    <w:p>
      <w:pPr>
        <w:widowControl/>
        <w:spacing w:line="360" w:lineRule="auto"/>
        <w:ind w:firstLine="640" w:firstLineChars="200"/>
        <w:jc w:val="left"/>
        <w:rPr>
          <w:rFonts w:hint="eastAsia" w:ascii="Times New Roman" w:eastAsia="仿宋_GB2312"/>
          <w:sz w:val="32"/>
          <w:szCs w:val="32"/>
        </w:rPr>
      </w:pPr>
      <w:bookmarkStart w:id="5" w:name="OLE_LINK7"/>
      <w:r>
        <w:rPr>
          <w:rFonts w:hint="eastAsia" w:ascii="Times New Roman" w:eastAsia="仿宋_GB2312"/>
          <w:sz w:val="32"/>
          <w:szCs w:val="32"/>
        </w:rPr>
        <w:t>物业管理费项目</w:t>
      </w:r>
      <w:bookmarkEnd w:id="5"/>
      <w:r>
        <w:rPr>
          <w:rFonts w:hint="eastAsia" w:ascii="Times New Roman" w:eastAsia="仿宋_GB2312"/>
          <w:sz w:val="32"/>
          <w:szCs w:val="32"/>
        </w:rPr>
        <w:t>绩效自评情况：根据年初设定的绩效目标，项目绩效自评得分为</w:t>
      </w:r>
      <w:r>
        <w:rPr>
          <w:rFonts w:hint="eastAsia" w:ascii="Times New Roman" w:eastAsia="仿宋_GB2312"/>
          <w:sz w:val="32"/>
          <w:szCs w:val="32"/>
          <w:lang w:val="en-US" w:eastAsia="zh-CN"/>
        </w:rPr>
        <w:t>90</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36</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32.2739</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89.65</w:t>
      </w:r>
      <w:r>
        <w:rPr>
          <w:rFonts w:hint="eastAsia" w:ascii="Times New Roman" w:eastAsia="仿宋_GB2312"/>
          <w:sz w:val="32"/>
          <w:szCs w:val="32"/>
        </w:rPr>
        <w:t>%。通过项目实施，完成了年初设定的各项绩效目标，保障了办公环境卫生，后勤安全保障。未发现问题。</w:t>
      </w:r>
    </w:p>
    <w:p>
      <w:pPr>
        <w:widowControl/>
        <w:spacing w:line="360" w:lineRule="auto"/>
        <w:ind w:firstLine="640" w:firstLineChars="200"/>
        <w:jc w:val="left"/>
        <w:rPr>
          <w:rFonts w:hint="eastAsia" w:ascii="Times New Roman" w:eastAsia="仿宋_GB2312"/>
          <w:sz w:val="32"/>
          <w:szCs w:val="32"/>
        </w:rPr>
      </w:pPr>
      <w:bookmarkStart w:id="6" w:name="OLE_LINK9"/>
      <w:r>
        <w:rPr>
          <w:rFonts w:hint="eastAsia" w:ascii="Times New Roman" w:eastAsia="仿宋_GB2312"/>
          <w:sz w:val="32"/>
          <w:szCs w:val="32"/>
        </w:rPr>
        <w:t>办公设备购置项目</w:t>
      </w:r>
      <w:bookmarkEnd w:id="6"/>
      <w:r>
        <w:rPr>
          <w:rFonts w:hint="eastAsia" w:ascii="Times New Roman" w:eastAsia="仿宋_GB2312"/>
          <w:sz w:val="32"/>
          <w:szCs w:val="32"/>
        </w:rPr>
        <w:t>绩效自评情况：根据年初设定的绩效目标，</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项目绩效自评得分为 </w:t>
      </w:r>
      <w:r>
        <w:rPr>
          <w:rFonts w:hint="eastAsia" w:ascii="Times New Roman" w:eastAsia="仿宋_GB2312"/>
          <w:sz w:val="32"/>
          <w:szCs w:val="32"/>
          <w:lang w:val="en-US" w:eastAsia="zh-CN"/>
        </w:rPr>
        <w:t>56</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7</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4.161</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59.44</w:t>
      </w:r>
      <w:r>
        <w:rPr>
          <w:rFonts w:hint="eastAsia" w:ascii="Times New Roman" w:eastAsia="仿宋_GB2312"/>
          <w:sz w:val="32"/>
          <w:szCs w:val="32"/>
        </w:rPr>
        <w:t>%。通过项目实施，完成了年初设定的各项绩效目标，保障了干警的办公环境，提高办案效率。未发现问题。</w:t>
      </w:r>
    </w:p>
    <w:p>
      <w:pPr>
        <w:widowControl/>
        <w:spacing w:line="360" w:lineRule="auto"/>
        <w:ind w:firstLine="640" w:firstLineChars="200"/>
        <w:jc w:val="left"/>
        <w:rPr>
          <w:rFonts w:hint="eastAsia" w:ascii="Times New Roman" w:eastAsia="仿宋_GB2312"/>
          <w:sz w:val="32"/>
          <w:szCs w:val="32"/>
        </w:rPr>
      </w:pPr>
      <w:bookmarkStart w:id="7" w:name="OLE_LINK11"/>
      <w:r>
        <w:rPr>
          <w:rFonts w:hint="eastAsia" w:ascii="Times New Roman" w:eastAsia="仿宋_GB2312"/>
          <w:sz w:val="32"/>
          <w:szCs w:val="32"/>
        </w:rPr>
        <w:t>党组织活动经费项目</w:t>
      </w:r>
      <w:bookmarkEnd w:id="7"/>
      <w:r>
        <w:rPr>
          <w:rFonts w:hint="eastAsia" w:ascii="Times New Roman" w:eastAsia="仿宋_GB2312"/>
          <w:sz w:val="32"/>
          <w:szCs w:val="32"/>
        </w:rPr>
        <w:t>绩效自评情况：根据年初设定的绩效目</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标，项目绩效自评得分为 </w:t>
      </w:r>
      <w:r>
        <w:rPr>
          <w:rFonts w:hint="eastAsia" w:ascii="Times New Roman" w:eastAsia="仿宋_GB2312"/>
          <w:sz w:val="32"/>
          <w:szCs w:val="32"/>
          <w:lang w:val="en-US" w:eastAsia="zh-CN"/>
        </w:rPr>
        <w:t>54</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2</w:t>
      </w:r>
      <w:r>
        <w:rPr>
          <w:rFonts w:hint="eastAsia" w:ascii="Times New Roman" w:eastAsia="仿宋_GB2312"/>
          <w:sz w:val="32"/>
          <w:szCs w:val="32"/>
        </w:rPr>
        <w:t xml:space="preserve"> 万元，执行数为 </w:t>
      </w:r>
      <w:r>
        <w:rPr>
          <w:rFonts w:hint="eastAsia" w:ascii="Times New Roman" w:eastAsia="仿宋_GB2312"/>
          <w:sz w:val="32"/>
          <w:szCs w:val="32"/>
          <w:lang w:val="en-US" w:eastAsia="zh-CN"/>
        </w:rPr>
        <w:t>1.0988</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54.94</w:t>
      </w:r>
      <w:r>
        <w:rPr>
          <w:rFonts w:hint="eastAsia" w:ascii="Times New Roman" w:eastAsia="仿宋_GB2312"/>
          <w:sz w:val="32"/>
          <w:szCs w:val="32"/>
        </w:rPr>
        <w:t>%。通过项目实施，完成了年初设定的各项绩效目标，提高党员政治能力及综合素质水平。未发现问题。</w:t>
      </w:r>
    </w:p>
    <w:p>
      <w:pPr>
        <w:widowControl/>
        <w:spacing w:line="360" w:lineRule="auto"/>
        <w:ind w:firstLine="640" w:firstLineChars="200"/>
        <w:jc w:val="left"/>
        <w:rPr>
          <w:rFonts w:hint="eastAsia" w:ascii="Times New Roman" w:eastAsia="仿宋_GB2312"/>
          <w:sz w:val="32"/>
          <w:szCs w:val="32"/>
        </w:rPr>
      </w:pPr>
      <w:bookmarkStart w:id="8" w:name="OLE_LINK17"/>
      <w:r>
        <w:rPr>
          <w:rFonts w:hint="eastAsia" w:ascii="Times New Roman" w:eastAsia="仿宋_GB2312"/>
          <w:sz w:val="32"/>
          <w:szCs w:val="32"/>
          <w:lang w:eastAsia="zh-CN"/>
        </w:rPr>
        <w:t>诉源治理调解</w:t>
      </w:r>
      <w:r>
        <w:rPr>
          <w:rFonts w:hint="eastAsia" w:ascii="Times New Roman" w:eastAsia="仿宋_GB2312"/>
          <w:sz w:val="32"/>
          <w:szCs w:val="32"/>
        </w:rPr>
        <w:t>经费项目绩效自评情况：根据年初设定的绩效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35</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37.5</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13.013</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34.70</w:t>
      </w:r>
      <w:r>
        <w:rPr>
          <w:rFonts w:hint="eastAsia" w:ascii="Times New Roman" w:eastAsia="仿宋_GB2312"/>
          <w:sz w:val="32"/>
          <w:szCs w:val="32"/>
        </w:rPr>
        <w:t>%。通过项目实施，完成了年初设定的各项绩效目标。未发现问题。</w:t>
      </w:r>
    </w:p>
    <w:bookmarkEnd w:id="8"/>
    <w:p>
      <w:pPr>
        <w:widowControl/>
        <w:spacing w:line="360" w:lineRule="auto"/>
        <w:ind w:firstLine="640" w:firstLineChars="200"/>
        <w:jc w:val="left"/>
        <w:rPr>
          <w:rFonts w:hint="eastAsia" w:ascii="Times New Roman" w:eastAsia="仿宋_GB2312"/>
          <w:sz w:val="32"/>
          <w:szCs w:val="32"/>
        </w:rPr>
      </w:pPr>
      <w:bookmarkStart w:id="9" w:name="OLE_LINK18"/>
      <w:r>
        <w:rPr>
          <w:rFonts w:hint="eastAsia" w:ascii="Times New Roman" w:eastAsia="仿宋_GB2312"/>
          <w:sz w:val="32"/>
          <w:szCs w:val="32"/>
          <w:lang w:eastAsia="zh-CN"/>
        </w:rPr>
        <w:t>文件资料印刷费</w:t>
      </w:r>
      <w:r>
        <w:rPr>
          <w:rFonts w:hint="eastAsia" w:ascii="Times New Roman" w:eastAsia="仿宋_GB2312"/>
          <w:sz w:val="32"/>
          <w:szCs w:val="32"/>
        </w:rPr>
        <w:t>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48</w:t>
      </w:r>
      <w:r>
        <w:rPr>
          <w:rFonts w:hint="eastAsia" w:ascii="Times New Roman" w:eastAsia="仿宋_GB2312"/>
          <w:sz w:val="32"/>
          <w:szCs w:val="32"/>
        </w:rPr>
        <w:t xml:space="preserve">分（绩效自评表附后）。全年预算数为 </w:t>
      </w:r>
      <w:r>
        <w:rPr>
          <w:rFonts w:hint="eastAsia" w:ascii="Times New Roman" w:eastAsia="仿宋_GB2312"/>
          <w:sz w:val="32"/>
          <w:szCs w:val="32"/>
          <w:lang w:val="en-US" w:eastAsia="zh-CN"/>
        </w:rPr>
        <w:t>6</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2.97</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49.5</w:t>
      </w:r>
      <w:r>
        <w:rPr>
          <w:rFonts w:hint="eastAsia" w:ascii="Times New Roman" w:eastAsia="仿宋_GB2312"/>
          <w:sz w:val="32"/>
          <w:szCs w:val="32"/>
        </w:rPr>
        <w:t>%。通过项目实施，完成了年初设定的各项绩效目标。未发现问题。</w:t>
      </w:r>
    </w:p>
    <w:bookmarkEnd w:id="9"/>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lang w:eastAsia="zh-CN"/>
        </w:rPr>
        <w:t>业务委托咨询费</w:t>
      </w:r>
      <w:r>
        <w:rPr>
          <w:rFonts w:hint="eastAsia" w:ascii="Times New Roman" w:eastAsia="仿宋_GB2312"/>
          <w:sz w:val="32"/>
          <w:szCs w:val="32"/>
        </w:rPr>
        <w:t>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46</w:t>
      </w:r>
      <w:r>
        <w:rPr>
          <w:rFonts w:hint="eastAsia" w:ascii="Times New Roman" w:eastAsia="仿宋_GB2312"/>
          <w:sz w:val="32"/>
          <w:szCs w:val="32"/>
        </w:rPr>
        <w:t xml:space="preserve">分（绩效自评表附后）。全年预算数为 </w:t>
      </w:r>
      <w:r>
        <w:rPr>
          <w:rFonts w:hint="eastAsia" w:ascii="Times New Roman" w:eastAsia="仿宋_GB2312"/>
          <w:sz w:val="32"/>
          <w:szCs w:val="32"/>
          <w:lang w:val="en-US" w:eastAsia="zh-CN"/>
        </w:rPr>
        <w:t>21</w:t>
      </w:r>
      <w:r>
        <w:rPr>
          <w:rFonts w:hint="eastAsia" w:ascii="Times New Roman" w:eastAsia="仿宋_GB2312"/>
          <w:sz w:val="32"/>
          <w:szCs w:val="32"/>
        </w:rPr>
        <w:t>万元，执行数为</w:t>
      </w:r>
      <w:r>
        <w:rPr>
          <w:rFonts w:hint="eastAsia" w:ascii="Times New Roman" w:eastAsia="仿宋_GB2312"/>
          <w:sz w:val="32"/>
          <w:szCs w:val="32"/>
          <w:lang w:val="en-US" w:eastAsia="zh-CN"/>
        </w:rPr>
        <w:t>9.406848</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44.79</w:t>
      </w:r>
      <w:r>
        <w:rPr>
          <w:rFonts w:hint="eastAsia" w:ascii="Times New Roman" w:eastAsia="仿宋_GB2312"/>
          <w:sz w:val="32"/>
          <w:szCs w:val="32"/>
        </w:rPr>
        <w:t>%。通过项目实施，完成了年初设定的各项绩效目标。未发现问题。</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附绩效自评表如下：</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聘用制书记员经费项目</w:t>
      </w:r>
    </w:p>
    <w:tbl>
      <w:tblPr>
        <w:tblStyle w:val="11"/>
        <w:tblW w:w="9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28"/>
        <w:gridCol w:w="964"/>
        <w:gridCol w:w="951"/>
        <w:gridCol w:w="886"/>
        <w:gridCol w:w="1126"/>
        <w:gridCol w:w="1232"/>
        <w:gridCol w:w="1402"/>
        <w:gridCol w:w="13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6" w:hRule="atLeast"/>
        </w:trPr>
        <w:tc>
          <w:tcPr>
            <w:tcW w:w="202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Style w:val="25"/>
                <w:rFonts w:eastAsia="宋体"/>
                <w:lang w:val="en-US" w:eastAsia="zh-CN" w:bidi="ar"/>
              </w:rPr>
              <w:t xml:space="preserve"> </w:t>
            </w:r>
            <w:r>
              <w:rPr>
                <w:rStyle w:val="26"/>
                <w:lang w:val="en-US" w:eastAsia="zh-CN" w:bidi="ar"/>
              </w:rPr>
              <w:t>基本情况</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聘用制书记员人员经费</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20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6"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158.58</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158.58</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153.60926</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6"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9" w:hRule="atLeast"/>
        </w:trPr>
        <w:tc>
          <w:tcPr>
            <w:tcW w:w="20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80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保障聘任制书记员工资及时发放到位，提高人员工作积极性。</w:t>
            </w:r>
          </w:p>
        </w:tc>
        <w:tc>
          <w:tcPr>
            <w:tcW w:w="37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聘任制书记员工资发放及时到位，人员工作积极性高，工作任务完成的质量标准较高</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6" w:hRule="atLeast"/>
        </w:trPr>
        <w:tc>
          <w:tcPr>
            <w:tcW w:w="202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Style w:val="25"/>
                <w:rFonts w:eastAsia="宋体"/>
                <w:lang w:val="en-US" w:eastAsia="zh-CN" w:bidi="ar"/>
              </w:rPr>
              <w:t xml:space="preserve"> </w:t>
            </w:r>
            <w:r>
              <w:rPr>
                <w:rStyle w:val="26"/>
                <w:lang w:val="en-US" w:eastAsia="zh-CN" w:bidi="ar"/>
              </w:rPr>
              <w:t>年度绩效指标完成情况</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0"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5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人员数量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工作完成质量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≤100%</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96.87%</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人员满勤率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8"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经费保障时间</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Style w:val="26"/>
                <w:lang w:val="en-US" w:eastAsia="zh-CN" w:bidi="ar"/>
              </w:rPr>
              <w:t>个月</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Style w:val="26"/>
                <w:lang w:val="en-US" w:eastAsia="zh-CN" w:bidi="ar"/>
              </w:rPr>
              <w:t>个月</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2"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≤158.58</w:t>
            </w:r>
            <w:r>
              <w:rPr>
                <w:rStyle w:val="26"/>
                <w:lang w:val="en-US" w:eastAsia="zh-CN" w:bidi="ar"/>
              </w:rPr>
              <w:t>万元</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153.60926</w:t>
            </w:r>
            <w:r>
              <w:rPr>
                <w:rStyle w:val="26"/>
                <w:lang w:val="en-US" w:eastAsia="zh-CN" w:bidi="ar"/>
              </w:rPr>
              <w:t>万元</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聘用人员的人均成本</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Style w:val="25"/>
                <w:rFonts w:eastAsia="宋体"/>
                <w:lang w:val="en-US" w:eastAsia="zh-CN" w:bidi="ar"/>
              </w:rPr>
              <w:t>6.5</w:t>
            </w:r>
            <w:r>
              <w:rPr>
                <w:rFonts w:hint="eastAsia" w:ascii="宋体" w:hAnsi="宋体" w:eastAsia="宋体" w:cs="宋体"/>
                <w:i w:val="0"/>
                <w:color w:val="000000"/>
                <w:kern w:val="0"/>
                <w:sz w:val="20"/>
                <w:szCs w:val="20"/>
                <w:u w:val="none"/>
                <w:lang w:val="en-US" w:eastAsia="zh-CN" w:bidi="ar"/>
              </w:rPr>
              <w:t>万元/年</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7.28</w:t>
            </w:r>
            <w:r>
              <w:rPr>
                <w:rStyle w:val="26"/>
                <w:lang w:val="en-US" w:eastAsia="zh-CN" w:bidi="ar"/>
              </w:rPr>
              <w:t>万元/年</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3"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8"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95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保障审判工作正常运转</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5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聘用人员满意度</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3"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56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7" w:hRule="atLeast"/>
        </w:trPr>
        <w:tc>
          <w:tcPr>
            <w:tcW w:w="202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Style w:val="25"/>
                <w:rFonts w:eastAsia="宋体"/>
                <w:lang w:val="en-US" w:eastAsia="zh-CN" w:bidi="ar"/>
              </w:rPr>
              <w:t xml:space="preserve"> </w:t>
            </w:r>
            <w:r>
              <w:rPr>
                <w:rStyle w:val="26"/>
                <w:lang w:val="en-US" w:eastAsia="zh-CN" w:bidi="ar"/>
              </w:rPr>
              <w:t>存在问题、原因及下一步整改措施</w:t>
            </w:r>
          </w:p>
        </w:tc>
        <w:tc>
          <w:tcPr>
            <w:tcW w:w="791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劳务派遣人员经费项目</w:t>
      </w:r>
    </w:p>
    <w:tbl>
      <w:tblPr>
        <w:tblStyle w:val="11"/>
        <w:tblW w:w="102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47"/>
        <w:gridCol w:w="1588"/>
        <w:gridCol w:w="874"/>
        <w:gridCol w:w="1185"/>
        <w:gridCol w:w="1243"/>
        <w:gridCol w:w="2036"/>
        <w:gridCol w:w="1025"/>
        <w:gridCol w:w="12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50" w:hRule="atLeast"/>
        </w:trPr>
        <w:tc>
          <w:tcPr>
            <w:tcW w:w="104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0" w:name="OLE_LINK3"/>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劳务派遣人员经费</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5"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3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233</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3"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5"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1"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3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配备专业的工作人员，保障单位日常办公的良好运行</w:t>
            </w:r>
          </w:p>
        </w:tc>
        <w:tc>
          <w:tcPr>
            <w:tcW w:w="430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工作人员业务水平高、能力素质强、完成任务好，有力保障了法院工作的高标准运行</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4"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人员数量</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经费等发放精准性</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每月发放</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加强干警归属感</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按时按标准发放经费</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≤233万元</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233万元</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4"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4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20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0"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保障审判工作正常运转</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保障审判工作正常运行</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428"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单位干警满意度</w:t>
            </w:r>
          </w:p>
        </w:tc>
        <w:tc>
          <w:tcPr>
            <w:tcW w:w="203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5"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8"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95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1" w:hRule="atLeast"/>
        </w:trPr>
        <w:tc>
          <w:tcPr>
            <w:tcW w:w="10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19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0"/>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单位运转保障项目</w:t>
      </w:r>
    </w:p>
    <w:tbl>
      <w:tblPr>
        <w:tblStyle w:val="11"/>
        <w:tblW w:w="100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50"/>
        <w:gridCol w:w="1328"/>
        <w:gridCol w:w="877"/>
        <w:gridCol w:w="1500"/>
        <w:gridCol w:w="1"/>
        <w:gridCol w:w="1246"/>
        <w:gridCol w:w="1"/>
        <w:gridCol w:w="1742"/>
        <w:gridCol w:w="1"/>
        <w:gridCol w:w="1027"/>
        <w:gridCol w:w="12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0" w:hRule="atLeast"/>
        </w:trPr>
        <w:tc>
          <w:tcPr>
            <w:tcW w:w="10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1" w:name="OLE_LINK6"/>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单位运转保障经费</w:t>
            </w:r>
          </w:p>
        </w:tc>
        <w:tc>
          <w:tcPr>
            <w:tcW w:w="12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01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3"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113.611935</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4"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9"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01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401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01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01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5"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7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10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2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59.95%</w:t>
            </w:r>
          </w:p>
        </w:tc>
        <w:tc>
          <w:tcPr>
            <w:tcW w:w="12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13"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≦189.5万元</w:t>
            </w:r>
          </w:p>
        </w:tc>
        <w:tc>
          <w:tcPr>
            <w:tcW w:w="102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113.611935</w:t>
            </w:r>
          </w:p>
        </w:tc>
        <w:tc>
          <w:tcPr>
            <w:tcW w:w="12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743"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28"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c>
          <w:tcPr>
            <w:tcW w:w="12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28"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7"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47"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43"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28"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47"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23"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8" w:hRule="atLeast"/>
        </w:trPr>
        <w:tc>
          <w:tcPr>
            <w:tcW w:w="10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970"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1"/>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物业管理费项目</w:t>
      </w:r>
    </w:p>
    <w:tbl>
      <w:tblPr>
        <w:tblStyle w:val="11"/>
        <w:tblW w:w="98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6"/>
        <w:gridCol w:w="1309"/>
        <w:gridCol w:w="865"/>
        <w:gridCol w:w="1480"/>
        <w:gridCol w:w="1229"/>
        <w:gridCol w:w="1718"/>
        <w:gridCol w:w="1"/>
        <w:gridCol w:w="1013"/>
        <w:gridCol w:w="12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4" w:hRule="atLeast"/>
        </w:trPr>
        <w:tc>
          <w:tcPr>
            <w:tcW w:w="103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2" w:name="OLE_LINK8"/>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物业管理费</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6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7" w:hRule="atLeast"/>
        </w:trPr>
        <w:tc>
          <w:tcPr>
            <w:tcW w:w="1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w:t>
            </w: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32.2739</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8"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5"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3" w:hRule="atLeast"/>
        </w:trPr>
        <w:tc>
          <w:tcPr>
            <w:tcW w:w="1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5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6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961"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6"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61"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6"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61"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71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4"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0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7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89.65%</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18"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0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≦36万元</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32.2739</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719"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c>
          <w:tcPr>
            <w:tcW w:w="122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34"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1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5"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09"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19"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1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9"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6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85" w:hRule="atLeast"/>
        </w:trPr>
        <w:tc>
          <w:tcPr>
            <w:tcW w:w="10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44"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2"/>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办公设备购置项目</w:t>
      </w:r>
    </w:p>
    <w:tbl>
      <w:tblPr>
        <w:tblStyle w:val="11"/>
        <w:tblW w:w="9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95"/>
        <w:gridCol w:w="1258"/>
        <w:gridCol w:w="831"/>
        <w:gridCol w:w="1423"/>
        <w:gridCol w:w="1183"/>
        <w:gridCol w:w="1653"/>
        <w:gridCol w:w="974"/>
        <w:gridCol w:w="11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2" w:hRule="atLeast"/>
        </w:trPr>
        <w:tc>
          <w:tcPr>
            <w:tcW w:w="9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3" w:name="OLE_LINK10"/>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办公设备购置</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3"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8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4.161</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7"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1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8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3"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3"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9"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采购办公用品</w:t>
            </w:r>
          </w:p>
        </w:tc>
        <w:tc>
          <w:tcPr>
            <w:tcW w:w="16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≥500件</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8"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9"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采购验收合格率</w:t>
            </w:r>
          </w:p>
        </w:tc>
        <w:tc>
          <w:tcPr>
            <w:tcW w:w="16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59.44%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8"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≦7万元</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4.161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采购工作完工及时率</w:t>
            </w:r>
          </w:p>
        </w:tc>
        <w:tc>
          <w:tcPr>
            <w:tcW w:w="16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5"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3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1"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06"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5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74"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8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32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98" w:hRule="atLeast"/>
        </w:trPr>
        <w:tc>
          <w:tcPr>
            <w:tcW w:w="99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5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3"/>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党组织活动经费项目</w:t>
      </w:r>
    </w:p>
    <w:tbl>
      <w:tblPr>
        <w:tblStyle w:val="11"/>
        <w:tblW w:w="96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12"/>
        <w:gridCol w:w="1279"/>
        <w:gridCol w:w="846"/>
        <w:gridCol w:w="1447"/>
        <w:gridCol w:w="1202"/>
        <w:gridCol w:w="1681"/>
        <w:gridCol w:w="991"/>
        <w:gridCol w:w="12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3" w:hRule="atLeast"/>
        </w:trPr>
        <w:tc>
          <w:tcPr>
            <w:tcW w:w="101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4" w:name="OLE_LINK12"/>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党组织活动经费</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8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3" w:hRule="atLeast"/>
        </w:trPr>
        <w:tc>
          <w:tcPr>
            <w:tcW w:w="1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1.0988</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8" w:hRule="atLeast"/>
        </w:trPr>
        <w:tc>
          <w:tcPr>
            <w:tcW w:w="1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8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3"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3"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开展党建活动</w:t>
            </w:r>
          </w:p>
        </w:tc>
        <w:tc>
          <w:tcPr>
            <w:tcW w:w="16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≥5次</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开展党建工作活动完成率</w:t>
            </w:r>
          </w:p>
        </w:tc>
        <w:tc>
          <w:tcPr>
            <w:tcW w:w="1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54.94%</w:t>
            </w:r>
          </w:p>
        </w:tc>
        <w:tc>
          <w:tcPr>
            <w:tcW w:w="12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≦2万元</w:t>
            </w:r>
          </w:p>
        </w:tc>
        <w:tc>
          <w:tcPr>
            <w:tcW w:w="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1.0988</w:t>
            </w:r>
          </w:p>
        </w:tc>
        <w:tc>
          <w:tcPr>
            <w:tcW w:w="12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开展党组织活动及时性</w:t>
            </w:r>
          </w:p>
        </w:tc>
        <w:tc>
          <w:tcPr>
            <w:tcW w:w="16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6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6"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49"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81"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91"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0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44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18" w:hRule="atLeast"/>
        </w:trPr>
        <w:tc>
          <w:tcPr>
            <w:tcW w:w="10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64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4"/>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诉源治理调解经费</w:t>
      </w:r>
      <w:r>
        <w:rPr>
          <w:rFonts w:hint="eastAsia" w:ascii="Times New Roman" w:eastAsia="仿宋_GB2312"/>
          <w:sz w:val="32"/>
          <w:szCs w:val="32"/>
          <w:lang w:eastAsia="zh-CN"/>
        </w:rPr>
        <w:t>项目</w:t>
      </w:r>
    </w:p>
    <w:tbl>
      <w:tblPr>
        <w:tblStyle w:val="11"/>
        <w:tblW w:w="9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81"/>
        <w:gridCol w:w="1240"/>
        <w:gridCol w:w="820"/>
        <w:gridCol w:w="1402"/>
        <w:gridCol w:w="1164"/>
        <w:gridCol w:w="1628"/>
        <w:gridCol w:w="960"/>
        <w:gridCol w:w="11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5" w:hRule="atLeast"/>
        </w:trPr>
        <w:tc>
          <w:tcPr>
            <w:tcW w:w="98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5" w:name="OLE_LINK13"/>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诉源治理调解经费</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6" w:hRule="atLeast"/>
        </w:trPr>
        <w:tc>
          <w:tcPr>
            <w:tcW w:w="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13.013</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1"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3"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1" w:hRule="atLeast"/>
        </w:trPr>
        <w:tc>
          <w:tcPr>
            <w:tcW w:w="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7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3"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6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0"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3"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6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6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34.70%</w:t>
            </w:r>
          </w:p>
        </w:tc>
        <w:tc>
          <w:tcPr>
            <w:tcW w:w="11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6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≦37.5万元</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13.013</w:t>
            </w:r>
          </w:p>
        </w:tc>
        <w:tc>
          <w:tcPr>
            <w:tcW w:w="11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62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c>
          <w:tcPr>
            <w:tcW w:w="11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0"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0"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66"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28"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60"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65"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21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98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7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5"/>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文件资料印刷费项目</w:t>
      </w:r>
    </w:p>
    <w:tbl>
      <w:tblPr>
        <w:tblStyle w:val="11"/>
        <w:tblW w:w="9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0"/>
        <w:gridCol w:w="1301"/>
        <w:gridCol w:w="860"/>
        <w:gridCol w:w="1470"/>
        <w:gridCol w:w="1"/>
        <w:gridCol w:w="1221"/>
        <w:gridCol w:w="1708"/>
        <w:gridCol w:w="1"/>
        <w:gridCol w:w="1006"/>
        <w:gridCol w:w="1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37" w:hRule="atLeast"/>
        </w:trPr>
        <w:tc>
          <w:tcPr>
            <w:tcW w:w="10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6" w:name="OLE_LINK14"/>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文件资料印刷费</w:t>
            </w:r>
          </w:p>
        </w:tc>
        <w:tc>
          <w:tcPr>
            <w:tcW w:w="12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3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4" w:hRule="atLeast"/>
        </w:trPr>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2.97</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7"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5"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0" w:hRule="atLeast"/>
        </w:trPr>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3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93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9"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印刷完成数量</w:t>
            </w:r>
          </w:p>
        </w:tc>
        <w:tc>
          <w:tcPr>
            <w:tcW w:w="1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≥500件</w:t>
            </w:r>
          </w:p>
        </w:tc>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7"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印刷完成合格率</w:t>
            </w:r>
          </w:p>
        </w:tc>
        <w:tc>
          <w:tcPr>
            <w:tcW w:w="1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49.50%</w:t>
            </w:r>
          </w:p>
        </w:tc>
        <w:tc>
          <w:tcPr>
            <w:tcW w:w="12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4"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≦6万元</w:t>
            </w:r>
          </w:p>
        </w:tc>
        <w:tc>
          <w:tcPr>
            <w:tcW w:w="10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2.97</w:t>
            </w:r>
          </w:p>
        </w:tc>
        <w:tc>
          <w:tcPr>
            <w:tcW w:w="12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印刷完成时间情况</w:t>
            </w:r>
          </w:p>
        </w:tc>
        <w:tc>
          <w:tcPr>
            <w:tcW w:w="1709"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4"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0"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92"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09"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06"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6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38" w:hRule="atLeast"/>
        </w:trPr>
        <w:tc>
          <w:tcPr>
            <w:tcW w:w="10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9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6"/>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业务委托咨询费项目</w:t>
      </w:r>
    </w:p>
    <w:tbl>
      <w:tblPr>
        <w:tblStyle w:val="11"/>
        <w:tblW w:w="9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75"/>
        <w:gridCol w:w="1232"/>
        <w:gridCol w:w="814"/>
        <w:gridCol w:w="1393"/>
        <w:gridCol w:w="1157"/>
        <w:gridCol w:w="1618"/>
        <w:gridCol w:w="954"/>
        <w:gridCol w:w="11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8" w:hRule="atLeast"/>
        </w:trPr>
        <w:tc>
          <w:tcPr>
            <w:tcW w:w="9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7" w:name="OLE_LINK15"/>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业务委托咨询费</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2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w:t>
            </w: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9.406848</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5"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5"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2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72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9"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2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9"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2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6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9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5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6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44.79%</w:t>
            </w:r>
          </w:p>
        </w:tc>
        <w:tc>
          <w:tcPr>
            <w:tcW w:w="1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5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≦21万元</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9.406848</w:t>
            </w:r>
          </w:p>
        </w:tc>
        <w:tc>
          <w:tcPr>
            <w:tcW w:w="1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6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c>
          <w:tcPr>
            <w:tcW w:w="115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5"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14"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50"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18"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54"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57"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16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10"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7"/>
    </w:tbl>
    <w:p>
      <w:pPr>
        <w:widowControl/>
        <w:spacing w:line="360" w:lineRule="auto"/>
        <w:ind w:firstLine="640" w:firstLineChars="200"/>
        <w:jc w:val="left"/>
        <w:rPr>
          <w:rFonts w:hint="eastAsia" w:ascii="Times New Roman" w:eastAsia="仿宋_GB2312"/>
          <w:sz w:val="32"/>
          <w:szCs w:val="32"/>
          <w:lang w:eastAsia="zh-CN"/>
        </w:rPr>
      </w:pP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第四部分名词解释</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Pr>
          <w:rFonts w:hint="eastAsia" w:ascii="Times New Roman" w:eastAsia="仿宋_GB2312"/>
          <w:sz w:val="32"/>
          <w:szCs w:val="32"/>
          <w:lang w:eastAsia="zh-CN"/>
        </w:rPr>
        <w:t>单位</w:t>
      </w:r>
      <w:r>
        <w:rPr>
          <w:rFonts w:ascii="Times New Roman" w:eastAsia="仿宋_GB2312"/>
          <w:sz w:val="32"/>
          <w:szCs w:val="32"/>
        </w:rPr>
        <w:t>取得的财政预算资金。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sz w:val="32"/>
          <w:szCs w:val="32"/>
        </w:rPr>
        <w:t>指事业单位在专业业务活动及其辅助活动之外开展非独立核算经营活动发生的支出。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w:t>
      </w:r>
      <w:r>
        <w:rPr>
          <w:rFonts w:hint="eastAsia" w:ascii="Times New Roman" w:eastAsia="仿宋_GB2312"/>
          <w:sz w:val="32"/>
          <w:szCs w:val="32"/>
          <w:lang w:eastAsia="zh-CN"/>
        </w:rPr>
        <w:t>单位</w:t>
      </w:r>
      <w:r>
        <w:rPr>
          <w:rFonts w:ascii="Times New Roman" w:eastAsia="仿宋_GB2312"/>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911D369-726C-444C-BF35-9D9B3552AA60}"/>
  </w:font>
  <w:font w:name="黑体">
    <w:panose1 w:val="02010609060101010101"/>
    <w:charset w:val="86"/>
    <w:family w:val="auto"/>
    <w:pitch w:val="default"/>
    <w:sig w:usb0="800002BF" w:usb1="38CF7CFA" w:usb2="00000016" w:usb3="00000000" w:csb0="00040001" w:csb1="00000000"/>
    <w:embedRegular r:id="rId2" w:fontKey="{43028EEC-225F-4078-8DA9-1AAF3B012CC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7F830EB0-21C9-4E2F-B518-D8716C512B52}"/>
  </w:font>
  <w:font w:name="仿宋">
    <w:panose1 w:val="02010609060101010101"/>
    <w:charset w:val="86"/>
    <w:family w:val="modern"/>
    <w:pitch w:val="default"/>
    <w:sig w:usb0="800002BF" w:usb1="38CF7CFA" w:usb2="00000016" w:usb3="00000000" w:csb0="00040001" w:csb1="00000000"/>
    <w:embedRegular r:id="rId4" w:fontKey="{99D3658F-2959-4959-BA71-23B7E414127F}"/>
  </w:font>
  <w:font w:name="Calibri Light">
    <w:panose1 w:val="020F0302020204030204"/>
    <w:charset w:val="00"/>
    <w:family w:val="swiss"/>
    <w:pitch w:val="default"/>
    <w:sig w:usb0="A00002EF" w:usb1="4000207B" w:usb2="00000000" w:usb3="00000000" w:csb0="2000019F" w:csb1="00000000"/>
  </w:font>
  <w:font w:name="华文中宋">
    <w:altName w:val="宋体"/>
    <w:panose1 w:val="00000000000000000000"/>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5D710CED-4A94-461B-9C2B-ABEA49EDD4FE}"/>
  </w:font>
  <w:font w:name="方正小标宋_GBK">
    <w:altName w:val="微软雅黑"/>
    <w:panose1 w:val="00000000000000000000"/>
    <w:charset w:val="86"/>
    <w:family w:val="script"/>
    <w:pitch w:val="default"/>
    <w:sig w:usb0="00000000" w:usb1="00000000" w:usb2="00082016" w:usb3="00000000" w:csb0="00040001" w:csb1="00000000"/>
    <w:embedRegular r:id="rId6" w:fontKey="{0591CFAE-09E4-45C3-93DB-B0913FEF7CE8}"/>
  </w:font>
  <w:font w:name="仿宋_GB2312">
    <w:panose1 w:val="02010609030101010101"/>
    <w:charset w:val="86"/>
    <w:family w:val="auto"/>
    <w:pitch w:val="default"/>
    <w:sig w:usb0="00000000" w:usb1="00000000" w:usb2="00000000" w:usb3="00000000" w:csb0="00000000" w:csb1="00000000"/>
    <w:embedRegular r:id="rId7" w:fontKey="{5EEFF44C-CB3C-4A17-8099-A928B880C656}"/>
  </w:font>
  <w:font w:name="ArialUnicodeMS">
    <w:altName w:val="Malgun Gothic"/>
    <w:panose1 w:val="00000000000000000000"/>
    <w:charset w:val="81"/>
    <w:family w:val="auto"/>
    <w:pitch w:val="default"/>
    <w:sig w:usb0="00000000" w:usb1="00000000" w:usb2="00000010" w:usb3="00000000" w:csb0="00080001" w:csb1="00000000"/>
    <w:embedRegular r:id="rId8" w:fontKey="{7771A430-6039-468A-AF8B-704DA095B024}"/>
  </w:font>
  <w:font w:name="方正仿宋_GB2312">
    <w:panose1 w:val="02000000000000000000"/>
    <w:charset w:val="86"/>
    <w:family w:val="auto"/>
    <w:pitch w:val="default"/>
    <w:sig w:usb0="00000000" w:usb1="00000000" w:usb2="00000000" w:usb3="00000000" w:csb0="00000000" w:csb1="00000000"/>
    <w:embedRegular r:id="rId9" w:fontKey="{4C7C200D-5C55-453A-8D89-37B65DD6CAF3}"/>
  </w:font>
  <w:font w:name="___WRD_EMBED_SUB_45">
    <w:panose1 w:val="02010609030101010101"/>
    <w:charset w:val="86"/>
    <w:family w:val="auto"/>
    <w:pitch w:val="default"/>
    <w:sig w:usb0="00000000" w:usb1="00000000" w:usb2="00000000" w:usb3="00000000" w:csb0="00000000" w:csb1="00000000"/>
    <w:embedRegular r:id="rId10" w:fontKey="{87A8F127-B5A8-475B-82DA-2562F104C4F3}"/>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643A5E"/>
    <w:rsid w:val="00037E00"/>
    <w:rsid w:val="00086151"/>
    <w:rsid w:val="000E7672"/>
    <w:rsid w:val="00236F8C"/>
    <w:rsid w:val="00643A5E"/>
    <w:rsid w:val="006528BA"/>
    <w:rsid w:val="007431CC"/>
    <w:rsid w:val="00822154"/>
    <w:rsid w:val="008C65C9"/>
    <w:rsid w:val="00AA6265"/>
    <w:rsid w:val="00C65689"/>
    <w:rsid w:val="00CC2C8E"/>
    <w:rsid w:val="01A03C5A"/>
    <w:rsid w:val="01A5267D"/>
    <w:rsid w:val="01AF6A8D"/>
    <w:rsid w:val="024808A2"/>
    <w:rsid w:val="025C3821"/>
    <w:rsid w:val="02DA3B1B"/>
    <w:rsid w:val="02E57B4D"/>
    <w:rsid w:val="02EC51FB"/>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486B24"/>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DF2614"/>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779AA"/>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7F3F33"/>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9F96DDC"/>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20"/>
      <w:szCs w:val="20"/>
      <w:u w:val="none"/>
    </w:rPr>
  </w:style>
  <w:style w:type="character" w:customStyle="1" w:styleId="26">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1724.16</c:v>
                </c:pt>
                <c:pt idx="1">
                  <c:v>1780.82</c:v>
                </c:pt>
              </c:numCache>
            </c:numRef>
          </c:val>
        </c:ser>
        <c:dLbls>
          <c:showLegendKey val="0"/>
          <c:showVal val="1"/>
          <c:showCatName val="0"/>
          <c:showSerName val="0"/>
          <c:showPercent val="0"/>
          <c:showBubbleSize val="0"/>
        </c:dLbls>
        <c:gapWidth val="246"/>
        <c:overlap val="-28"/>
        <c:axId val="193396096"/>
        <c:axId val="185012608"/>
      </c:barChart>
      <c:catAx>
        <c:axId val="1933960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012608"/>
        <c:crosses val="autoZero"/>
        <c:auto val="1"/>
        <c:lblAlgn val="ctr"/>
        <c:lblOffset val="100"/>
        <c:noMultiLvlLbl val="0"/>
      </c:catAx>
      <c:valAx>
        <c:axId val="1850126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396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17808207.05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9202076.97</c:v>
                </c:pt>
                <c:pt idx="1">
                  <c:v>8606130.08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1724.16</c:v>
                </c:pt>
                <c:pt idx="1">
                  <c:v>1724.16</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1780.82</c:v>
                </c:pt>
                <c:pt idx="1">
                  <c:v>1780.82</c:v>
                </c:pt>
              </c:numCache>
            </c:numRef>
          </c:val>
        </c:ser>
        <c:dLbls>
          <c:showLegendKey val="0"/>
          <c:showVal val="1"/>
          <c:showCatName val="0"/>
          <c:showSerName val="0"/>
          <c:showPercent val="0"/>
          <c:showBubbleSize val="0"/>
        </c:dLbls>
        <c:gapWidth val="246"/>
        <c:overlap val="-28"/>
        <c:axId val="216179456"/>
        <c:axId val="216180992"/>
      </c:barChart>
      <c:catAx>
        <c:axId val="21617945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180992"/>
        <c:crosses val="autoZero"/>
        <c:auto val="1"/>
        <c:lblAlgn val="ctr"/>
        <c:lblOffset val="100"/>
        <c:noMultiLvlLbl val="0"/>
      </c:catAx>
      <c:valAx>
        <c:axId val="21618099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1794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1954.95</c:v>
                </c:pt>
                <c:pt idx="1">
                  <c:v>1954.95</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1780.82</c:v>
                </c:pt>
                <c:pt idx="1">
                  <c:v>1780.82</c:v>
                </c:pt>
              </c:numCache>
            </c:numRef>
          </c:val>
        </c:ser>
        <c:dLbls>
          <c:showLegendKey val="0"/>
          <c:showVal val="1"/>
          <c:showCatName val="0"/>
          <c:showSerName val="0"/>
          <c:showPercent val="0"/>
          <c:showBubbleSize val="0"/>
        </c:dLbls>
        <c:gapWidth val="150"/>
        <c:axId val="216479616"/>
        <c:axId val="216481152"/>
      </c:barChart>
      <c:catAx>
        <c:axId val="2164796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481152"/>
        <c:crosses val="autoZero"/>
        <c:auto val="1"/>
        <c:lblAlgn val="ctr"/>
        <c:lblOffset val="100"/>
        <c:noMultiLvlLbl val="0"/>
      </c:catAx>
      <c:valAx>
        <c:axId val="21648115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4796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delete val="1"/>
          </c:dLbls>
          <c:cat>
            <c:strRef>
              <c:f>Sheet1!$A$2:$A$5</c:f>
              <c:strCache>
                <c:ptCount val="4"/>
                <c:pt idx="0">
                  <c:v>公共安全支出</c:v>
                </c:pt>
                <c:pt idx="1">
                  <c:v>社会保障和就业支出</c:v>
                </c:pt>
                <c:pt idx="2">
                  <c:v>卫生健康支出</c:v>
                </c:pt>
                <c:pt idx="3">
                  <c:v>住房保障支出</c:v>
                </c:pt>
              </c:strCache>
            </c:strRef>
          </c:cat>
          <c:val>
            <c:numRef>
              <c:f>Sheet1!$B$2:$B$5</c:f>
              <c:numCache>
                <c:formatCode>General</c:formatCode>
                <c:ptCount val="4"/>
                <c:pt idx="0">
                  <c:v>1552</c:v>
                </c:pt>
                <c:pt idx="1">
                  <c:v>110.1</c:v>
                </c:pt>
                <c:pt idx="2">
                  <c:v>54.95</c:v>
                </c:pt>
                <c:pt idx="3">
                  <c:v>63.77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33</Pages>
  <Words>7750</Words>
  <Characters>4346</Characters>
  <Lines>36</Lines>
  <Paragraphs>24</Paragraphs>
  <TotalTime>2</TotalTime>
  <ScaleCrop>false</ScaleCrop>
  <LinksUpToDate>false</LinksUpToDate>
  <CharactersWithSpaces>12072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2025-09-11T03:10:00Z</dcterms:created>
  <dc:creator>王明新TIAD</dc:creator>
  <cp:lastModifiedBy>Administrator</cp:lastModifiedBy>
  <cp:lastPrinted>2023-08-04T01:00:00Z</cp:lastPrinted>
  <dcterms:modified xsi:type="dcterms:W3CDTF">2025-09-11T10:14:48Z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