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1.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0"/>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1"/>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2"/>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">
                <o:lock v:ext="edit" aspectratio="f"/>
                <v:rect id="矩形 19" o:spid="_x0000_s1026" o:spt="1" style="position:absolute;left:-381;top:4387;height:2457;width:1834;v-text-anchor:middle;" fillcolor="#0176AB" filled="t" stroked="f" coordsize="21600,21600" o:gfxdata="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">
                  <v:fill on="t" focussize="0,0"/>
                  <v:stroke on="f"/>
                  <v:imagedata o:title=""/>
                  <o:lock v:ext="edit" aspectratio="f"/>
                </v:rect>
                <v:shape id="矩形 24" o:spid="_x0000_s1026" o:spt="100" style="position:absolute;left:-3504;top:6953;height:150;width:11815;" fillcolor="#E5AA57" filled="t" stroked="f" coordsize="7501732,94593" o:gfxdata="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">
                <o:lock v:ext="edit" aspectratio="f"/>
                <v:shape id="文本框 32" o:spid="_x0000_s1026" o:spt="202" type="#_x0000_t202" style="position:absolute;left:13325;top:1831;height:1348;width:4462;" filled="f" stroked="f" coordsize="21600,21600" o:gfxdata="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DqDuuy7AAAA2wAAAA8AAAAAAAAAAQAgAAAAOAAAAGRycy9kb3ducmV2Lnht&#10;bFBLAQIUABQAAAAIAIdO4kAzLwWeOwAAADkAAAAQAAAAAAAAAAEAIAAAACABAABkcnMvc2hhcGV4&#10;bWwueG1sUEsFBgAAAAAGAAYAWwEAAMoDAAAAAA==&#10;">
                  <v:fill on="f" focussize="0,0"/>
                  <v:stroke on="f"/>
                  <v:imagedata o:title=""/>
                  <o:lock v:ext="edit" aspectratio="f"/>
                  <v:textbo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">
                  <o:lock v:ext="edit" aspectratio="f"/>
                  <v:shape id="文本框 32" o:spid="_x0000_s1026" o:spt="202" type="#_x0000_t202" style="position:absolute;left:6119;top:2843;height:1421;width:9377;" filled="f" stroked="f" coordsize="21600,21600" o:gfxdata="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EEsIDe7AAAA2wAAAA8AAAAAAAAAAQAgAAAAOAAAAGRycy9kb3ducmV2Lnht&#10;bFBLAQIUABQAAAAIAIdO4kAzLwWeOwAAADkAAAAQAAAAAAAAAAEAIAAAACABAABkcnMvc2hhcGV4&#10;bWwueG1sUEsFBgAAAAAGAAYAWwEAAMoDAAAAAA==&#10;">
                    <v:fill on="f" focussize="0,0"/>
                    <v:stroke on="f"/>
                    <v:imagedata o:title=""/>
                    <o:lock v:ext="edit" aspectratio="f"/>
                    <v:textbo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PtPjOe+AAAA2gAAAA8AAAAAAAAAAQAgAAAAOAAAAGRycy9kb3ducmV2&#10;LnhtbFBLAQIUABQAAAAIAIdO4kAzLwWeOwAAADkAAAAQAAAAAAAAAAEAIAAAACMBAABkcnMvc2hh&#10;cGV4bWwueG1sUEsFBgAAAAAGAAYAWwEAAM0DA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4">
                      <a:extLst>
                        <a:ext uri="{96DAC541-7B7A-43D3-8B79-37D633B846F1}">
                          <asvg:svgBlip xmlns:asvg="http://schemas.microsoft.com/office/drawing/2016/SVG/main" r:embed="rId15"/>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BYAAABkcnMvUEsBAhQAFAAAAAgAh07iQFmpZa/YAAAACwEAAA8AAAAAAAAAAQAgAAAA&#10;OAAAAGRycy9kb3ducmV2LnhtbFBLAQIUABQAAAAIAIdO4kBbvW5XvAEAAF8DAAAOAAAAAAAAAAEA&#10;IAAAAD0BAABkcnMvZTJvRG9jLnhtbFBLBQYAAAAABgAGAFkBAABrBQ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rPr>
          <w:rFonts w:hint="eastAsia"/>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302001</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：石家庄市数据</w:t>
      </w:r>
      <w:r>
        <w:rPr>
          <w:rFonts w:hint="eastAsia" w:ascii="楷体_GB2312" w:hAnsi="楷体_GB2312" w:eastAsia="楷体_GB2312" w:cs="楷体_GB2312"/>
          <w:color w:val="000000"/>
          <w:sz w:val="40"/>
          <w:szCs w:val="40"/>
          <w:lang w:eastAsia="zh-CN"/>
        </w:rPr>
        <w:t>资源管理</w:t>
      </w:r>
      <w:r>
        <w:rPr>
          <w:rFonts w:hint="eastAsia" w:ascii="楷体_GB2312" w:hAnsi="楷体_GB2312" w:eastAsia="楷体_GB2312" w:cs="楷体_GB2312"/>
          <w:color w:val="000000"/>
          <w:sz w:val="40"/>
          <w:szCs w:val="40"/>
        </w:rPr>
        <w:t>局（本级）</w:t>
      </w:r>
    </w:p>
    <w:p>
      <w:pPr>
        <w:spacing w:line="600" w:lineRule="auto"/>
        <w:jc w:val="left"/>
        <w:rPr>
          <w:rFonts w:hint="default" w:ascii="楷体_GB2312" w:hAnsi="楷体_GB2312" w:eastAsia="楷体_GB2312" w:cs="楷体_GB2312"/>
          <w:color w:val="000000"/>
          <w:sz w:val="40"/>
          <w:szCs w:val="40"/>
          <w:lang w:val="en-US" w:eastAsia="zh-CN"/>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pStyle w:val="2"/>
        <w:ind w:left="0" w:leftChars="0" w:firstLine="0" w:firstLineChars="0"/>
        <w:rPr>
          <w:rFonts w:ascii="黑体" w:hAnsi="黑体" w:eastAsia="黑体" w:cs="黑体"/>
          <w:b/>
          <w:bCs/>
          <w:sz w:val="72"/>
          <w:szCs w:val="96"/>
        </w:rPr>
      </w:pPr>
    </w:p>
    <w:p>
      <w:pPr>
        <w:keepNext w:val="0"/>
        <w:keepLines w:val="0"/>
        <w:pageBreakBefore w:val="0"/>
        <w:widowControl w:val="0"/>
        <w:kinsoku/>
        <w:wordWrap/>
        <w:overflowPunct/>
        <w:topLinePunct w:val="0"/>
        <w:autoSpaceDE/>
        <w:autoSpaceDN/>
        <w:bidi w:val="0"/>
        <w:adjustRightInd/>
        <w:snapToGrid/>
        <w:jc w:val="center"/>
        <w:textAlignment w:val="auto"/>
        <w:rPr>
          <w:rFonts w:ascii="黑体" w:hAnsi="黑体" w:eastAsia="黑体" w:cs="黑体"/>
          <w:b/>
          <w:bCs/>
          <w:spacing w:val="-20"/>
          <w:sz w:val="72"/>
          <w:szCs w:val="72"/>
        </w:rPr>
      </w:pPr>
      <w:r>
        <w:rPr>
          <w:rFonts w:hint="eastAsia" w:ascii="黑体" w:hAnsi="黑体" w:eastAsia="黑体" w:cs="黑体"/>
          <w:b/>
          <w:bCs/>
          <w:spacing w:val="-20"/>
          <w:sz w:val="72"/>
          <w:szCs w:val="72"/>
        </w:rPr>
        <w:t>2023年度</w:t>
      </w:r>
      <w:r>
        <w:rPr>
          <w:rFonts w:hint="eastAsia" w:ascii="黑体" w:hAnsi="黑体" w:eastAsia="黑体" w:cs="黑体"/>
          <w:b/>
          <w:bCs/>
          <w:spacing w:val="-20"/>
          <w:sz w:val="72"/>
          <w:szCs w:val="72"/>
          <w:lang w:eastAsia="zh-CN"/>
        </w:rPr>
        <w:t>单位</w:t>
      </w:r>
      <w:r>
        <w:rPr>
          <w:rFonts w:hint="eastAsia" w:ascii="黑体" w:hAnsi="黑体" w:eastAsia="黑体" w:cs="黑体"/>
          <w:b/>
          <w:bCs/>
          <w:spacing w:val="-20"/>
          <w:sz w:val="72"/>
          <w:szCs w:val="72"/>
        </w:rPr>
        <w:t>决算公开文本</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hAnsi="黑体" w:eastAsia="黑体" w:cs="黑体"/>
          <w:spacing w:val="-20"/>
          <w:sz w:val="56"/>
          <w:szCs w:val="72"/>
        </w:rPr>
      </w:pPr>
    </w:p>
    <w:p>
      <w:pPr>
        <w:pStyle w:val="2"/>
        <w:rPr>
          <w:rFonts w:ascii="黑体" w:hAnsi="黑体" w:eastAsia="黑体" w:cs="黑体"/>
          <w:spacing w:val="-20"/>
          <w:sz w:val="56"/>
          <w:szCs w:val="72"/>
        </w:rPr>
      </w:pPr>
    </w:p>
    <w:p>
      <w:pPr>
        <w:pStyle w:val="2"/>
        <w:rPr>
          <w:rFonts w:ascii="黑体" w:hAnsi="黑体" w:eastAsia="黑体" w:cs="黑体"/>
          <w:spacing w:val="-20"/>
          <w:sz w:val="56"/>
          <w:szCs w:val="72"/>
        </w:rPr>
      </w:pPr>
    </w:p>
    <w:p>
      <w:pPr>
        <w:spacing w:line="600" w:lineRule="auto"/>
        <w:jc w:val="center"/>
        <w:rPr>
          <w:rFonts w:ascii="黑体" w:hAnsi="黑体" w:eastAsia="黑体" w:cs="黑体"/>
          <w:sz w:val="56"/>
          <w:szCs w:val="72"/>
        </w:rPr>
      </w:pPr>
    </w:p>
    <w:p>
      <w:pPr>
        <w:pStyle w:val="2"/>
        <w:rPr>
          <w:rFonts w:ascii="黑体" w:hAnsi="黑体" w:eastAsia="黑体" w:cs="黑体"/>
          <w:sz w:val="56"/>
          <w:szCs w:val="72"/>
        </w:rPr>
      </w:pPr>
    </w:p>
    <w:p>
      <w:pPr>
        <w:pStyle w:val="2"/>
        <w:ind w:left="0" w:leftChars="0" w:firstLine="0" w:firstLineChars="0"/>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石家庄市数据资源管理局</w:t>
      </w: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2041" w:right="1417" w:bottom="2041" w:left="1417" w:header="851" w:footer="992" w:gutter="0"/>
          <w:cols w:space="720" w:num="1"/>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二〇二四年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九月</w:t>
      </w: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hint="eastAsia"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hint="default" w:ascii="Arial" w:hAnsi="Arial" w:eastAsia="Arial" w:cs="Arial"/>
          <w:i w:val="0"/>
          <w:iCs w:val="0"/>
          <w:caps w:val="0"/>
          <w:color w:val="000000"/>
          <w:spacing w:val="0"/>
          <w:sz w:val="18"/>
          <w:szCs w:val="18"/>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概况</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单位</w:t>
      </w:r>
      <w:r>
        <w:rPr>
          <w:rFonts w:hint="eastAsia" w:ascii="黑体" w:hAnsi="宋体" w:eastAsia="黑体" w:cs="黑体"/>
          <w:i w:val="0"/>
          <w:iCs w:val="0"/>
          <w:caps w:val="0"/>
          <w:color w:val="000000"/>
          <w:spacing w:val="0"/>
          <w:sz w:val="32"/>
          <w:szCs w:val="32"/>
          <w:highlight w:val="none"/>
          <w:shd w:val="clear" w:fill="FFFFFF"/>
        </w:rPr>
        <w:t>职责</w:t>
      </w:r>
    </w:p>
    <w:p>
      <w:pPr>
        <w:keepNext w:val="0"/>
        <w:keepLines w:val="0"/>
        <w:pageBreakBefore w:val="0"/>
        <w:widowControl/>
        <w:suppressLineNumbers w:val="0"/>
        <w:kinsoku/>
        <w:wordWrap/>
        <w:overflowPunct/>
        <w:topLinePunct w:val="0"/>
        <w:autoSpaceDE/>
        <w:autoSpaceDN/>
        <w:bidi w:val="0"/>
        <w:adjustRightInd/>
        <w:snapToGrid/>
        <w:spacing w:line="576" w:lineRule="exact"/>
        <w:ind w:firstLine="620" w:firstLineChars="200"/>
        <w:jc w:val="left"/>
        <w:textAlignment w:val="auto"/>
      </w:pPr>
      <w:r>
        <w:rPr>
          <w:rFonts w:ascii="仿宋_GB2312" w:hAnsi="宋体" w:eastAsia="仿宋_GB2312" w:cs="仿宋_GB2312"/>
          <w:color w:val="000000"/>
          <w:kern w:val="0"/>
          <w:sz w:val="31"/>
          <w:szCs w:val="31"/>
          <w:lang w:val="en-US" w:eastAsia="zh-CN" w:bidi="ar"/>
        </w:rPr>
        <w:t xml:space="preserve">根据《石家庄市数据资源管理局职能配置、内设机构和人员 </w:t>
      </w:r>
    </w:p>
    <w:p>
      <w:pPr>
        <w:keepNext w:val="0"/>
        <w:keepLines w:val="0"/>
        <w:pageBreakBefore w:val="0"/>
        <w:widowControl/>
        <w:suppressLineNumbers w:val="0"/>
        <w:kinsoku/>
        <w:wordWrap/>
        <w:overflowPunct/>
        <w:topLinePunct w:val="0"/>
        <w:autoSpaceDE/>
        <w:autoSpaceDN/>
        <w:bidi w:val="0"/>
        <w:adjustRightInd/>
        <w:snapToGrid/>
        <w:spacing w:line="576" w:lineRule="exact"/>
        <w:jc w:val="left"/>
        <w:textAlignment w:val="auto"/>
      </w:pPr>
      <w:r>
        <w:rPr>
          <w:rFonts w:hint="eastAsia" w:ascii="仿宋_GB2312" w:hAnsi="宋体" w:eastAsia="仿宋_GB2312" w:cs="仿宋_GB2312"/>
          <w:color w:val="000000"/>
          <w:kern w:val="0"/>
          <w:sz w:val="31"/>
          <w:szCs w:val="31"/>
          <w:lang w:val="en-US" w:eastAsia="zh-CN" w:bidi="ar"/>
        </w:rPr>
        <w:t xml:space="preserve">编制规定》，石家庄市数据资源管理局的主要职责是： </w:t>
      </w:r>
    </w:p>
    <w:p>
      <w:pPr>
        <w:keepNext w:val="0"/>
        <w:keepLines w:val="0"/>
        <w:pageBreakBefore w:val="0"/>
        <w:widowControl/>
        <w:suppressLineNumbers w:val="0"/>
        <w:kinsoku/>
        <w:wordWrap/>
        <w:overflowPunct/>
        <w:topLinePunct w:val="0"/>
        <w:autoSpaceDE/>
        <w:autoSpaceDN/>
        <w:bidi w:val="0"/>
        <w:adjustRightInd/>
        <w:snapToGrid/>
        <w:spacing w:line="576" w:lineRule="exact"/>
        <w:ind w:firstLine="620" w:firstLineChars="200"/>
        <w:jc w:val="left"/>
        <w:textAlignment w:val="auto"/>
      </w:pPr>
      <w:r>
        <w:rPr>
          <w:rFonts w:hint="eastAsia" w:ascii="仿宋_GB2312" w:hAnsi="宋体" w:eastAsia="仿宋_GB2312" w:cs="仿宋_GB2312"/>
          <w:color w:val="000000"/>
          <w:kern w:val="0"/>
          <w:sz w:val="31"/>
          <w:szCs w:val="31"/>
          <w:lang w:val="en-US" w:eastAsia="zh-CN" w:bidi="ar"/>
        </w:rPr>
        <w:t xml:space="preserve">（一）贯彻执行国家、省有关电子政务、智慧城市、政务服 </w:t>
      </w:r>
    </w:p>
    <w:p>
      <w:pPr>
        <w:keepNext w:val="0"/>
        <w:keepLines w:val="0"/>
        <w:pageBreakBefore w:val="0"/>
        <w:widowControl/>
        <w:suppressLineNumbers w:val="0"/>
        <w:kinsoku/>
        <w:wordWrap/>
        <w:overflowPunct/>
        <w:topLinePunct w:val="0"/>
        <w:autoSpaceDE/>
        <w:autoSpaceDN/>
        <w:bidi w:val="0"/>
        <w:adjustRightInd/>
        <w:snapToGrid/>
        <w:spacing w:line="576" w:lineRule="exact"/>
        <w:jc w:val="left"/>
        <w:textAlignment w:val="auto"/>
      </w:pPr>
      <w:r>
        <w:rPr>
          <w:rFonts w:hint="eastAsia" w:ascii="仿宋_GB2312" w:hAnsi="宋体" w:eastAsia="仿宋_GB2312" w:cs="仿宋_GB2312"/>
          <w:color w:val="000000"/>
          <w:kern w:val="0"/>
          <w:sz w:val="31"/>
          <w:szCs w:val="31"/>
          <w:lang w:val="en-US" w:eastAsia="zh-CN" w:bidi="ar"/>
        </w:rPr>
        <w:t xml:space="preserve">务和数据资源管理的方针政策和法律法规，起草相关地方性法规、 </w:t>
      </w:r>
    </w:p>
    <w:p>
      <w:pPr>
        <w:keepNext w:val="0"/>
        <w:keepLines w:val="0"/>
        <w:pageBreakBefore w:val="0"/>
        <w:widowControl/>
        <w:suppressLineNumbers w:val="0"/>
        <w:kinsoku/>
        <w:wordWrap/>
        <w:overflowPunct/>
        <w:topLinePunct w:val="0"/>
        <w:autoSpaceDE/>
        <w:autoSpaceDN/>
        <w:bidi w:val="0"/>
        <w:adjustRightInd/>
        <w:snapToGrid/>
        <w:spacing w:line="576" w:lineRule="exact"/>
        <w:jc w:val="left"/>
        <w:textAlignment w:val="auto"/>
      </w:pPr>
      <w:r>
        <w:rPr>
          <w:rFonts w:hint="eastAsia" w:ascii="仿宋_GB2312" w:hAnsi="宋体" w:eastAsia="仿宋_GB2312" w:cs="仿宋_GB2312"/>
          <w:color w:val="000000"/>
          <w:kern w:val="0"/>
          <w:sz w:val="31"/>
          <w:szCs w:val="31"/>
          <w:lang w:val="en-US" w:eastAsia="zh-CN" w:bidi="ar"/>
        </w:rPr>
        <w:t xml:space="preserve">政府规章草案，拟订全市数据资源管理发展规划、年度计划、政 </w:t>
      </w:r>
    </w:p>
    <w:p>
      <w:pPr>
        <w:keepNext w:val="0"/>
        <w:keepLines w:val="0"/>
        <w:pageBreakBefore w:val="0"/>
        <w:widowControl/>
        <w:suppressLineNumbers w:val="0"/>
        <w:kinsoku/>
        <w:wordWrap/>
        <w:overflowPunct/>
        <w:topLinePunct w:val="0"/>
        <w:autoSpaceDE/>
        <w:autoSpaceDN/>
        <w:bidi w:val="0"/>
        <w:adjustRightInd/>
        <w:snapToGrid/>
        <w:spacing w:line="576" w:lineRule="exact"/>
        <w:jc w:val="left"/>
        <w:textAlignment w:val="auto"/>
      </w:pPr>
      <w:r>
        <w:rPr>
          <w:rFonts w:hint="eastAsia" w:ascii="仿宋_GB2312" w:hAnsi="宋体" w:eastAsia="仿宋_GB2312" w:cs="仿宋_GB2312"/>
          <w:color w:val="000000"/>
          <w:kern w:val="0"/>
          <w:sz w:val="31"/>
          <w:szCs w:val="31"/>
          <w:lang w:val="en-US" w:eastAsia="zh-CN" w:bidi="ar"/>
        </w:rPr>
        <w:t xml:space="preserve">策措施和评价体系并组织实施。 </w:t>
      </w:r>
    </w:p>
    <w:p>
      <w:pPr>
        <w:keepNext w:val="0"/>
        <w:keepLines w:val="0"/>
        <w:pageBreakBefore w:val="0"/>
        <w:widowControl/>
        <w:suppressLineNumbers w:val="0"/>
        <w:kinsoku/>
        <w:wordWrap/>
        <w:overflowPunct/>
        <w:topLinePunct w:val="0"/>
        <w:autoSpaceDE/>
        <w:autoSpaceDN/>
        <w:bidi w:val="0"/>
        <w:adjustRightInd/>
        <w:snapToGrid/>
        <w:spacing w:line="576" w:lineRule="exact"/>
        <w:ind w:firstLine="620" w:firstLineChars="200"/>
        <w:jc w:val="left"/>
        <w:textAlignment w:val="auto"/>
      </w:pPr>
      <w:r>
        <w:rPr>
          <w:rFonts w:hint="eastAsia" w:ascii="仿宋_GB2312" w:hAnsi="宋体" w:eastAsia="仿宋_GB2312" w:cs="仿宋_GB2312"/>
          <w:color w:val="000000"/>
          <w:kern w:val="0"/>
          <w:sz w:val="31"/>
          <w:szCs w:val="31"/>
          <w:lang w:val="en-US" w:eastAsia="zh-CN" w:bidi="ar"/>
        </w:rPr>
        <w:t xml:space="preserve">（二）组织实施国家和地方数据技术标准；研究制定我市数 </w:t>
      </w:r>
    </w:p>
    <w:p>
      <w:pPr>
        <w:keepNext w:val="0"/>
        <w:keepLines w:val="0"/>
        <w:pageBreakBefore w:val="0"/>
        <w:widowControl/>
        <w:suppressLineNumbers w:val="0"/>
        <w:kinsoku/>
        <w:wordWrap/>
        <w:overflowPunct/>
        <w:topLinePunct w:val="0"/>
        <w:autoSpaceDE/>
        <w:autoSpaceDN/>
        <w:bidi w:val="0"/>
        <w:adjustRightInd/>
        <w:snapToGrid/>
        <w:spacing w:line="576" w:lineRule="exact"/>
        <w:jc w:val="left"/>
        <w:textAlignment w:val="auto"/>
      </w:pPr>
      <w:r>
        <w:rPr>
          <w:rFonts w:hint="eastAsia" w:ascii="仿宋_GB2312" w:hAnsi="宋体" w:eastAsia="仿宋_GB2312" w:cs="仿宋_GB2312"/>
          <w:color w:val="000000"/>
          <w:kern w:val="0"/>
          <w:sz w:val="31"/>
          <w:szCs w:val="31"/>
          <w:lang w:val="en-US" w:eastAsia="zh-CN" w:bidi="ar"/>
        </w:rPr>
        <w:t xml:space="preserve">据资源采集、存储、使用、开放、共享等标准规范并监督实施。 </w:t>
      </w:r>
    </w:p>
    <w:p>
      <w:pPr>
        <w:keepNext w:val="0"/>
        <w:keepLines w:val="0"/>
        <w:pageBreakBefore w:val="0"/>
        <w:widowControl/>
        <w:suppressLineNumbers w:val="0"/>
        <w:kinsoku/>
        <w:wordWrap/>
        <w:overflowPunct/>
        <w:topLinePunct w:val="0"/>
        <w:autoSpaceDE/>
        <w:autoSpaceDN/>
        <w:bidi w:val="0"/>
        <w:adjustRightInd/>
        <w:snapToGrid/>
        <w:spacing w:line="576" w:lineRule="exact"/>
        <w:ind w:firstLine="620" w:firstLineChars="200"/>
        <w:jc w:val="left"/>
        <w:textAlignment w:val="auto"/>
      </w:pPr>
      <w:r>
        <w:rPr>
          <w:rFonts w:hint="eastAsia" w:ascii="仿宋_GB2312" w:hAnsi="宋体" w:eastAsia="仿宋_GB2312" w:cs="仿宋_GB2312"/>
          <w:color w:val="000000"/>
          <w:kern w:val="0"/>
          <w:sz w:val="31"/>
          <w:szCs w:val="31"/>
          <w:lang w:val="en-US" w:eastAsia="zh-CN" w:bidi="ar"/>
        </w:rPr>
        <w:t xml:space="preserve">（三）会同政务服务管理部门做好“互联网+政务服务”工 </w:t>
      </w:r>
    </w:p>
    <w:p>
      <w:pPr>
        <w:keepNext w:val="0"/>
        <w:keepLines w:val="0"/>
        <w:pageBreakBefore w:val="0"/>
        <w:widowControl/>
        <w:suppressLineNumbers w:val="0"/>
        <w:kinsoku/>
        <w:wordWrap/>
        <w:overflowPunct/>
        <w:topLinePunct w:val="0"/>
        <w:autoSpaceDE/>
        <w:autoSpaceDN/>
        <w:bidi w:val="0"/>
        <w:adjustRightInd/>
        <w:snapToGrid/>
        <w:spacing w:line="576" w:lineRule="exact"/>
        <w:jc w:val="left"/>
        <w:textAlignment w:val="auto"/>
      </w:pPr>
      <w:r>
        <w:rPr>
          <w:rFonts w:hint="eastAsia" w:ascii="仿宋_GB2312" w:hAnsi="宋体" w:eastAsia="仿宋_GB2312" w:cs="仿宋_GB2312"/>
          <w:color w:val="000000"/>
          <w:kern w:val="0"/>
          <w:sz w:val="31"/>
          <w:szCs w:val="31"/>
          <w:lang w:val="en-US" w:eastAsia="zh-CN" w:bidi="ar"/>
        </w:rPr>
        <w:t xml:space="preserve">作的规划及有关项目建设工作。负责在线政务服务平台建设。推 </w:t>
      </w:r>
    </w:p>
    <w:p>
      <w:pPr>
        <w:keepNext w:val="0"/>
        <w:keepLines w:val="0"/>
        <w:pageBreakBefore w:val="0"/>
        <w:widowControl/>
        <w:suppressLineNumbers w:val="0"/>
        <w:kinsoku/>
        <w:wordWrap/>
        <w:overflowPunct/>
        <w:topLinePunct w:val="0"/>
        <w:autoSpaceDE/>
        <w:autoSpaceDN/>
        <w:bidi w:val="0"/>
        <w:adjustRightInd/>
        <w:snapToGrid/>
        <w:spacing w:line="576" w:lineRule="exact"/>
        <w:jc w:val="left"/>
        <w:textAlignment w:val="auto"/>
      </w:pPr>
      <w:r>
        <w:rPr>
          <w:rFonts w:hint="eastAsia" w:ascii="仿宋_GB2312" w:hAnsi="宋体" w:eastAsia="仿宋_GB2312" w:cs="仿宋_GB2312"/>
          <w:color w:val="000000"/>
          <w:kern w:val="0"/>
          <w:sz w:val="31"/>
          <w:szCs w:val="31"/>
          <w:lang w:val="en-US" w:eastAsia="zh-CN" w:bidi="ar"/>
        </w:rPr>
        <w:t xml:space="preserve">进在线政务服务平台规范化、标准化、集约化建设。 </w:t>
      </w:r>
    </w:p>
    <w:p>
      <w:pPr>
        <w:keepNext w:val="0"/>
        <w:keepLines w:val="0"/>
        <w:pageBreakBefore w:val="0"/>
        <w:widowControl/>
        <w:suppressLineNumbers w:val="0"/>
        <w:kinsoku/>
        <w:wordWrap/>
        <w:overflowPunct/>
        <w:topLinePunct w:val="0"/>
        <w:autoSpaceDE/>
        <w:autoSpaceDN/>
        <w:bidi w:val="0"/>
        <w:adjustRightInd/>
        <w:snapToGrid/>
        <w:spacing w:line="576" w:lineRule="exact"/>
        <w:ind w:firstLine="620" w:firstLineChars="200"/>
        <w:jc w:val="left"/>
        <w:textAlignment w:val="auto"/>
      </w:pPr>
      <w:r>
        <w:rPr>
          <w:rFonts w:hint="eastAsia" w:ascii="仿宋_GB2312" w:hAnsi="宋体" w:eastAsia="仿宋_GB2312" w:cs="仿宋_GB2312"/>
          <w:color w:val="000000"/>
          <w:kern w:val="0"/>
          <w:sz w:val="31"/>
          <w:szCs w:val="31"/>
          <w:lang w:val="en-US" w:eastAsia="zh-CN" w:bidi="ar"/>
        </w:rPr>
        <w:t xml:space="preserve">（四）拟定全市政务数据和公共数据资源的目录制定、归集 </w:t>
      </w:r>
    </w:p>
    <w:p>
      <w:pPr>
        <w:keepNext w:val="0"/>
        <w:keepLines w:val="0"/>
        <w:pageBreakBefore w:val="0"/>
        <w:widowControl/>
        <w:suppressLineNumbers w:val="0"/>
        <w:kinsoku/>
        <w:wordWrap/>
        <w:overflowPunct/>
        <w:topLinePunct w:val="0"/>
        <w:autoSpaceDE/>
        <w:autoSpaceDN/>
        <w:bidi w:val="0"/>
        <w:adjustRightInd/>
        <w:snapToGrid/>
        <w:spacing w:line="576" w:lineRule="exact"/>
        <w:jc w:val="left"/>
        <w:textAlignment w:val="auto"/>
      </w:pPr>
      <w:r>
        <w:rPr>
          <w:rFonts w:hint="eastAsia" w:ascii="仿宋_GB2312" w:hAnsi="宋体" w:eastAsia="仿宋_GB2312" w:cs="仿宋_GB2312"/>
          <w:color w:val="000000"/>
          <w:kern w:val="0"/>
          <w:sz w:val="31"/>
          <w:szCs w:val="31"/>
          <w:lang w:val="en-US" w:eastAsia="zh-CN" w:bidi="ar"/>
        </w:rPr>
        <w:t xml:space="preserve">管理、整理利用、共享开放管理办法并组织实施，推动数据资源 </w:t>
      </w:r>
    </w:p>
    <w:p>
      <w:pPr>
        <w:keepNext w:val="0"/>
        <w:keepLines w:val="0"/>
        <w:pageBreakBefore w:val="0"/>
        <w:widowControl/>
        <w:suppressLineNumbers w:val="0"/>
        <w:kinsoku/>
        <w:wordWrap/>
        <w:overflowPunct/>
        <w:topLinePunct w:val="0"/>
        <w:autoSpaceDE/>
        <w:autoSpaceDN/>
        <w:bidi w:val="0"/>
        <w:adjustRightInd/>
        <w:snapToGrid/>
        <w:spacing w:line="576" w:lineRule="exact"/>
        <w:jc w:val="left"/>
        <w:textAlignment w:val="auto"/>
      </w:pPr>
      <w:r>
        <w:rPr>
          <w:rFonts w:hint="eastAsia" w:ascii="仿宋_GB2312" w:hAnsi="宋体" w:eastAsia="仿宋_GB2312" w:cs="仿宋_GB2312"/>
          <w:color w:val="000000"/>
          <w:kern w:val="0"/>
          <w:sz w:val="31"/>
          <w:szCs w:val="31"/>
          <w:lang w:val="en-US" w:eastAsia="zh-CN" w:bidi="ar"/>
        </w:rPr>
        <w:t xml:space="preserve">在政府管理和社会治理领域的应用。 </w:t>
      </w:r>
    </w:p>
    <w:p>
      <w:pPr>
        <w:keepNext w:val="0"/>
        <w:keepLines w:val="0"/>
        <w:pageBreakBefore w:val="0"/>
        <w:widowControl/>
        <w:suppressLineNumbers w:val="0"/>
        <w:kinsoku/>
        <w:wordWrap/>
        <w:overflowPunct/>
        <w:topLinePunct w:val="0"/>
        <w:autoSpaceDE/>
        <w:autoSpaceDN/>
        <w:bidi w:val="0"/>
        <w:adjustRightInd/>
        <w:snapToGrid/>
        <w:spacing w:line="576" w:lineRule="exact"/>
        <w:ind w:firstLine="620" w:firstLineChars="200"/>
        <w:jc w:val="left"/>
        <w:textAlignment w:val="auto"/>
      </w:pPr>
      <w:r>
        <w:rPr>
          <w:rFonts w:hint="eastAsia" w:ascii="仿宋_GB2312" w:hAnsi="宋体" w:eastAsia="仿宋_GB2312" w:cs="仿宋_GB2312"/>
          <w:color w:val="000000"/>
          <w:kern w:val="0"/>
          <w:sz w:val="31"/>
          <w:szCs w:val="31"/>
          <w:lang w:val="en-US" w:eastAsia="zh-CN" w:bidi="ar"/>
        </w:rPr>
        <w:t xml:space="preserve">（五）负责市电子政务组织推动工作，负责市政务网络建设 </w:t>
      </w:r>
    </w:p>
    <w:p>
      <w:pPr>
        <w:keepNext w:val="0"/>
        <w:keepLines w:val="0"/>
        <w:pageBreakBefore w:val="0"/>
        <w:widowControl/>
        <w:suppressLineNumbers w:val="0"/>
        <w:kinsoku/>
        <w:wordWrap/>
        <w:overflowPunct/>
        <w:topLinePunct w:val="0"/>
        <w:autoSpaceDE/>
        <w:autoSpaceDN/>
        <w:bidi w:val="0"/>
        <w:adjustRightInd/>
        <w:snapToGrid/>
        <w:spacing w:line="576" w:lineRule="exact"/>
        <w:jc w:val="left"/>
        <w:textAlignment w:val="auto"/>
      </w:pPr>
      <w:r>
        <w:rPr>
          <w:rFonts w:hint="eastAsia" w:ascii="仿宋_GB2312" w:hAnsi="宋体" w:eastAsia="仿宋_GB2312" w:cs="仿宋_GB2312"/>
          <w:color w:val="000000"/>
          <w:kern w:val="0"/>
          <w:sz w:val="31"/>
          <w:szCs w:val="31"/>
          <w:lang w:val="en-US" w:eastAsia="zh-CN" w:bidi="ar"/>
        </w:rPr>
        <w:t xml:space="preserve">管理和党政机关信息化应用建设指导，负责市级智慧城市项目建 </w:t>
      </w:r>
    </w:p>
    <w:p>
      <w:pPr>
        <w:keepNext w:val="0"/>
        <w:keepLines w:val="0"/>
        <w:pageBreakBefore w:val="0"/>
        <w:widowControl/>
        <w:suppressLineNumbers w:val="0"/>
        <w:kinsoku/>
        <w:wordWrap/>
        <w:overflowPunct/>
        <w:topLinePunct w:val="0"/>
        <w:autoSpaceDE/>
        <w:autoSpaceDN/>
        <w:bidi w:val="0"/>
        <w:adjustRightInd/>
        <w:snapToGrid/>
        <w:spacing w:line="576" w:lineRule="exact"/>
        <w:jc w:val="left"/>
        <w:textAlignment w:val="auto"/>
      </w:pPr>
      <w:r>
        <w:rPr>
          <w:rFonts w:hint="eastAsia" w:ascii="仿宋_GB2312" w:hAnsi="宋体" w:eastAsia="仿宋_GB2312" w:cs="仿宋_GB2312"/>
          <w:color w:val="000000"/>
          <w:kern w:val="0"/>
          <w:sz w:val="31"/>
          <w:szCs w:val="31"/>
          <w:lang w:val="en-US" w:eastAsia="zh-CN" w:bidi="ar"/>
        </w:rPr>
        <w:t xml:space="preserve">设和数据资源基础设施建设管理，提出各部门统筹安排市级信息 </w:t>
      </w:r>
    </w:p>
    <w:p>
      <w:pPr>
        <w:keepNext w:val="0"/>
        <w:keepLines w:val="0"/>
        <w:pageBreakBefore w:val="0"/>
        <w:widowControl/>
        <w:suppressLineNumbers w:val="0"/>
        <w:kinsoku/>
        <w:wordWrap/>
        <w:overflowPunct/>
        <w:topLinePunct w:val="0"/>
        <w:autoSpaceDE/>
        <w:autoSpaceDN/>
        <w:bidi w:val="0"/>
        <w:adjustRightInd/>
        <w:snapToGrid/>
        <w:spacing w:line="576" w:lineRule="exact"/>
        <w:jc w:val="left"/>
        <w:textAlignment w:val="auto"/>
      </w:pPr>
      <w:r>
        <w:rPr>
          <w:rFonts w:hint="eastAsia" w:ascii="仿宋_GB2312" w:hAnsi="宋体" w:eastAsia="仿宋_GB2312" w:cs="仿宋_GB2312"/>
          <w:color w:val="000000"/>
          <w:kern w:val="0"/>
          <w:sz w:val="31"/>
          <w:szCs w:val="31"/>
          <w:lang w:val="en-US" w:eastAsia="zh-CN" w:bidi="ar"/>
        </w:rPr>
        <w:t xml:space="preserve">化项目及资金的使用建议。 </w:t>
      </w:r>
    </w:p>
    <w:p>
      <w:pPr>
        <w:keepNext w:val="0"/>
        <w:keepLines w:val="0"/>
        <w:pageBreakBefore w:val="0"/>
        <w:widowControl/>
        <w:suppressLineNumbers w:val="0"/>
        <w:kinsoku/>
        <w:wordWrap/>
        <w:overflowPunct/>
        <w:topLinePunct w:val="0"/>
        <w:autoSpaceDE/>
        <w:autoSpaceDN/>
        <w:bidi w:val="0"/>
        <w:adjustRightInd/>
        <w:snapToGrid/>
        <w:spacing w:line="576" w:lineRule="exact"/>
        <w:ind w:firstLine="620" w:firstLineChars="200"/>
        <w:jc w:val="left"/>
        <w:textAlignment w:val="auto"/>
      </w:pPr>
      <w:r>
        <w:rPr>
          <w:rFonts w:hint="eastAsia" w:ascii="仿宋_GB2312" w:hAnsi="宋体" w:eastAsia="仿宋_GB2312" w:cs="仿宋_GB2312"/>
          <w:color w:val="000000"/>
          <w:kern w:val="0"/>
          <w:sz w:val="31"/>
          <w:szCs w:val="31"/>
          <w:lang w:val="en-US" w:eastAsia="zh-CN" w:bidi="ar"/>
        </w:rPr>
        <w:t xml:space="preserve">（六）负责全市数据资源、政务信息化领域的对外交流合作； </w:t>
      </w:r>
    </w:p>
    <w:p>
      <w:pPr>
        <w:keepNext w:val="0"/>
        <w:keepLines w:val="0"/>
        <w:pageBreakBefore w:val="0"/>
        <w:widowControl/>
        <w:suppressLineNumbers w:val="0"/>
        <w:kinsoku/>
        <w:wordWrap/>
        <w:overflowPunct/>
        <w:topLinePunct w:val="0"/>
        <w:autoSpaceDE/>
        <w:autoSpaceDN/>
        <w:bidi w:val="0"/>
        <w:adjustRightInd/>
        <w:snapToGrid/>
        <w:spacing w:line="576" w:lineRule="exact"/>
        <w:jc w:val="left"/>
        <w:textAlignment w:val="auto"/>
      </w:pPr>
      <w:r>
        <w:rPr>
          <w:rFonts w:hint="eastAsia" w:ascii="仿宋_GB2312" w:hAnsi="宋体" w:eastAsia="仿宋_GB2312" w:cs="仿宋_GB2312"/>
          <w:color w:val="000000"/>
          <w:kern w:val="0"/>
          <w:sz w:val="31"/>
          <w:szCs w:val="31"/>
          <w:lang w:val="en-US" w:eastAsia="zh-CN" w:bidi="ar"/>
        </w:rPr>
        <w:t xml:space="preserve">会同有关部门做好全市数据资源、政务信息化人才培养等工作。 </w:t>
      </w:r>
    </w:p>
    <w:p>
      <w:pPr>
        <w:keepNext w:val="0"/>
        <w:keepLines w:val="0"/>
        <w:pageBreakBefore w:val="0"/>
        <w:widowControl/>
        <w:suppressLineNumbers w:val="0"/>
        <w:kinsoku/>
        <w:wordWrap/>
        <w:overflowPunct/>
        <w:topLinePunct w:val="0"/>
        <w:autoSpaceDE/>
        <w:autoSpaceDN/>
        <w:bidi w:val="0"/>
        <w:adjustRightInd/>
        <w:snapToGrid/>
        <w:spacing w:line="576" w:lineRule="exact"/>
        <w:ind w:firstLine="620" w:firstLineChars="200"/>
        <w:jc w:val="left"/>
        <w:textAlignment w:val="auto"/>
      </w:pPr>
      <w:r>
        <w:rPr>
          <w:rFonts w:hint="eastAsia" w:ascii="仿宋_GB2312" w:hAnsi="宋体" w:eastAsia="仿宋_GB2312" w:cs="仿宋_GB2312"/>
          <w:color w:val="000000"/>
          <w:kern w:val="0"/>
          <w:sz w:val="31"/>
          <w:szCs w:val="31"/>
          <w:lang w:val="en-US" w:eastAsia="zh-CN" w:bidi="ar"/>
        </w:rPr>
        <w:t xml:space="preserve">（七）负责指导全市经济社会各领域的数据资源开发利用工作，促进全市数据资源产业发展；负责数据资源相关技术研发、 </w:t>
      </w:r>
    </w:p>
    <w:p>
      <w:pPr>
        <w:keepNext w:val="0"/>
        <w:keepLines w:val="0"/>
        <w:pageBreakBefore w:val="0"/>
        <w:widowControl/>
        <w:suppressLineNumbers w:val="0"/>
        <w:kinsoku/>
        <w:wordWrap/>
        <w:overflowPunct/>
        <w:topLinePunct w:val="0"/>
        <w:autoSpaceDE/>
        <w:autoSpaceDN/>
        <w:bidi w:val="0"/>
        <w:adjustRightInd/>
        <w:snapToGrid/>
        <w:spacing w:line="576" w:lineRule="exact"/>
        <w:jc w:val="left"/>
        <w:textAlignment w:val="auto"/>
      </w:pPr>
      <w:r>
        <w:rPr>
          <w:rFonts w:hint="eastAsia" w:ascii="仿宋_GB2312" w:hAnsi="宋体" w:eastAsia="仿宋_GB2312" w:cs="仿宋_GB2312"/>
          <w:color w:val="000000"/>
          <w:kern w:val="0"/>
          <w:sz w:val="31"/>
          <w:szCs w:val="31"/>
          <w:lang w:val="en-US" w:eastAsia="zh-CN" w:bidi="ar"/>
        </w:rPr>
        <w:t xml:space="preserve">行业数据分析成果转化等工作。 </w:t>
      </w:r>
    </w:p>
    <w:p>
      <w:pPr>
        <w:keepNext w:val="0"/>
        <w:keepLines w:val="0"/>
        <w:pageBreakBefore w:val="0"/>
        <w:widowControl/>
        <w:suppressLineNumbers w:val="0"/>
        <w:kinsoku/>
        <w:wordWrap/>
        <w:overflowPunct/>
        <w:topLinePunct w:val="0"/>
        <w:autoSpaceDE/>
        <w:autoSpaceDN/>
        <w:bidi w:val="0"/>
        <w:adjustRightInd/>
        <w:snapToGrid/>
        <w:spacing w:line="576" w:lineRule="exact"/>
        <w:ind w:firstLine="620" w:firstLineChars="200"/>
        <w:jc w:val="left"/>
        <w:textAlignment w:val="auto"/>
      </w:pPr>
      <w:r>
        <w:rPr>
          <w:rFonts w:hint="eastAsia" w:ascii="仿宋_GB2312" w:hAnsi="宋体" w:eastAsia="仿宋_GB2312" w:cs="仿宋_GB2312"/>
          <w:color w:val="000000"/>
          <w:kern w:val="0"/>
          <w:sz w:val="31"/>
          <w:szCs w:val="31"/>
          <w:lang w:val="en-US" w:eastAsia="zh-CN" w:bidi="ar"/>
        </w:rPr>
        <w:t xml:space="preserve">（八）负责政府门户网站的建设与管理等工作，指导各县 </w:t>
      </w:r>
    </w:p>
    <w:p>
      <w:pPr>
        <w:keepNext w:val="0"/>
        <w:keepLines w:val="0"/>
        <w:pageBreakBefore w:val="0"/>
        <w:widowControl/>
        <w:suppressLineNumbers w:val="0"/>
        <w:kinsoku/>
        <w:wordWrap/>
        <w:overflowPunct/>
        <w:topLinePunct w:val="0"/>
        <w:autoSpaceDE/>
        <w:autoSpaceDN/>
        <w:bidi w:val="0"/>
        <w:adjustRightInd/>
        <w:snapToGrid/>
        <w:spacing w:line="576" w:lineRule="exact"/>
        <w:jc w:val="left"/>
        <w:textAlignment w:val="auto"/>
      </w:pPr>
      <w:r>
        <w:rPr>
          <w:rFonts w:hint="eastAsia" w:ascii="仿宋_GB2312" w:hAnsi="宋体" w:eastAsia="仿宋_GB2312" w:cs="仿宋_GB2312"/>
          <w:color w:val="000000"/>
          <w:kern w:val="0"/>
          <w:sz w:val="31"/>
          <w:szCs w:val="31"/>
          <w:lang w:val="en-US" w:eastAsia="zh-CN" w:bidi="ar"/>
        </w:rPr>
        <w:t xml:space="preserve">（市、区）政府和市直党政群机关门户网站建设。 </w:t>
      </w:r>
    </w:p>
    <w:p>
      <w:pPr>
        <w:keepNext w:val="0"/>
        <w:keepLines w:val="0"/>
        <w:pageBreakBefore w:val="0"/>
        <w:widowControl/>
        <w:suppressLineNumbers w:val="0"/>
        <w:kinsoku/>
        <w:wordWrap/>
        <w:overflowPunct/>
        <w:topLinePunct w:val="0"/>
        <w:autoSpaceDE/>
        <w:autoSpaceDN/>
        <w:bidi w:val="0"/>
        <w:adjustRightInd/>
        <w:snapToGrid/>
        <w:spacing w:line="576" w:lineRule="exact"/>
        <w:ind w:firstLine="620" w:firstLineChars="200"/>
        <w:jc w:val="left"/>
        <w:textAlignment w:val="auto"/>
      </w:pPr>
      <w:r>
        <w:rPr>
          <w:rFonts w:hint="eastAsia" w:ascii="仿宋_GB2312" w:hAnsi="宋体" w:eastAsia="仿宋_GB2312" w:cs="仿宋_GB2312"/>
          <w:color w:val="000000"/>
          <w:kern w:val="0"/>
          <w:sz w:val="31"/>
          <w:szCs w:val="31"/>
          <w:lang w:val="en-US" w:eastAsia="zh-CN" w:bidi="ar"/>
        </w:rPr>
        <w:t xml:space="preserve">（九）负责全市数据资源安全保障体系建设，会同有关部门 </w:t>
      </w:r>
    </w:p>
    <w:p>
      <w:pPr>
        <w:keepNext w:val="0"/>
        <w:keepLines w:val="0"/>
        <w:pageBreakBefore w:val="0"/>
        <w:widowControl/>
        <w:suppressLineNumbers w:val="0"/>
        <w:kinsoku/>
        <w:wordWrap/>
        <w:overflowPunct/>
        <w:topLinePunct w:val="0"/>
        <w:autoSpaceDE/>
        <w:autoSpaceDN/>
        <w:bidi w:val="0"/>
        <w:adjustRightInd/>
        <w:snapToGrid/>
        <w:spacing w:line="576" w:lineRule="exact"/>
        <w:jc w:val="left"/>
        <w:textAlignment w:val="auto"/>
      </w:pPr>
      <w:r>
        <w:rPr>
          <w:rFonts w:hint="eastAsia" w:ascii="仿宋_GB2312" w:hAnsi="宋体" w:eastAsia="仿宋_GB2312" w:cs="仿宋_GB2312"/>
          <w:color w:val="000000"/>
          <w:kern w:val="0"/>
          <w:sz w:val="31"/>
          <w:szCs w:val="31"/>
          <w:lang w:val="en-US" w:eastAsia="zh-CN" w:bidi="ar"/>
        </w:rPr>
        <w:t xml:space="preserve">指导各级各部门政务数据资源和公共数据资源的安全保障工作。 </w:t>
      </w:r>
    </w:p>
    <w:p>
      <w:pPr>
        <w:keepNext w:val="0"/>
        <w:keepLines w:val="0"/>
        <w:pageBreakBefore w:val="0"/>
        <w:widowControl/>
        <w:suppressLineNumbers w:val="0"/>
        <w:kinsoku/>
        <w:wordWrap/>
        <w:overflowPunct/>
        <w:topLinePunct w:val="0"/>
        <w:autoSpaceDE/>
        <w:autoSpaceDN/>
        <w:bidi w:val="0"/>
        <w:adjustRightInd/>
        <w:snapToGrid/>
        <w:spacing w:line="576" w:lineRule="exact"/>
        <w:ind w:firstLine="620" w:firstLineChars="200"/>
        <w:jc w:val="left"/>
        <w:textAlignment w:val="auto"/>
      </w:pPr>
      <w:r>
        <w:rPr>
          <w:rFonts w:hint="eastAsia" w:ascii="仿宋_GB2312" w:hAnsi="宋体" w:eastAsia="仿宋_GB2312" w:cs="仿宋_GB2312"/>
          <w:color w:val="000000"/>
          <w:kern w:val="0"/>
          <w:sz w:val="31"/>
          <w:szCs w:val="31"/>
          <w:lang w:val="en-US" w:eastAsia="zh-CN" w:bidi="ar"/>
        </w:rPr>
        <w:t>（十）完成市委、市政府交办的的其他任务。</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rtl w:val="0"/>
          <w:lang w:val="zh-CN" w:eastAsia="zh-CN"/>
        </w:rPr>
      </w:pPr>
      <w:r>
        <w:rPr>
          <w:rFonts w:hint="default" w:ascii="Times New Roman" w:hAnsi="Times New Roman" w:eastAsia="仿宋_GB2312" w:cs="Times New Roman"/>
          <w:kern w:val="2"/>
          <w:sz w:val="32"/>
          <w:szCs w:val="32"/>
          <w:rtl w:val="0"/>
          <w:lang w:val="zh-CN" w:eastAsia="zh-CN"/>
        </w:rPr>
        <w:t>从决算编报</w:t>
      </w:r>
      <w:r>
        <w:rPr>
          <w:rFonts w:hint="eastAsia" w:ascii="Times New Roman" w:hAnsi="Times New Roman" w:eastAsia="仿宋_GB2312" w:cs="Times New Roman"/>
          <w:kern w:val="2"/>
          <w:sz w:val="32"/>
          <w:szCs w:val="32"/>
          <w:rtl w:val="0"/>
          <w:lang w:val="en-US" w:eastAsia="zh-CN"/>
        </w:rPr>
        <w:t>单位</w:t>
      </w:r>
      <w:r>
        <w:rPr>
          <w:rFonts w:hint="default" w:ascii="Times New Roman" w:hAnsi="Times New Roman" w:eastAsia="仿宋_GB2312" w:cs="Times New Roman"/>
          <w:kern w:val="2"/>
          <w:sz w:val="32"/>
          <w:szCs w:val="32"/>
          <w:rtl w:val="0"/>
          <w:lang w:val="zh-CN" w:eastAsia="zh-CN"/>
        </w:rPr>
        <w:t>构成看，纳入</w:t>
      </w:r>
      <w:r>
        <w:rPr>
          <w:rFonts w:hint="eastAsia" w:ascii="Times New Roman" w:hAnsi="Times New Roman" w:eastAsia="仿宋_GB2312" w:cs="Times New Roman"/>
          <w:kern w:val="2"/>
          <w:sz w:val="32"/>
          <w:szCs w:val="32"/>
          <w:rtl w:val="0"/>
          <w:lang w:val="en-US" w:eastAsia="zh-CN"/>
        </w:rPr>
        <w:t>2023</w:t>
      </w:r>
      <w:r>
        <w:rPr>
          <w:rFonts w:hint="default" w:ascii="Times New Roman" w:hAnsi="Times New Roman" w:eastAsia="仿宋_GB2312" w:cs="Times New Roman"/>
          <w:kern w:val="2"/>
          <w:sz w:val="32"/>
          <w:szCs w:val="32"/>
          <w:rtl w:val="0"/>
          <w:lang w:val="zh-CN" w:eastAsia="zh-CN"/>
        </w:rPr>
        <w:t>年度</w:t>
      </w:r>
      <w:r>
        <w:rPr>
          <w:rFonts w:hint="eastAsia" w:ascii="Times New Roman" w:hAnsi="Times New Roman" w:eastAsia="仿宋_GB2312" w:cs="Times New Roman"/>
          <w:kern w:val="2"/>
          <w:sz w:val="32"/>
          <w:szCs w:val="32"/>
          <w:rtl w:val="0"/>
          <w:lang w:val="en-US" w:eastAsia="zh-CN"/>
        </w:rPr>
        <w:t>本单位</w:t>
      </w:r>
      <w:r>
        <w:rPr>
          <w:rFonts w:hint="default" w:ascii="Times New Roman" w:hAnsi="Times New Roman" w:eastAsia="仿宋_GB2312" w:cs="Times New Roman"/>
          <w:kern w:val="2"/>
          <w:sz w:val="32"/>
          <w:szCs w:val="32"/>
          <w:rtl w:val="0"/>
          <w:lang w:val="zh-CN" w:eastAsia="zh-CN"/>
        </w:rPr>
        <w:t>决算汇编范围的独立核算</w:t>
      </w:r>
      <w:r>
        <w:rPr>
          <w:rFonts w:hint="eastAsia" w:ascii="Times New Roman" w:hAnsi="Times New Roman" w:eastAsia="仿宋_GB2312" w:cs="Times New Roman"/>
          <w:kern w:val="2"/>
          <w:sz w:val="32"/>
          <w:szCs w:val="32"/>
          <w:rtl w:val="0"/>
          <w:lang w:val="en-US" w:eastAsia="zh-CN"/>
        </w:rPr>
        <w:t>单位</w:t>
      </w:r>
      <w:r>
        <w:rPr>
          <w:rFonts w:hint="default" w:ascii="Times New Roman" w:hAnsi="Times New Roman" w:eastAsia="仿宋_GB2312" w:cs="Times New Roman"/>
          <w:kern w:val="2"/>
          <w:sz w:val="32"/>
          <w:szCs w:val="32"/>
          <w:rtl w:val="0"/>
          <w:lang w:val="zh-CN" w:eastAsia="zh-CN"/>
        </w:rPr>
        <w:t>（以下简称“</w:t>
      </w:r>
      <w:r>
        <w:rPr>
          <w:rFonts w:hint="eastAsia" w:ascii="Times New Roman" w:hAnsi="Times New Roman" w:eastAsia="仿宋_GB2312" w:cs="Times New Roman"/>
          <w:kern w:val="2"/>
          <w:sz w:val="32"/>
          <w:szCs w:val="32"/>
          <w:rtl w:val="0"/>
          <w:lang w:val="en-US" w:eastAsia="zh-CN"/>
        </w:rPr>
        <w:t>单位</w:t>
      </w:r>
      <w:r>
        <w:rPr>
          <w:rFonts w:hint="default" w:ascii="Times New Roman" w:hAnsi="Times New Roman" w:eastAsia="仿宋_GB2312" w:cs="Times New Roman"/>
          <w:kern w:val="2"/>
          <w:sz w:val="32"/>
          <w:szCs w:val="32"/>
          <w:rtl w:val="0"/>
          <w:lang w:val="zh-CN" w:eastAsia="zh-CN"/>
        </w:rPr>
        <w:t>”）共</w:t>
      </w:r>
      <w:r>
        <w:rPr>
          <w:rFonts w:hint="eastAsia" w:ascii="Times New Roman" w:hAnsi="Times New Roman" w:eastAsia="仿宋_GB2312" w:cs="Times New Roman"/>
          <w:kern w:val="2"/>
          <w:sz w:val="32"/>
          <w:szCs w:val="32"/>
          <w:rtl w:val="0"/>
          <w:lang w:val="en-US" w:eastAsia="zh-CN"/>
        </w:rPr>
        <w:t>1</w:t>
      </w:r>
      <w:r>
        <w:rPr>
          <w:rFonts w:hint="default" w:ascii="Times New Roman" w:hAnsi="Times New Roman" w:eastAsia="仿宋_GB2312" w:cs="Times New Roman"/>
          <w:kern w:val="2"/>
          <w:sz w:val="32"/>
          <w:szCs w:val="32"/>
          <w:rtl w:val="0"/>
          <w:lang w:val="zh-CN" w:eastAsia="zh-CN"/>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center"/>
          </w:tcPr>
          <w:p>
            <w:pPr>
              <w:pageBreakBefore w:val="0"/>
              <w:kinsoku/>
              <w:wordWrap/>
              <w:overflowPunct/>
              <w:topLinePunct w:val="0"/>
              <w:autoSpaceDE/>
              <w:autoSpaceDN/>
              <w:bidi w:val="0"/>
              <w:adjustRightInd/>
              <w:snapToGrid/>
              <w:spacing w:line="576" w:lineRule="exact"/>
              <w:jc w:val="center"/>
              <w:textAlignment w:val="auto"/>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center"/>
          </w:tcPr>
          <w:p>
            <w:pPr>
              <w:keepNext w:val="0"/>
              <w:keepLines w:val="0"/>
              <w:pageBreakBefore w:val="0"/>
              <w:widowControl/>
              <w:suppressLineNumbers w:val="0"/>
              <w:kinsoku/>
              <w:wordWrap/>
              <w:overflowPunct/>
              <w:topLinePunct w:val="0"/>
              <w:autoSpaceDE/>
              <w:autoSpaceDN/>
              <w:bidi w:val="0"/>
              <w:adjustRightInd/>
              <w:snapToGrid/>
              <w:spacing w:line="576" w:lineRule="exact"/>
              <w:jc w:val="center"/>
              <w:textAlignment w:val="auto"/>
            </w:pPr>
            <w:r>
              <w:rPr>
                <w:rFonts w:ascii="仿宋_GB2312" w:hAnsi="宋体" w:eastAsia="仿宋_GB2312" w:cs="仿宋_GB2312"/>
                <w:color w:val="000000"/>
                <w:kern w:val="0"/>
                <w:sz w:val="28"/>
                <w:szCs w:val="28"/>
                <w:lang w:val="en-US" w:eastAsia="zh-CN" w:bidi="ar"/>
              </w:rPr>
              <w:t>石家庄市数据资源管理局</w:t>
            </w:r>
          </w:p>
          <w:p>
            <w:pPr>
              <w:keepNext w:val="0"/>
              <w:keepLines w:val="0"/>
              <w:pageBreakBefore w:val="0"/>
              <w:widowControl/>
              <w:suppressLineNumbers w:val="0"/>
              <w:kinsoku/>
              <w:wordWrap/>
              <w:overflowPunct/>
              <w:topLinePunct w:val="0"/>
              <w:autoSpaceDE/>
              <w:autoSpaceDN/>
              <w:bidi w:val="0"/>
              <w:adjustRightInd/>
              <w:snapToGrid/>
              <w:spacing w:line="576" w:lineRule="exact"/>
              <w:jc w:val="center"/>
              <w:textAlignment w:val="auto"/>
              <w:rPr>
                <w:rFonts w:ascii="仿宋_GB2312" w:hAnsi="Calibri" w:eastAsia="仿宋_GB2312" w:cs="ArialUnicodeMS"/>
                <w:kern w:val="0"/>
                <w:sz w:val="28"/>
                <w:szCs w:val="28"/>
              </w:rPr>
            </w:pPr>
            <w:r>
              <w:rPr>
                <w:rFonts w:hint="eastAsia" w:ascii="仿宋_GB2312" w:hAnsi="宋体" w:eastAsia="仿宋_GB2312" w:cs="仿宋_GB2312"/>
                <w:color w:val="000000"/>
                <w:kern w:val="0"/>
                <w:sz w:val="28"/>
                <w:szCs w:val="28"/>
                <w:lang w:val="en-US" w:eastAsia="zh-CN" w:bidi="ar"/>
              </w:rPr>
              <w:t>(本级)</w:t>
            </w:r>
          </w:p>
        </w:tc>
        <w:tc>
          <w:tcPr>
            <w:tcW w:w="2445" w:type="dxa"/>
            <w:vAlign w:val="center"/>
          </w:tcPr>
          <w:p>
            <w:pPr>
              <w:keepNext w:val="0"/>
              <w:keepLines w:val="0"/>
              <w:pageBreakBefore w:val="0"/>
              <w:widowControl/>
              <w:suppressLineNumbers w:val="0"/>
              <w:kinsoku/>
              <w:wordWrap/>
              <w:overflowPunct/>
              <w:topLinePunct w:val="0"/>
              <w:autoSpaceDE/>
              <w:autoSpaceDN/>
              <w:bidi w:val="0"/>
              <w:adjustRightInd/>
              <w:snapToGrid/>
              <w:spacing w:line="576" w:lineRule="exact"/>
              <w:jc w:val="center"/>
              <w:textAlignment w:val="auto"/>
              <w:rPr>
                <w:rFonts w:ascii="仿宋_GB2312" w:hAnsi="Calibri" w:eastAsia="仿宋_GB2312" w:cs="ArialUnicodeMS"/>
                <w:kern w:val="0"/>
                <w:sz w:val="28"/>
                <w:szCs w:val="28"/>
              </w:rPr>
            </w:pPr>
            <w:r>
              <w:rPr>
                <w:rFonts w:ascii="仿宋_GB2312" w:hAnsi="宋体" w:eastAsia="仿宋_GB2312" w:cs="仿宋_GB2312"/>
                <w:color w:val="000000"/>
                <w:kern w:val="0"/>
                <w:sz w:val="28"/>
                <w:szCs w:val="28"/>
                <w:lang w:val="en-US" w:eastAsia="zh-CN" w:bidi="ar"/>
              </w:rPr>
              <w:t>行政单位</w:t>
            </w:r>
          </w:p>
        </w:tc>
        <w:tc>
          <w:tcPr>
            <w:tcW w:w="2665" w:type="dxa"/>
            <w:vAlign w:val="center"/>
          </w:tcPr>
          <w:p>
            <w:pPr>
              <w:keepNext w:val="0"/>
              <w:keepLines w:val="0"/>
              <w:pageBreakBefore w:val="0"/>
              <w:widowControl/>
              <w:suppressLineNumbers w:val="0"/>
              <w:kinsoku/>
              <w:wordWrap/>
              <w:overflowPunct/>
              <w:topLinePunct w:val="0"/>
              <w:autoSpaceDE/>
              <w:autoSpaceDN/>
              <w:bidi w:val="0"/>
              <w:adjustRightInd/>
              <w:snapToGrid/>
              <w:spacing w:line="576" w:lineRule="exact"/>
              <w:jc w:val="center"/>
              <w:textAlignment w:val="auto"/>
              <w:rPr>
                <w:rFonts w:ascii="仿宋_GB2312" w:hAnsi="Calibri" w:eastAsia="仿宋_GB2312" w:cs="ArialUnicodeMS"/>
                <w:kern w:val="0"/>
                <w:sz w:val="28"/>
                <w:szCs w:val="28"/>
              </w:rPr>
            </w:pPr>
            <w:r>
              <w:rPr>
                <w:rFonts w:hint="eastAsia" w:ascii="仿宋_GB2312" w:hAnsi="宋体" w:eastAsia="仿宋_GB2312" w:cs="仿宋_GB2312"/>
                <w:color w:val="000000"/>
                <w:kern w:val="0"/>
                <w:sz w:val="28"/>
                <w:szCs w:val="28"/>
                <w:lang w:val="en-US" w:eastAsia="zh-CN" w:bidi="ar"/>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hint="eastAsia" w:ascii="Times New Roman" w:hAnsi="Times New Roman" w:eastAsia="黑体" w:cs="Times New Roman"/>
          <w:sz w:val="32"/>
          <w:szCs w:val="32"/>
          <w:highlight w:val="yellow"/>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8" w:type="default"/>
          <w:pgSz w:w="11906" w:h="16838"/>
          <w:pgMar w:top="2041" w:right="1531" w:bottom="1774" w:left="1531" w:header="851" w:footer="992" w:gutter="0"/>
          <w:cols w:space="720" w:num="1"/>
          <w:docGrid w:type="lines" w:linePitch="312" w:charSpace="0"/>
        </w:sectPr>
      </w:pP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编制部门（单位）：石家庄市数据资源管理局（本级）</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793.24</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793.24</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824.02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32.62</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825.86</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825.86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编制部门（单位）：石家庄市数据资源管理局（本级）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793.24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793.24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651.69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651.69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651.69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651.69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471.94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471.94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179.75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179.75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53.62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53.62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32.97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32.97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32.97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32.97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32.97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32.97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编制部门（单位）：石家庄市数据资源管理局（本级）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824.02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644.27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179.75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682.47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502.72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179.75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682.47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502.72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179.75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502.72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502.72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179.75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179.75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58.98</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58.98</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53.62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53.62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32.97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32.97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32.97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32.97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32.97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32.97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49.60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49.60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49.60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49.60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49.60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49.60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编制部门（单位）：石家庄市数据资源管理局（本级）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793.24</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682.47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682.47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58.98</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58.98</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32.97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32.97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49.60</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49.60</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793.24</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824.02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824.02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32.62</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1.84</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1.84</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32.62</w:t>
            </w: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825.86</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825.86</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825.86</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2"/>
        <w:tblW w:w="5455"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86"/>
        <w:gridCol w:w="3416"/>
        <w:gridCol w:w="1106"/>
        <w:gridCol w:w="576"/>
        <w:gridCol w:w="599"/>
        <w:gridCol w:w="383"/>
        <w:gridCol w:w="12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编制部门（单位）：石家庄市数据资源管理局（本级）</w:t>
            </w:r>
          </w:p>
        </w:tc>
        <w:tc>
          <w:tcPr>
            <w:tcW w:w="155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1"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52"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4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3"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3"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824.02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644.27</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179.75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682.47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502.72</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179.75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682.47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502.72</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179.75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502.72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502.72</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179.75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179.75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58.98</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58.98</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5.36</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53.62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53.62</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32.97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32.97</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32.97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32.97</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32.97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32.97</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49.60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49.60</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49.60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49.60</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49.60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49.60</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编制部门（单位）：石家庄市数据资源管理局（本级）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545.56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61.87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145.36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3.79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119.60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127.10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64.40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18.04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22.86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10.11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6.13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51.47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3.47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36.85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5.36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5.62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3.38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23.74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31.15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582.40</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61.87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59"/>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编制部门（单位）：石家庄市数据资源管理局（本级）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注：本单位本年度无收支及结转结余情况，按要求以空表列示。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2"/>
        <w:tblW w:w="6685" w:type="pct"/>
        <w:tblInd w:w="-1349"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65"/>
        <w:gridCol w:w="731"/>
        <w:gridCol w:w="1296"/>
        <w:gridCol w:w="1332"/>
        <w:gridCol w:w="5"/>
        <w:gridCol w:w="47"/>
        <w:gridCol w:w="1281"/>
        <w:gridCol w:w="10"/>
        <w:gridCol w:w="268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05"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编制部门（单位）：石家庄市数据资源管理局（本级）</w:t>
            </w:r>
          </w:p>
        </w:tc>
        <w:tc>
          <w:tcPr>
            <w:tcW w:w="1246"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47"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08"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491"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08"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491"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65"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942"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621"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622"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247"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65"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42"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1"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2"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47"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8"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619"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620"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2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8"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619"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20"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52"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注：本表反映部门本年度国有资本经营预算财政拨款支出情况。本单位本年度无相关支出情况，按要求以空表列示。</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编制部门（单位）：石家庄市数据资源管理局（本级）</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3.67</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w:t>
            </w: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w:t>
            </w: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0.67</w:t>
            </w: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0.86</w:t>
            </w: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0.86</w:t>
            </w: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0.86</w:t>
            </w: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lang w:eastAsia="zh-CN"/>
        </w:rPr>
        <w:t>单位</w:t>
      </w:r>
      <w:r>
        <w:rPr>
          <w:rFonts w:hint="eastAsia" w:ascii="黑体" w:hAnsi="宋体" w:eastAsia="黑体" w:cs="黑体"/>
          <w:i w:val="0"/>
          <w:iCs w:val="0"/>
          <w:caps w:val="0"/>
          <w:color w:val="000000"/>
          <w:spacing w:val="-20"/>
          <w:sz w:val="72"/>
          <w:szCs w:val="72"/>
          <w:highlight w:val="none"/>
          <w:shd w:val="clear" w:fill="FFFFFF"/>
        </w:rPr>
        <w:t>决算情况说明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rtl w:val="0"/>
          <w:lang w:val="en-US" w:eastAsia="zh-CN"/>
        </w:rPr>
      </w:pPr>
      <w:r>
        <w:rPr>
          <w:rFonts w:hint="default" w:ascii="Times New Roman" w:hAnsi="Times New Roman" w:eastAsia="仿宋_GB2312" w:cs="Times New Roman"/>
          <w:kern w:val="2"/>
          <w:sz w:val="32"/>
          <w:szCs w:val="32"/>
          <w:rtl w:val="0"/>
          <w:lang w:val="zh-CN" w:eastAsia="zh-CN"/>
        </w:rPr>
        <w:t>本单位2023年度收</w:t>
      </w:r>
      <w:r>
        <w:rPr>
          <w:rFonts w:hint="eastAsia" w:ascii="Times New Roman" w:hAnsi="Times New Roman" w:eastAsia="仿宋_GB2312" w:cs="Times New Roman"/>
          <w:kern w:val="2"/>
          <w:sz w:val="32"/>
          <w:szCs w:val="32"/>
          <w:rtl w:val="0"/>
          <w:lang w:val="zh-CN" w:eastAsia="zh-CN"/>
        </w:rPr>
        <w:t>、</w:t>
      </w:r>
      <w:r>
        <w:rPr>
          <w:rFonts w:hint="eastAsia" w:ascii="Times New Roman" w:hAnsi="Times New Roman" w:eastAsia="仿宋_GB2312" w:cs="Times New Roman"/>
          <w:kern w:val="2"/>
          <w:sz w:val="32"/>
          <w:szCs w:val="32"/>
          <w:rtl w:val="0"/>
          <w:lang w:val="en-US" w:eastAsia="zh-CN"/>
        </w:rPr>
        <w:t>支</w:t>
      </w:r>
      <w:r>
        <w:rPr>
          <w:rFonts w:hint="default" w:ascii="Times New Roman" w:hAnsi="Times New Roman" w:eastAsia="仿宋_GB2312" w:cs="Times New Roman"/>
          <w:kern w:val="2"/>
          <w:sz w:val="32"/>
          <w:szCs w:val="32"/>
          <w:rtl w:val="0"/>
          <w:lang w:val="zh-CN" w:eastAsia="zh-CN"/>
        </w:rPr>
        <w:t>总计</w:t>
      </w:r>
      <w:r>
        <w:rPr>
          <w:rFonts w:hint="eastAsia" w:ascii="Times New Roman" w:hAnsi="Times New Roman" w:eastAsia="仿宋_GB2312" w:cs="Times New Roman"/>
          <w:kern w:val="2"/>
          <w:sz w:val="32"/>
          <w:szCs w:val="32"/>
          <w:rtl w:val="0"/>
          <w:lang w:val="zh-CN" w:eastAsia="zh-CN"/>
        </w:rPr>
        <w:t>(含结转和结余)</w:t>
      </w:r>
      <w:r>
        <w:rPr>
          <w:rFonts w:hint="default" w:ascii="Times New Roman" w:hAnsi="Times New Roman" w:eastAsia="仿宋_GB2312" w:cs="Times New Roman"/>
          <w:kern w:val="2"/>
          <w:sz w:val="32"/>
          <w:szCs w:val="32"/>
          <w:rtl w:val="0"/>
          <w:lang w:val="zh-CN" w:eastAsia="zh-CN"/>
        </w:rPr>
        <w:t>825.86</w:t>
      </w:r>
      <w:r>
        <w:rPr>
          <w:rFonts w:hint="default" w:ascii="Times New Roman" w:hAnsi="Times New Roman" w:eastAsia="仿宋_GB2312" w:cs="Times New Roman"/>
          <w:kern w:val="2"/>
          <w:sz w:val="32"/>
          <w:szCs w:val="32"/>
          <w:rtl w:val="0"/>
          <w:lang w:val="en-US" w:eastAsia="zh-CN"/>
        </w:rPr>
        <w:t>万</w:t>
      </w:r>
      <w:r>
        <w:rPr>
          <w:rFonts w:hint="default" w:ascii="Times New Roman" w:hAnsi="Times New Roman" w:eastAsia="仿宋_GB2312" w:cs="Times New Roman"/>
          <w:kern w:val="2"/>
          <w:sz w:val="32"/>
          <w:szCs w:val="32"/>
          <w:rtl w:val="0"/>
          <w:lang w:val="zh-CN" w:eastAsia="zh-CN"/>
        </w:rPr>
        <w:t>元，与2022年度决算相比</w:t>
      </w:r>
      <w:r>
        <w:rPr>
          <w:rFonts w:hint="eastAsia" w:ascii="Times New Roman" w:hAnsi="Times New Roman" w:eastAsia="仿宋_GB2312" w:cs="Times New Roman"/>
          <w:kern w:val="2"/>
          <w:sz w:val="32"/>
          <w:szCs w:val="32"/>
          <w:rtl w:val="0"/>
          <w:lang w:val="zh-CN" w:eastAsia="zh-CN"/>
        </w:rPr>
        <w:t>，</w:t>
      </w:r>
      <w:r>
        <w:rPr>
          <w:rFonts w:hint="default" w:ascii="Times New Roman" w:hAnsi="Times New Roman" w:eastAsia="仿宋_GB2312" w:cs="Times New Roman"/>
          <w:kern w:val="2"/>
          <w:sz w:val="32"/>
          <w:szCs w:val="32"/>
          <w:rtl w:val="0"/>
          <w:lang w:val="zh-CN" w:eastAsia="zh-CN"/>
        </w:rPr>
        <w:t>收支各</w:t>
      </w:r>
      <w:r>
        <w:rPr>
          <w:rFonts w:hint="eastAsia" w:ascii="Times New Roman" w:hAnsi="Times New Roman" w:eastAsia="仿宋_GB2312" w:cs="Times New Roman"/>
          <w:kern w:val="2"/>
          <w:sz w:val="32"/>
          <w:szCs w:val="32"/>
          <w:rtl w:val="0"/>
          <w:lang w:val="zh-CN" w:eastAsia="zh-CN"/>
        </w:rPr>
        <w:t>减少196.05万元</w:t>
      </w:r>
      <w:r>
        <w:rPr>
          <w:rFonts w:hint="eastAsia" w:ascii="Times New Roman" w:hAnsi="Times New Roman" w:eastAsia="仿宋_GB2312" w:cs="Times New Roman"/>
          <w:kern w:val="2"/>
          <w:sz w:val="32"/>
          <w:szCs w:val="32"/>
          <w:rtl w:val="0"/>
          <w:lang w:val="en-US" w:eastAsia="zh-CN"/>
        </w:rPr>
        <w:t>，</w:t>
      </w:r>
      <w:r>
        <w:rPr>
          <w:rFonts w:hint="eastAsia" w:ascii="Times New Roman" w:hAnsi="Times New Roman" w:eastAsia="仿宋_GB2312" w:cs="Times New Roman"/>
          <w:kern w:val="2"/>
          <w:sz w:val="32"/>
          <w:szCs w:val="32"/>
          <w:rtl w:val="0"/>
          <w:lang w:val="zh-CN" w:eastAsia="zh-CN"/>
        </w:rPr>
        <w:t>下降19.18%，</w:t>
      </w:r>
      <w:r>
        <w:rPr>
          <w:rFonts w:hint="default" w:ascii="Times New Roman" w:hAnsi="Times New Roman" w:eastAsia="仿宋_GB2312" w:cs="Times New Roman"/>
          <w:kern w:val="2"/>
          <w:sz w:val="32"/>
          <w:szCs w:val="32"/>
          <w:rtl w:val="0"/>
          <w:lang w:val="zh-CN" w:eastAsia="zh-CN"/>
        </w:rPr>
        <w:t>主要是石家庄市“数字政府”建设三年行动方案（2022-2024）编制经费</w:t>
      </w:r>
      <w:r>
        <w:rPr>
          <w:rFonts w:hint="eastAsia" w:ascii="Times New Roman" w:hAnsi="Times New Roman" w:eastAsia="仿宋_GB2312" w:cs="Times New Roman"/>
          <w:kern w:val="2"/>
          <w:sz w:val="32"/>
          <w:szCs w:val="32"/>
          <w:rtl w:val="0"/>
          <w:lang w:val="zh-CN" w:eastAsia="zh-CN"/>
        </w:rPr>
        <w:t>、公务用车回购等项目在</w:t>
      </w:r>
      <w:r>
        <w:rPr>
          <w:rFonts w:hint="eastAsia" w:ascii="Times New Roman" w:hAnsi="Times New Roman" w:eastAsia="仿宋_GB2312" w:cs="Times New Roman"/>
          <w:kern w:val="2"/>
          <w:sz w:val="32"/>
          <w:szCs w:val="32"/>
          <w:rtl w:val="0"/>
          <w:lang w:val="en-US" w:eastAsia="zh-CN"/>
        </w:rPr>
        <w:t>2022年度完成后，2023年度未产生收入和支出。</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524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793.24</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793.24</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824.02万元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644.27万元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占78.19%；</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179.75万元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占21.81%；</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5240" b="1714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zh-CN" w:eastAsia="zh-CN"/>
        </w:rPr>
      </w:pPr>
      <w:r>
        <w:rPr>
          <w:rFonts w:hint="eastAsia" w:ascii="Times New Roman" w:hAnsi="Times New Roman" w:eastAsia="仿宋_GB2312" w:cs="Times New Roman"/>
          <w:kern w:val="2"/>
          <w:sz w:val="32"/>
          <w:szCs w:val="32"/>
          <w:rtl w:val="0"/>
          <w:lang w:val="zh-CN" w:eastAsia="zh-CN"/>
        </w:rPr>
        <w:t>本单位 202</w:t>
      </w:r>
      <w:r>
        <w:rPr>
          <w:rFonts w:hint="eastAsia" w:ascii="Times New Roman" w:hAnsi="Times New Roman" w:eastAsia="仿宋_GB2312" w:cs="Times New Roman"/>
          <w:kern w:val="2"/>
          <w:sz w:val="32"/>
          <w:szCs w:val="32"/>
          <w:rtl w:val="0"/>
          <w:lang w:val="en-US" w:eastAsia="zh-CN"/>
        </w:rPr>
        <w:t>3</w:t>
      </w:r>
      <w:r>
        <w:rPr>
          <w:rFonts w:hint="eastAsia" w:ascii="Times New Roman" w:hAnsi="Times New Roman" w:eastAsia="仿宋_GB2312" w:cs="Times New Roman"/>
          <w:kern w:val="2"/>
          <w:sz w:val="32"/>
          <w:szCs w:val="32"/>
          <w:rtl w:val="0"/>
          <w:lang w:val="zh-CN" w:eastAsia="zh-CN"/>
        </w:rPr>
        <w:t>年度形成的财政拨款收支均为一般公共预算财政拨款，其中</w:t>
      </w:r>
      <w:r>
        <w:rPr>
          <w:rFonts w:hint="default" w:ascii="Times New Roman" w:hAnsi="Times New Roman" w:eastAsia="仿宋_GB2312" w:cs="Times New Roman"/>
          <w:kern w:val="2"/>
          <w:sz w:val="32"/>
          <w:szCs w:val="32"/>
          <w:lang w:val="zh-CN" w:eastAsia="zh-CN"/>
        </w:rPr>
        <w:t>本年收入793.24</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eastAsia="zh-CN"/>
        </w:rPr>
        <w:t>元</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eastAsia="zh-CN"/>
        </w:rPr>
        <w:t>比上年</w:t>
      </w:r>
      <w:r>
        <w:rPr>
          <w:rFonts w:hint="eastAsia" w:ascii="Times New Roman" w:hAnsi="Times New Roman" w:eastAsia="仿宋_GB2312" w:cs="Times New Roman"/>
          <w:kern w:val="2"/>
          <w:sz w:val="32"/>
          <w:szCs w:val="32"/>
          <w:lang w:val="zh-CN" w:eastAsia="zh-CN"/>
        </w:rPr>
        <w:t>减少141.21万元</w:t>
      </w:r>
      <w:r>
        <w:rPr>
          <w:rFonts w:hint="default" w:ascii="Times New Roman" w:hAnsi="Times New Roman" w:eastAsia="仿宋_GB2312" w:cs="Times New Roman"/>
          <w:kern w:val="2"/>
          <w:sz w:val="32"/>
          <w:szCs w:val="32"/>
          <w:lang w:val="zh-CN" w:eastAsia="zh-CN"/>
        </w:rPr>
        <w:t>，</w:t>
      </w:r>
      <w:r>
        <w:rPr>
          <w:rFonts w:hint="eastAsia" w:ascii="Times New Roman" w:hAnsi="Times New Roman" w:eastAsia="仿宋_GB2312" w:cs="Times New Roman"/>
          <w:kern w:val="2"/>
          <w:sz w:val="32"/>
          <w:szCs w:val="32"/>
          <w:lang w:val="zh-CN" w:eastAsia="zh-CN"/>
        </w:rPr>
        <w:t>降低15.11%，</w:t>
      </w:r>
      <w:r>
        <w:rPr>
          <w:rFonts w:hint="default" w:ascii="Times New Roman" w:hAnsi="Times New Roman" w:eastAsia="仿宋_GB2312" w:cs="Times New Roman"/>
          <w:kern w:val="2"/>
          <w:sz w:val="32"/>
          <w:szCs w:val="32"/>
          <w:lang w:val="zh-CN" w:eastAsia="zh-CN"/>
        </w:rPr>
        <w:t>主要是</w:t>
      </w:r>
      <w:r>
        <w:rPr>
          <w:rFonts w:hint="default" w:ascii="Times New Roman" w:hAnsi="Times New Roman" w:eastAsia="仿宋_GB2312" w:cs="Times New Roman"/>
          <w:kern w:val="2"/>
          <w:sz w:val="32"/>
          <w:szCs w:val="32"/>
          <w:rtl w:val="0"/>
          <w:lang w:val="zh-CN" w:eastAsia="zh-CN"/>
        </w:rPr>
        <w:t>石家庄市“数字政府”建设三年行动方案（2022-2024）编制经费</w:t>
      </w:r>
      <w:r>
        <w:rPr>
          <w:rFonts w:hint="eastAsia" w:ascii="Times New Roman" w:hAnsi="Times New Roman" w:eastAsia="仿宋_GB2312" w:cs="Times New Roman"/>
          <w:kern w:val="2"/>
          <w:sz w:val="32"/>
          <w:szCs w:val="32"/>
          <w:rtl w:val="0"/>
          <w:lang w:val="zh-CN" w:eastAsia="zh-CN"/>
        </w:rPr>
        <w:t>、公务用车回购等项目在</w:t>
      </w:r>
      <w:r>
        <w:rPr>
          <w:rFonts w:hint="eastAsia" w:ascii="Times New Roman" w:hAnsi="Times New Roman" w:eastAsia="仿宋_GB2312" w:cs="Times New Roman"/>
          <w:kern w:val="2"/>
          <w:sz w:val="32"/>
          <w:szCs w:val="32"/>
          <w:rtl w:val="0"/>
          <w:lang w:val="en-US" w:eastAsia="zh-CN"/>
        </w:rPr>
        <w:t>2022年度完成后，2023年度未产生收入</w:t>
      </w:r>
      <w:r>
        <w:rPr>
          <w:rFonts w:hint="default" w:ascii="Times New Roman" w:hAnsi="Times New Roman" w:eastAsia="仿宋_GB2312" w:cs="Times New Roman"/>
          <w:kern w:val="2"/>
          <w:sz w:val="32"/>
          <w:szCs w:val="32"/>
          <w:lang w:val="zh-CN" w:eastAsia="zh-CN"/>
        </w:rPr>
        <w:t>；本年支出 824.02</w:t>
      </w:r>
      <w:r>
        <w:rPr>
          <w:rFonts w:hint="eastAsia"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eastAsia="zh-CN"/>
        </w:rPr>
        <w:t>元，比上年</w:t>
      </w:r>
      <w:r>
        <w:rPr>
          <w:rFonts w:hint="eastAsia" w:ascii="Times New Roman" w:hAnsi="Times New Roman" w:eastAsia="仿宋_GB2312" w:cs="Times New Roman"/>
          <w:kern w:val="2"/>
          <w:sz w:val="32"/>
          <w:szCs w:val="32"/>
          <w:lang w:val="zh-CN" w:eastAsia="zh-CN"/>
        </w:rPr>
        <w:t>减少165.2万元</w:t>
      </w:r>
      <w:r>
        <w:rPr>
          <w:rFonts w:hint="default" w:ascii="Times New Roman" w:hAnsi="Times New Roman" w:eastAsia="仿宋_GB2312" w:cs="Times New Roman"/>
          <w:kern w:val="2"/>
          <w:sz w:val="32"/>
          <w:szCs w:val="32"/>
          <w:lang w:val="zh-CN" w:eastAsia="zh-CN"/>
        </w:rPr>
        <w:t>，</w:t>
      </w:r>
      <w:r>
        <w:rPr>
          <w:rFonts w:hint="eastAsia" w:ascii="Times New Roman" w:hAnsi="Times New Roman" w:eastAsia="仿宋_GB2312" w:cs="Times New Roman"/>
          <w:kern w:val="2"/>
          <w:sz w:val="32"/>
          <w:szCs w:val="32"/>
          <w:lang w:val="zh-CN" w:eastAsia="zh-CN"/>
        </w:rPr>
        <w:t>降低16.7%，</w:t>
      </w:r>
      <w:r>
        <w:rPr>
          <w:rFonts w:hint="default" w:ascii="Times New Roman" w:hAnsi="Times New Roman" w:eastAsia="仿宋_GB2312" w:cs="Times New Roman"/>
          <w:kern w:val="2"/>
          <w:sz w:val="32"/>
          <w:szCs w:val="32"/>
          <w:lang w:val="zh-CN" w:eastAsia="zh-CN"/>
        </w:rPr>
        <w:t>主要是</w:t>
      </w:r>
      <w:r>
        <w:rPr>
          <w:rFonts w:hint="default" w:ascii="Times New Roman" w:hAnsi="Times New Roman" w:eastAsia="仿宋_GB2312" w:cs="Times New Roman"/>
          <w:kern w:val="2"/>
          <w:sz w:val="32"/>
          <w:szCs w:val="32"/>
          <w:rtl w:val="0"/>
          <w:lang w:val="zh-CN" w:eastAsia="zh-CN"/>
        </w:rPr>
        <w:t>石家庄市“数字政府”建设三年行动方案（2022-2024）编制经费</w:t>
      </w:r>
      <w:r>
        <w:rPr>
          <w:rFonts w:hint="eastAsia" w:ascii="Times New Roman" w:hAnsi="Times New Roman" w:eastAsia="仿宋_GB2312" w:cs="Times New Roman"/>
          <w:kern w:val="2"/>
          <w:sz w:val="32"/>
          <w:szCs w:val="32"/>
          <w:rtl w:val="0"/>
          <w:lang w:val="zh-CN" w:eastAsia="zh-CN"/>
        </w:rPr>
        <w:t>、公务用车回购等项目在</w:t>
      </w:r>
      <w:r>
        <w:rPr>
          <w:rFonts w:hint="eastAsia" w:ascii="Times New Roman" w:hAnsi="Times New Roman" w:eastAsia="仿宋_GB2312" w:cs="Times New Roman"/>
          <w:kern w:val="2"/>
          <w:sz w:val="32"/>
          <w:szCs w:val="32"/>
          <w:rtl w:val="0"/>
          <w:lang w:val="en-US" w:eastAsia="zh-CN"/>
        </w:rPr>
        <w:t>2022年度完成后，2023年度未产生支出</w:t>
      </w:r>
      <w:r>
        <w:rPr>
          <w:rFonts w:hint="default" w:ascii="Times New Roman" w:hAnsi="Times New Roman" w:eastAsia="仿宋_GB2312" w:cs="Times New Roman"/>
          <w:kern w:val="2"/>
          <w:sz w:val="32"/>
          <w:szCs w:val="32"/>
          <w:lang w:val="zh-CN" w:eastAsia="zh-CN"/>
        </w:rPr>
        <w:t>。具体情况如下：</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fill="FFFFFF"/>
        </w:rPr>
      </w:pPr>
      <w:r>
        <w:rPr>
          <w:rFonts w:hint="eastAsia" w:ascii="仿宋_GB2312" w:hAnsi="Times New Roman" w:eastAsia="仿宋_GB2312" w:cs="DengXian-Regular"/>
          <w:sz w:val="32"/>
          <w:szCs w:val="32"/>
          <w:rtl w:val="0"/>
        </w:rPr>
        <w:t>本单位202</w:t>
      </w:r>
      <w:r>
        <w:rPr>
          <w:rFonts w:hint="eastAsia" w:ascii="仿宋_GB2312" w:hAnsi="Times New Roman" w:eastAsia="仿宋_GB2312" w:cs="DengXian-Regular"/>
          <w:sz w:val="32"/>
          <w:szCs w:val="32"/>
          <w:rtl w:val="0"/>
          <w:lang w:val="en-US" w:eastAsia="zh-CN"/>
        </w:rPr>
        <w:t>3</w:t>
      </w:r>
      <w:r>
        <w:rPr>
          <w:rFonts w:hint="eastAsia" w:ascii="仿宋_GB2312" w:hAnsi="Times New Roman" w:eastAsia="仿宋_GB2312" w:cs="DengXian-Regular"/>
          <w:sz w:val="32"/>
          <w:szCs w:val="32"/>
          <w:rtl w:val="0"/>
        </w:rPr>
        <w:t>年度一般公共预算财政拨款</w:t>
      </w:r>
      <w:r>
        <w:rPr>
          <w:rFonts w:hint="default" w:ascii="Times New Roman" w:hAnsi="Times New Roman" w:eastAsia="仿宋_GB2312" w:cs="Times New Roman"/>
          <w:color w:val="auto"/>
          <w:kern w:val="2"/>
          <w:sz w:val="32"/>
          <w:szCs w:val="32"/>
          <w:lang w:val="zh-CN" w:eastAsia="zh-CN" w:bidi="ar-SA"/>
        </w:rPr>
        <w:t>收入793.24万元，完成年初预算的96.68%，比年初预算</w:t>
      </w:r>
      <w:r>
        <w:rPr>
          <w:rFonts w:hint="eastAsia" w:ascii="Times New Roman" w:hAnsi="Times New Roman" w:eastAsia="仿宋_GB2312" w:cs="Times New Roman"/>
          <w:sz w:val="30"/>
          <w:szCs w:val="30"/>
          <w:highlight w:val="none"/>
          <w:lang w:val="zh-CN"/>
        </w:rPr>
        <w:t>减少27.26万元</w:t>
      </w:r>
      <w:r>
        <w:rPr>
          <w:rFonts w:hint="default" w:ascii="Times New Roman" w:hAnsi="Times New Roman" w:eastAsia="仿宋_GB2312" w:cs="Times New Roman"/>
          <w:color w:val="auto"/>
          <w:kern w:val="2"/>
          <w:sz w:val="32"/>
          <w:szCs w:val="32"/>
          <w:lang w:val="zh-CN" w:eastAsia="zh-CN" w:bidi="ar-SA"/>
        </w:rPr>
        <w:t>，决算数小于预算数主要原因是</w:t>
      </w:r>
      <w:r>
        <w:rPr>
          <w:rFonts w:hint="eastAsia" w:ascii="Times New Roman" w:hAnsi="Times New Roman" w:eastAsia="仿宋_GB2312" w:cs="Times New Roman"/>
          <w:color w:val="auto"/>
          <w:kern w:val="2"/>
          <w:sz w:val="32"/>
          <w:szCs w:val="32"/>
          <w:lang w:val="zh-CN" w:eastAsia="zh-CN" w:bidi="ar-SA"/>
        </w:rPr>
        <w:t>年中业务咨询委托费项目调剂出部分金额，导致决算数小于年初预算数</w:t>
      </w:r>
      <w:r>
        <w:rPr>
          <w:rFonts w:hint="default" w:ascii="Times New Roman" w:hAnsi="Times New Roman" w:eastAsia="仿宋_GB2312" w:cs="Times New Roman"/>
          <w:color w:val="auto"/>
          <w:kern w:val="2"/>
          <w:sz w:val="32"/>
          <w:szCs w:val="32"/>
          <w:lang w:val="zh-CN" w:eastAsia="zh-CN" w:bidi="ar-SA"/>
        </w:rPr>
        <w:t>；本年支出824.02万元，完成年初预算的100.43%，比年初预算</w:t>
      </w:r>
      <w:r>
        <w:rPr>
          <w:rFonts w:hint="eastAsia" w:ascii="Times New Roman" w:hAnsi="Times New Roman" w:eastAsia="仿宋_GB2312" w:cs="Times New Roman"/>
          <w:sz w:val="30"/>
          <w:szCs w:val="30"/>
          <w:highlight w:val="none"/>
          <w:lang w:val="zh-CN"/>
        </w:rPr>
        <w:t>增加3.52万元</w:t>
      </w:r>
      <w:r>
        <w:rPr>
          <w:rFonts w:hint="default" w:ascii="Times New Roman" w:hAnsi="Times New Roman" w:eastAsia="仿宋_GB2312" w:cs="Times New Roman"/>
          <w:color w:val="auto"/>
          <w:kern w:val="2"/>
          <w:sz w:val="32"/>
          <w:szCs w:val="32"/>
          <w:lang w:val="zh-CN" w:eastAsia="zh-CN" w:bidi="ar-SA"/>
        </w:rPr>
        <w:t>，决算数</w:t>
      </w:r>
      <w:r>
        <w:rPr>
          <w:rFonts w:hint="default" w:ascii="Times New Roman" w:hAnsi="Times New Roman" w:eastAsia="仿宋_GB2312" w:cs="Times New Roman"/>
          <w:kern w:val="2"/>
          <w:sz w:val="32"/>
          <w:szCs w:val="32"/>
          <w:lang w:val="zh-CN"/>
        </w:rPr>
        <w:t>大于预算数主要原因</w:t>
      </w:r>
      <w:r>
        <w:rPr>
          <w:rFonts w:hint="eastAsia" w:ascii="Times New Roman" w:hAnsi="Times New Roman" w:eastAsia="仿宋_GB2312" w:cs="Times New Roman"/>
          <w:kern w:val="2"/>
          <w:sz w:val="32"/>
          <w:szCs w:val="32"/>
          <w:lang w:val="zh-CN"/>
        </w:rPr>
        <w:t>是部分社保</w:t>
      </w:r>
      <w:r>
        <w:rPr>
          <w:rFonts w:hint="eastAsia" w:ascii="Times New Roman" w:hAnsi="Times New Roman" w:eastAsia="仿宋_GB2312" w:cs="Times New Roman"/>
          <w:kern w:val="2"/>
          <w:sz w:val="32"/>
          <w:szCs w:val="32"/>
          <w:lang w:val="en-US" w:eastAsia="zh-CN"/>
        </w:rPr>
        <w:t>2022年度扣缴后，在2023年度缴纳</w:t>
      </w:r>
      <w:r>
        <w:rPr>
          <w:rFonts w:hint="default" w:ascii="Times New Roman" w:hAnsi="Times New Roman" w:eastAsia="仿宋_GB2312" w:cs="Times New Roman"/>
          <w:kern w:val="2"/>
          <w:sz w:val="32"/>
          <w:szCs w:val="32"/>
          <w:lang w:val="zh-CN"/>
        </w:rPr>
        <w:t>。</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r>
        <w:rPr>
          <w:rFonts w:ascii="Times New Roman" w:hAnsi="Times New Roman" w:eastAsia="仿宋_GB2312"/>
          <w:sz w:val="32"/>
          <w:szCs w:val="32"/>
          <w:highlight w:val="none"/>
        </w:rPr>
        <w:drawing>
          <wp:inline distT="0" distB="0" distL="114300" distR="114300">
            <wp:extent cx="5256530" cy="2988310"/>
            <wp:effectExtent l="5080" t="4445" r="1524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none"/>
          <w:lang w:val="en-US" w:eastAsia="zh-CN" w:bidi="ar-SA"/>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年度财政拨款支出824.02万元，主要用于以下方面：</w:t>
      </w:r>
    </w:p>
    <w:p>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eastAsia" w:ascii="Times New Roman" w:hAnsi="Times New Roman" w:eastAsia="仿宋_GB2312" w:cs="Times New Roman"/>
          <w:i w:val="0"/>
          <w:iCs w:val="0"/>
          <w:caps w:val="0"/>
          <w:color w:val="000000"/>
          <w:spacing w:val="0"/>
          <w:sz w:val="33"/>
          <w:szCs w:val="33"/>
          <w:highlight w:val="none"/>
          <w:shd w:val="clear" w:fill="FFFFFF"/>
          <w:lang w:val="zh-CN" w:eastAsia="zh-CN"/>
        </w:rPr>
      </w:pPr>
      <w:r>
        <w:rPr>
          <w:rFonts w:hint="default" w:ascii="Times New Roman" w:hAnsi="Times New Roman" w:eastAsia="仿宋_GB2312" w:cs="Times New Roman"/>
          <w:i w:val="0"/>
          <w:iCs w:val="0"/>
          <w:caps w:val="0"/>
          <w:color w:val="000000"/>
          <w:spacing w:val="0"/>
          <w:sz w:val="33"/>
          <w:szCs w:val="33"/>
          <w:highlight w:val="none"/>
          <w:shd w:val="clear" w:fill="FFFFFF"/>
          <w:lang w:val="zh-CN" w:eastAsia="zh-CN"/>
        </w:rPr>
        <w:t>一般公共服务（类）支出682.47万元，占82.82%；社会保障和就业 （类）支出58.98万元，占7.16%；卫生健康（类）支出32.97万元，占4%；住房保障（类）支出49.6万元6.02%</w:t>
      </w:r>
      <w:r>
        <w:rPr>
          <w:rFonts w:hint="eastAsia" w:ascii="Times New Roman" w:hAnsi="Times New Roman" w:eastAsia="仿宋_GB2312" w:cs="Times New Roman"/>
          <w:i w:val="0"/>
          <w:iCs w:val="0"/>
          <w:caps w:val="0"/>
          <w:color w:val="000000"/>
          <w:spacing w:val="0"/>
          <w:sz w:val="33"/>
          <w:szCs w:val="33"/>
          <w:highlight w:val="none"/>
          <w:shd w:val="clear" w:fill="FFFFFF"/>
          <w:lang w:val="zh-CN" w:eastAsia="zh-CN"/>
        </w:rPr>
        <w:t>。</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drawing>
          <wp:inline distT="0" distB="0" distL="114300" distR="114300">
            <wp:extent cx="5256530" cy="2988310"/>
            <wp:effectExtent l="5080" t="4445" r="15240" b="17145"/>
            <wp:docPr id="15" name="图表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pStyle w:val="11"/>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年度财政拨款基本支出644.27万元，其中：</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582.4万元，主要包括基本工资、津贴补贴、奖金、绩效工资、机关事业部门基本养老保险缴费、职业年金缴费、职工基本医疗保险缴费、公务员医疗补助缴费、住房公积金、医疗费、其他社会保障缴费、其他工资福利支出、 退休费、生活补助、医疗费补助、奖励金、其他对</w:t>
      </w:r>
      <w:r>
        <w:rPr>
          <w:rFonts w:hint="default" w:ascii="Times New Roman" w:hAnsi="Times New Roman" w:eastAsia="仿宋_GB2312" w:cs="Times New Roman"/>
          <w:i w:val="0"/>
          <w:iCs w:val="0"/>
          <w:caps w:val="0"/>
          <w:color w:val="333333"/>
          <w:spacing w:val="0"/>
          <w:sz w:val="33"/>
          <w:szCs w:val="33"/>
          <w:highlight w:val="none"/>
          <w:shd w:val="clear" w:fill="FFFFFF"/>
        </w:rPr>
        <w:t>个人和家庭</w:t>
      </w:r>
      <w:r>
        <w:rPr>
          <w:rFonts w:hint="default" w:ascii="Times New Roman" w:hAnsi="Times New Roman" w:eastAsia="仿宋_GB2312" w:cs="Times New Roman"/>
          <w:color w:val="auto"/>
          <w:kern w:val="2"/>
          <w:sz w:val="32"/>
          <w:szCs w:val="32"/>
          <w:lang w:val="zh-CN" w:eastAsia="zh-CN" w:bidi="ar-SA"/>
        </w:rPr>
        <w:t>的补助支出。</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公用经费61.87万元，主要包括办公费、印刷费、手续费、邮电费、差旅费、因公出国（境）费用、会议费、培训费、公务接待费、工会经费、福利费、公务用车运行维护费。</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年度“三公”经费财政拨款支出预算为3.67万元，支出决算为0.86万元，完成预算的23.53%，较预算</w:t>
      </w:r>
      <w:r>
        <w:rPr>
          <w:rFonts w:hint="eastAsia" w:ascii="Times New Roman" w:hAnsi="Times New Roman" w:eastAsia="仿宋_GB2312" w:cs="Times New Roman"/>
          <w:color w:val="auto"/>
          <w:kern w:val="2"/>
          <w:sz w:val="32"/>
          <w:szCs w:val="32"/>
          <w:lang w:val="zh-CN" w:eastAsia="zh-CN" w:bidi="ar-SA"/>
        </w:rPr>
        <w:t>减少2.81万元，降低76.47%，</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落实过紧日子要求，减少三公经费支出</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减少6.28万元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降低87.91%，</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公务用车回购资金项目在2022年度已结束，2023年度未产生支出</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本单位</w:t>
      </w:r>
      <w:r>
        <w:rPr>
          <w:rFonts w:hint="default" w:ascii="Times New Roman" w:hAnsi="Times New Roman" w:eastAsia="仿宋_GB2312" w:cs="Times New Roman"/>
          <w:color w:val="auto"/>
          <w:kern w:val="2"/>
          <w:sz w:val="32"/>
          <w:szCs w:val="32"/>
          <w:lang w:val="en-US" w:eastAsia="zh-CN" w:bidi="ar-SA"/>
        </w:rPr>
        <w:t>2023年度因公出国（境）费支出预算为0万元</w:t>
      </w:r>
      <w:r>
        <w:rPr>
          <w:rFonts w:hint="eastAsia" w:ascii="Times New Roman" w:hAnsi="Times New Roman" w:eastAsia="仿宋_GB2312" w:cs="Times New Roman"/>
          <w:color w:val="auto"/>
          <w:kern w:val="2"/>
          <w:sz w:val="32"/>
          <w:szCs w:val="32"/>
          <w:lang w:val="en-US" w:eastAsia="zh-CN" w:bidi="ar-SA"/>
        </w:rPr>
        <w:t>，</w:t>
      </w:r>
      <w:r>
        <w:rPr>
          <w:rFonts w:hint="default" w:ascii="Times New Roman" w:hAnsi="Times New Roman" w:eastAsia="仿宋_GB2312" w:cs="Times New Roman"/>
          <w:color w:val="auto"/>
          <w:kern w:val="2"/>
          <w:sz w:val="32"/>
          <w:szCs w:val="32"/>
          <w:lang w:val="en-US" w:eastAsia="zh-CN" w:bidi="ar-SA"/>
        </w:rPr>
        <w:t>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。因公出国（境）团组0个、共0人、参加其他单位组织的因公出国（境）团组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个、无本部门组织的出国（境）团组。</w:t>
      </w:r>
    </w:p>
    <w:p>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Arial" w:cs="Times New Roman"/>
          <w:highlight w:val="none"/>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年度公务用车购置及运行维护费预算为3万元，支出决算 0.86万元，完成预算的28.78%</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较预算</w:t>
      </w:r>
      <w:r>
        <w:rPr>
          <w:rFonts w:hint="eastAsia" w:ascii="Times New Roman" w:hAnsi="Times New Roman" w:eastAsia="仿宋_GB2312" w:cs="Times New Roman"/>
          <w:color w:val="auto"/>
          <w:kern w:val="2"/>
          <w:sz w:val="32"/>
          <w:szCs w:val="32"/>
          <w:lang w:val="zh-CN" w:eastAsia="zh-CN" w:bidi="ar-SA"/>
        </w:rPr>
        <w:t>减少2.14万元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降低71.22%，</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落实过紧日子要求，减少三公经费支出</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减少6.28万元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降低87.91%，</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公务用车回购资金项目在2022年度已结束，2023年度未产生支出</w:t>
      </w:r>
      <w:r>
        <w:rPr>
          <w:rFonts w:hint="default" w:ascii="Times New Roman" w:hAnsi="Times New Roman" w:eastAsia="仿宋_GB2312" w:cs="Times New Roman"/>
          <w:color w:val="auto"/>
          <w:kern w:val="2"/>
          <w:sz w:val="32"/>
          <w:szCs w:val="32"/>
          <w:lang w:val="zh-CN" w:eastAsia="zh-CN" w:bidi="ar-SA"/>
        </w:rPr>
        <w:t>。其中：</w:t>
      </w:r>
    </w:p>
    <w:p>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减少6.2万元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降低100%，</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公务用车回购资金项目在2022年度已结束，2023年度未产生支出</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0.86</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年度单位公务用车保有量1辆，发生运行维护费支出0.86万元。公车运行维护费支出较预算</w:t>
      </w:r>
      <w:r>
        <w:rPr>
          <w:rFonts w:hint="eastAsia" w:ascii="Times New Roman" w:hAnsi="Times New Roman" w:eastAsia="仿宋_GB2312" w:cs="Times New Roman"/>
          <w:color w:val="auto"/>
          <w:kern w:val="2"/>
          <w:sz w:val="32"/>
          <w:szCs w:val="32"/>
          <w:lang w:val="zh-CN" w:eastAsia="zh-CN" w:bidi="ar-SA"/>
        </w:rPr>
        <w:t>减少2.14万元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降低71.22%，</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落实过紧日子要求，减少三公经费支出</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减少0.08万元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降低8.11%，</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油费与维护费正常波动造成</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年度公务接待费支出预算为0.67万元，支出决算0万元，完成预算的0%。公务接待费支出较预算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减少0.67万元，降低100%，</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落实过紧日子要求，减少三公经费支出</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与上年度持平，</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落实过紧日子要求，减少三公经费支出</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60" w:firstLineChars="200"/>
        <w:jc w:val="both"/>
        <w:outlineLvl w:val="1"/>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年度机关运行经费支出61.87万元，较2022年度</w:t>
      </w:r>
      <w:r>
        <w:rPr>
          <w:rFonts w:hint="eastAsia" w:ascii="Times New Roman" w:hAnsi="Times New Roman" w:eastAsia="仿宋_GB2312" w:cs="Times New Roman"/>
          <w:color w:val="auto"/>
          <w:kern w:val="2"/>
          <w:sz w:val="32"/>
          <w:szCs w:val="32"/>
          <w:lang w:val="zh-CN" w:eastAsia="zh-CN" w:bidi="ar-SA"/>
        </w:rPr>
        <w:t>增加5.04万元，增长8.86%，</w:t>
      </w:r>
      <w:r>
        <w:rPr>
          <w:rFonts w:hint="default" w:ascii="Times New Roman" w:hAnsi="Times New Roman" w:eastAsia="仿宋_GB2312" w:cs="Times New Roman"/>
          <w:color w:val="auto"/>
          <w:kern w:val="2"/>
          <w:sz w:val="32"/>
          <w:szCs w:val="32"/>
          <w:lang w:val="zh-CN" w:eastAsia="zh-CN" w:bidi="ar-SA"/>
        </w:rPr>
        <w:t>主要原因是</w:t>
      </w:r>
      <w:r>
        <w:rPr>
          <w:rFonts w:hint="eastAsia" w:ascii="仿宋_GB2312" w:hAnsi="Times New Roman" w:eastAsia="仿宋_GB2312" w:cs="DengXian-Regular"/>
          <w:sz w:val="32"/>
          <w:szCs w:val="32"/>
          <w:rtl w:val="0"/>
          <w:lang w:val="en-US" w:eastAsia="zh-CN"/>
        </w:rPr>
        <w:t>公用经费增加</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000000" w:themeColor="text1"/>
          <w:spacing w:val="0"/>
          <w:sz w:val="33"/>
          <w:szCs w:val="33"/>
          <w:highlight w:val="none"/>
          <w:shd w:val="clear" w:fill="FFFFFF"/>
          <w14:textFill>
            <w14:solidFill>
              <w14:schemeClr w14:val="tx1"/>
            </w14:solidFill>
          </w14:textFill>
        </w:rPr>
        <w:t> </w:t>
      </w:r>
      <w:r>
        <w:rPr>
          <w:rFonts w:hint="default" w:ascii="Times New Roman" w:hAnsi="Times New Roman" w:eastAsia="仿宋_GB2312" w:cs="Times New Roman"/>
          <w:i w:val="0"/>
          <w:iCs w:val="0"/>
          <w:caps w:val="0"/>
          <w:color w:val="000000" w:themeColor="text1"/>
          <w:spacing w:val="0"/>
          <w:sz w:val="33"/>
          <w:szCs w:val="33"/>
          <w:highlight w:val="none"/>
          <w:shd w:val="clear" w:fill="FFFFFF"/>
          <w:lang w:val="en-US" w:eastAsia="zh-CN"/>
          <w14:textFill>
            <w14:solidFill>
              <w14:schemeClr w14:val="tx1"/>
            </w14:solidFill>
          </w14:textFill>
        </w:rPr>
        <w:t xml:space="preserve"> </w:t>
      </w:r>
      <w:r>
        <w:rPr>
          <w:rFonts w:hint="default" w:ascii="Times New Roman" w:hAnsi="Times New Roman" w:eastAsia="仿宋_GB2312" w:cs="Times New Roman"/>
          <w:i w:val="0"/>
          <w:iCs w:val="0"/>
          <w:caps w:val="0"/>
          <w:color w:val="000000" w:themeColor="text1"/>
          <w:spacing w:val="0"/>
          <w:sz w:val="33"/>
          <w:szCs w:val="33"/>
          <w:highlight w:val="none"/>
          <w:shd w:val="clear" w:fill="FFFFFF"/>
          <w:lang w:eastAsia="zh-CN"/>
          <w14:textFill>
            <w14:solidFill>
              <w14:schemeClr w14:val="tx1"/>
            </w14:solidFill>
          </w14:textFill>
        </w:rPr>
        <w:t xml:space="preserve"> </w:t>
      </w:r>
      <w:r>
        <w:rPr>
          <w:rFonts w:hint="default" w:ascii="Times New Roman" w:hAnsi="Times New Roman" w:eastAsia="仿宋_GB2312" w:cs="Times New Roman"/>
          <w:color w:val="000000" w:themeColor="text1"/>
          <w:kern w:val="2"/>
          <w:sz w:val="32"/>
          <w:szCs w:val="32"/>
          <w:lang w:val="zh-CN" w:eastAsia="zh-CN" w:bidi="ar-SA"/>
          <w14:textFill>
            <w14:solidFill>
              <w14:schemeClr w14:val="tx1"/>
            </w14:solidFill>
          </w14:textFill>
        </w:rPr>
        <w:t>本单位202</w:t>
      </w: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3</w:t>
      </w:r>
      <w:r>
        <w:rPr>
          <w:rFonts w:hint="default" w:ascii="Times New Roman" w:hAnsi="Times New Roman" w:eastAsia="仿宋_GB2312" w:cs="Times New Roman"/>
          <w:color w:val="000000" w:themeColor="text1"/>
          <w:kern w:val="2"/>
          <w:sz w:val="32"/>
          <w:szCs w:val="32"/>
          <w:lang w:val="zh-CN" w:eastAsia="zh-CN" w:bidi="ar-SA"/>
          <w14:textFill>
            <w14:solidFill>
              <w14:schemeClr w14:val="tx1"/>
            </w14:solidFill>
          </w14:textFill>
        </w:rPr>
        <w:t>年度政府采购支出总额63.85万元，从采购类型来看，政府采购货物支出0万元、政府采购工程支出0万元、政府采购服务支出63.85万元。授予中小企业</w:t>
      </w: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合同金额</w:t>
      </w:r>
      <w:r>
        <w:rPr>
          <w:rFonts w:hint="default" w:ascii="Times New Roman" w:hAnsi="Times New Roman" w:eastAsia="仿宋_GB2312" w:cs="Times New Roman"/>
          <w:color w:val="000000" w:themeColor="text1"/>
          <w:kern w:val="2"/>
          <w:sz w:val="32"/>
          <w:szCs w:val="32"/>
          <w:lang w:val="zh-CN" w:eastAsia="zh-CN" w:bidi="ar-SA"/>
          <w14:textFill>
            <w14:solidFill>
              <w14:schemeClr w14:val="tx1"/>
            </w14:solidFill>
          </w14:textFill>
        </w:rPr>
        <w:t>63.85万元，占政府采购支出总额的100%，其中授予小微企业合同金额63.85万元，占政府采购支出总额的100%。</w:t>
      </w:r>
    </w:p>
    <w:p>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年12月31日，本单位共有车辆1辆，</w:t>
      </w:r>
      <w:r>
        <w:rPr>
          <w:rFonts w:hint="eastAsia" w:ascii="Times New Roman" w:hAnsi="Times New Roman" w:eastAsia="仿宋_GB2312" w:cs="Times New Roman"/>
          <w:color w:val="auto"/>
          <w:kern w:val="2"/>
          <w:sz w:val="32"/>
          <w:szCs w:val="32"/>
          <w:lang w:val="zh-CN" w:eastAsia="zh-CN" w:bidi="ar-SA"/>
        </w:rPr>
        <w:t>与</w:t>
      </w:r>
      <w:r>
        <w:rPr>
          <w:rFonts w:hint="default" w:ascii="Times New Roman" w:hAnsi="Times New Roman" w:eastAsia="仿宋_GB2312" w:cs="Times New Roman"/>
          <w:color w:val="auto"/>
          <w:kern w:val="2"/>
          <w:sz w:val="32"/>
          <w:szCs w:val="32"/>
          <w:lang w:val="zh-CN" w:eastAsia="zh-CN" w:bidi="ar-SA"/>
        </w:rPr>
        <w:t>上年</w:t>
      </w:r>
      <w:r>
        <w:rPr>
          <w:rFonts w:hint="eastAsia" w:ascii="Times New Roman" w:hAnsi="Times New Roman" w:eastAsia="仿宋_GB2312" w:cs="Times New Roman"/>
          <w:color w:val="auto"/>
          <w:kern w:val="2"/>
          <w:sz w:val="32"/>
          <w:szCs w:val="32"/>
          <w:lang w:val="zh-CN" w:eastAsia="zh-CN" w:bidi="ar-SA"/>
        </w:rPr>
        <w:t>度持平</w:t>
      </w:r>
      <w:r>
        <w:rPr>
          <w:rFonts w:hint="default" w:ascii="Times New Roman" w:hAnsi="Times New Roman" w:eastAsia="仿宋_GB2312" w:cs="Times New Roman"/>
          <w:color w:val="auto"/>
          <w:kern w:val="2"/>
          <w:sz w:val="32"/>
          <w:szCs w:val="32"/>
          <w:lang w:val="zh-CN" w:eastAsia="zh-CN" w:bidi="ar-SA"/>
        </w:rPr>
        <w:t>。其中应急保障用车1辆。单位价值100万元（含）以上设备（不含车辆）26台（套）。</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pPr>
        <w:keepNext w:val="0"/>
        <w:keepLines w:val="0"/>
        <w:pageBreakBefore w:val="0"/>
        <w:kinsoku/>
        <w:wordWrap/>
        <w:overflowPunct/>
        <w:topLinePunct w:val="0"/>
        <w:autoSpaceDE/>
        <w:autoSpaceDN/>
        <w:bidi w:val="0"/>
        <w:adjustRightInd w:val="0"/>
        <w:snapToGrid w:val="0"/>
        <w:spacing w:line="576" w:lineRule="exact"/>
        <w:ind w:firstLine="640" w:firstLineChars="200"/>
        <w:textAlignment w:val="auto"/>
        <w:rPr>
          <w:rFonts w:hint="default" w:ascii="Times New Roman" w:hAnsi="Times New Roman" w:eastAsia="Arial" w:cs="Times New Roman"/>
          <w:highlight w:val="none"/>
        </w:rPr>
      </w:pPr>
      <w:r>
        <w:rPr>
          <w:rFonts w:hint="eastAsia" w:ascii="仿宋_GB2312" w:hAnsi="Times New Roman" w:eastAsia="仿宋_GB2312" w:cs="DengXian-Regular"/>
          <w:color w:val="auto"/>
          <w:sz w:val="32"/>
          <w:szCs w:val="32"/>
          <w:rtl w:val="0"/>
        </w:rPr>
        <w:t>根据预算绩效管理要求，本单位组织对</w:t>
      </w:r>
      <w:r>
        <w:rPr>
          <w:rFonts w:hint="eastAsia" w:ascii="仿宋_GB2312" w:hAnsi="Times New Roman" w:eastAsia="仿宋_GB2312" w:cs="DengXian-Regular"/>
          <w:color w:val="auto"/>
          <w:sz w:val="32"/>
          <w:szCs w:val="32"/>
          <w:rtl w:val="0"/>
          <w:lang w:val="en-US" w:eastAsia="zh-CN"/>
        </w:rPr>
        <w:t>2023</w:t>
      </w:r>
      <w:r>
        <w:rPr>
          <w:rFonts w:hint="eastAsia" w:ascii="仿宋_GB2312" w:hAnsi="Times New Roman" w:eastAsia="仿宋_GB2312" w:cs="DengXian-Regular"/>
          <w:color w:val="auto"/>
          <w:sz w:val="32"/>
          <w:szCs w:val="32"/>
          <w:rtl w:val="0"/>
        </w:rPr>
        <w:t>年度一般公共预算项目支出全面开展绩效自评，其中，一般公共预算项目</w:t>
      </w:r>
      <w:r>
        <w:rPr>
          <w:rFonts w:hint="eastAsia" w:ascii="仿宋_GB2312" w:hAnsi="Times New Roman" w:eastAsia="仿宋_GB2312" w:cs="DengXian-Regular"/>
          <w:color w:val="auto"/>
          <w:sz w:val="32"/>
          <w:szCs w:val="32"/>
          <w:rtl w:val="0"/>
          <w:lang w:val="en-US" w:eastAsia="zh-CN"/>
        </w:rPr>
        <w:t>6</w:t>
      </w:r>
      <w:r>
        <w:rPr>
          <w:rFonts w:hint="eastAsia" w:ascii="仿宋_GB2312" w:hAnsi="Times New Roman" w:eastAsia="仿宋_GB2312" w:cs="DengXian-Regular"/>
          <w:color w:val="auto"/>
          <w:sz w:val="32"/>
          <w:szCs w:val="32"/>
          <w:rtl w:val="0"/>
        </w:rPr>
        <w:t>个，共涉及资金</w:t>
      </w:r>
      <w:r>
        <w:rPr>
          <w:rFonts w:hint="eastAsia" w:ascii="仿宋_GB2312" w:hAnsi="Times New Roman" w:eastAsia="仿宋_GB2312" w:cs="DengXian-Regular"/>
          <w:color w:val="auto"/>
          <w:sz w:val="32"/>
          <w:szCs w:val="32"/>
          <w:rtl w:val="0"/>
          <w:lang w:val="en-US" w:eastAsia="zh-CN"/>
        </w:rPr>
        <w:t>183.46</w:t>
      </w:r>
      <w:r>
        <w:rPr>
          <w:rFonts w:hint="eastAsia" w:ascii="仿宋_GB2312" w:hAnsi="Times New Roman" w:eastAsia="仿宋_GB2312" w:cs="DengXian-Regular"/>
          <w:color w:val="auto"/>
          <w:sz w:val="32"/>
          <w:szCs w:val="32"/>
          <w:rtl w:val="0"/>
        </w:rPr>
        <w:t>万元，占一般公共预算项目支出总额的</w:t>
      </w:r>
      <w:r>
        <w:rPr>
          <w:rFonts w:hint="eastAsia" w:ascii="仿宋_GB2312" w:hAnsi="Times New Roman" w:eastAsia="仿宋_GB2312" w:cs="DengXian-Regular"/>
          <w:color w:val="auto"/>
          <w:sz w:val="32"/>
          <w:szCs w:val="32"/>
          <w:rtl w:val="0"/>
          <w:lang w:val="en-US" w:eastAsia="zh-CN"/>
        </w:rPr>
        <w:t>100</w:t>
      </w:r>
      <w:r>
        <w:rPr>
          <w:rFonts w:hint="eastAsia" w:ascii="仿宋_GB2312" w:hAnsi="Times New Roman" w:eastAsia="仿宋_GB2312" w:cs="DengXian-Regular"/>
          <w:color w:val="auto"/>
          <w:sz w:val="32"/>
          <w:szCs w:val="32"/>
          <w:rtl w:val="0"/>
        </w:rPr>
        <w:t>%；本单位无政府性基金预算项目。</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w:t>
      </w:r>
      <w:r>
        <w:rPr>
          <w:rFonts w:hint="eastAsia" w:ascii="Times New Roman" w:hAnsi="Times New Roman" w:eastAsia="仿宋_GB2312" w:cs="Times New Roman"/>
          <w:b/>
          <w:bCs/>
          <w:sz w:val="32"/>
          <w:szCs w:val="32"/>
          <w:lang w:eastAsia="zh-CN"/>
        </w:rPr>
        <w:t>单位</w:t>
      </w:r>
      <w:r>
        <w:rPr>
          <w:rFonts w:hint="default" w:ascii="Times New Roman" w:hAnsi="Times New Roman" w:eastAsia="仿宋_GB2312" w:cs="Times New Roman"/>
          <w:b/>
          <w:bCs/>
          <w:sz w:val="32"/>
          <w:szCs w:val="32"/>
        </w:rPr>
        <w:t>决算中项目绩效自评结果</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000000" w:themeColor="text1"/>
          <w:kern w:val="2"/>
          <w:sz w:val="32"/>
          <w:szCs w:val="32"/>
          <w:lang w:val="zh-CN" w:eastAsia="zh-CN" w:bidi="ar-SA"/>
          <w14:textFill>
            <w14:solidFill>
              <w14:schemeClr w14:val="tx1"/>
            </w14:solidFill>
          </w14:textFill>
        </w:rPr>
      </w:pPr>
      <w:r>
        <w:rPr>
          <w:rFonts w:hint="default" w:ascii="Times New Roman" w:hAnsi="Times New Roman" w:eastAsia="仿宋_GB2312" w:cs="Times New Roman"/>
          <w:i w:val="0"/>
          <w:iCs w:val="0"/>
          <w:caps w:val="0"/>
          <w:color w:val="000000" w:themeColor="text1"/>
          <w:spacing w:val="0"/>
          <w:sz w:val="33"/>
          <w:szCs w:val="33"/>
          <w:highlight w:val="none"/>
          <w:shd w:val="clear" w:fill="FFFFFF"/>
          <w14:textFill>
            <w14:solidFill>
              <w14:schemeClr w14:val="tx1"/>
            </w14:solidFill>
          </w14:textFill>
        </w:rPr>
        <w:t> </w:t>
      </w:r>
      <w:r>
        <w:rPr>
          <w:rFonts w:hint="default" w:ascii="Times New Roman" w:hAnsi="Times New Roman" w:eastAsia="仿宋_GB2312" w:cs="Times New Roman"/>
          <w:color w:val="000000" w:themeColor="text1"/>
          <w:kern w:val="2"/>
          <w:sz w:val="32"/>
          <w:szCs w:val="32"/>
          <w:lang w:val="zh-CN" w:eastAsia="zh-CN" w:bidi="ar-SA"/>
          <w14:textFill>
            <w14:solidFill>
              <w14:schemeClr w14:val="tx1"/>
            </w14:solidFill>
          </w14:textFill>
        </w:rPr>
        <w:t>本单位在今年</w:t>
      </w:r>
      <w:r>
        <w:rPr>
          <w:rFonts w:hint="eastAsia" w:ascii="Times New Roman" w:hAnsi="Times New Roman" w:eastAsia="仿宋_GB2312" w:cs="Times New Roman"/>
          <w:color w:val="000000" w:themeColor="text1"/>
          <w:kern w:val="2"/>
          <w:sz w:val="32"/>
          <w:szCs w:val="32"/>
          <w:lang w:val="zh-CN" w:eastAsia="zh-CN" w:bidi="ar-SA"/>
          <w14:textFill>
            <w14:solidFill>
              <w14:schemeClr w14:val="tx1"/>
            </w14:solidFill>
          </w14:textFill>
        </w:rPr>
        <w:t>单位</w:t>
      </w:r>
      <w:r>
        <w:rPr>
          <w:rFonts w:hint="default" w:ascii="Times New Roman" w:hAnsi="Times New Roman" w:eastAsia="仿宋_GB2312" w:cs="Times New Roman"/>
          <w:color w:val="000000" w:themeColor="text1"/>
          <w:kern w:val="2"/>
          <w:sz w:val="32"/>
          <w:szCs w:val="32"/>
          <w:lang w:val="zh-CN" w:eastAsia="zh-CN" w:bidi="ar-SA"/>
          <w14:textFill>
            <w14:solidFill>
              <w14:schemeClr w14:val="tx1"/>
            </w14:solidFill>
          </w14:textFill>
        </w:rPr>
        <w:t>决算公开中反映</w:t>
      </w:r>
      <w:r>
        <w:rPr>
          <w:rFonts w:hint="eastAsia" w:ascii="Times New Roman" w:hAnsi="Times New Roman" w:eastAsia="仿宋_GB2312" w:cs="Times New Roman"/>
          <w:color w:val="000000" w:themeColor="text1"/>
          <w:kern w:val="2"/>
          <w:sz w:val="32"/>
          <w:szCs w:val="32"/>
          <w:lang w:val="zh-CN" w:eastAsia="zh-CN" w:bidi="ar-SA"/>
          <w14:textFill>
            <w14:solidFill>
              <w14:schemeClr w14:val="tx1"/>
            </w14:solidFill>
          </w14:textFill>
        </w:rPr>
        <w:t>防入侵检测经费</w:t>
      </w:r>
      <w:r>
        <w:rPr>
          <w:rFonts w:hint="default" w:ascii="Times New Roman" w:hAnsi="Times New Roman" w:eastAsia="仿宋_GB2312" w:cs="Times New Roman"/>
          <w:color w:val="000000" w:themeColor="text1"/>
          <w:kern w:val="2"/>
          <w:sz w:val="32"/>
          <w:szCs w:val="32"/>
          <w:lang w:val="zh-CN" w:eastAsia="zh-CN" w:bidi="ar-SA"/>
          <w14:textFill>
            <w14:solidFill>
              <w14:schemeClr w14:val="tx1"/>
            </w14:solidFill>
          </w14:textFill>
        </w:rPr>
        <w:t>项目绩效自评结果。</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Times New Roman" w:hAnsi="Times New Roman" w:eastAsia="仿宋_GB2312" w:cs="Times New Roman"/>
          <w:color w:val="000000" w:themeColor="text1"/>
          <w:kern w:val="2"/>
          <w:sz w:val="32"/>
          <w:szCs w:val="32"/>
          <w:lang w:val="zh-CN" w:eastAsia="zh-CN" w:bidi="ar-SA"/>
          <w14:textFill>
            <w14:solidFill>
              <w14:schemeClr w14:val="tx1"/>
            </w14:solidFill>
          </w14:textFill>
        </w:rPr>
        <w:t>防入侵检测经费</w:t>
      </w:r>
      <w:r>
        <w:rPr>
          <w:rFonts w:hint="default" w:ascii="Times New Roman" w:hAnsi="Times New Roman" w:eastAsia="仿宋_GB2312" w:cs="Times New Roman"/>
          <w:color w:val="000000" w:themeColor="text1"/>
          <w:kern w:val="2"/>
          <w:sz w:val="32"/>
          <w:szCs w:val="32"/>
          <w:lang w:val="zh-CN" w:eastAsia="zh-CN" w:bidi="ar-SA"/>
          <w14:textFill>
            <w14:solidFill>
              <w14:schemeClr w14:val="tx1"/>
            </w14:solidFill>
          </w14:textFill>
        </w:rPr>
        <w:t>项目绩效自评情况：根据年初设定的绩效目标，</w:t>
      </w:r>
      <w:r>
        <w:rPr>
          <w:rFonts w:hint="eastAsia" w:ascii="Times New Roman" w:hAnsi="Times New Roman" w:eastAsia="仿宋_GB2312" w:cs="Times New Roman"/>
          <w:color w:val="000000" w:themeColor="text1"/>
          <w:kern w:val="2"/>
          <w:sz w:val="32"/>
          <w:szCs w:val="32"/>
          <w:lang w:val="zh-CN" w:eastAsia="zh-CN" w:bidi="ar-SA"/>
          <w14:textFill>
            <w14:solidFill>
              <w14:schemeClr w14:val="tx1"/>
            </w14:solidFill>
          </w14:textFill>
        </w:rPr>
        <w:t>防入侵检测经费</w:t>
      </w:r>
      <w:r>
        <w:rPr>
          <w:rFonts w:hint="default" w:ascii="Times New Roman" w:hAnsi="Times New Roman" w:eastAsia="仿宋_GB2312" w:cs="Times New Roman"/>
          <w:color w:val="000000" w:themeColor="text1"/>
          <w:kern w:val="2"/>
          <w:sz w:val="32"/>
          <w:szCs w:val="32"/>
          <w:lang w:val="zh-CN" w:eastAsia="zh-CN" w:bidi="ar-SA"/>
          <w14:textFill>
            <w14:solidFill>
              <w14:schemeClr w14:val="tx1"/>
            </w14:solidFill>
          </w14:textFill>
        </w:rPr>
        <w:t>项目绩效自评得分为</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100</w:t>
      </w:r>
      <w:r>
        <w:rPr>
          <w:rFonts w:hint="default" w:ascii="Times New Roman" w:hAnsi="Times New Roman" w:eastAsia="仿宋_GB2312" w:cs="Times New Roman"/>
          <w:color w:val="000000" w:themeColor="text1"/>
          <w:kern w:val="2"/>
          <w:sz w:val="32"/>
          <w:szCs w:val="32"/>
          <w:lang w:val="zh-CN" w:eastAsia="zh-CN" w:bidi="ar-SA"/>
          <w14:textFill>
            <w14:solidFill>
              <w14:schemeClr w14:val="tx1"/>
            </w14:solidFill>
          </w14:textFill>
        </w:rPr>
        <w:t>分（绩效自评表附后）。全年预算数为</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20</w:t>
      </w:r>
      <w:r>
        <w:rPr>
          <w:rFonts w:hint="default" w:ascii="Times New Roman" w:hAnsi="Times New Roman" w:eastAsia="仿宋_GB2312" w:cs="Times New Roman"/>
          <w:color w:val="000000" w:themeColor="text1"/>
          <w:kern w:val="2"/>
          <w:sz w:val="32"/>
          <w:szCs w:val="32"/>
          <w:lang w:val="zh-CN" w:eastAsia="zh-CN" w:bidi="ar-SA"/>
          <w14:textFill>
            <w14:solidFill>
              <w14:schemeClr w14:val="tx1"/>
            </w14:solidFill>
          </w14:textFill>
        </w:rPr>
        <w:t>万元，执行数为</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20</w:t>
      </w:r>
      <w:r>
        <w:rPr>
          <w:rFonts w:hint="default" w:ascii="Times New Roman" w:hAnsi="Times New Roman" w:eastAsia="仿宋_GB2312" w:cs="Times New Roman"/>
          <w:color w:val="000000" w:themeColor="text1"/>
          <w:kern w:val="2"/>
          <w:sz w:val="32"/>
          <w:szCs w:val="32"/>
          <w:lang w:val="zh-CN" w:eastAsia="zh-CN" w:bidi="ar-SA"/>
          <w14:textFill>
            <w14:solidFill>
              <w14:schemeClr w14:val="tx1"/>
            </w14:solidFill>
          </w14:textFill>
        </w:rPr>
        <w:t>万元，完成预算的</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100</w:t>
      </w:r>
      <w:r>
        <w:rPr>
          <w:rFonts w:hint="default" w:ascii="Times New Roman" w:hAnsi="Times New Roman" w:eastAsia="仿宋_GB2312" w:cs="Times New Roman"/>
          <w:color w:val="000000" w:themeColor="text1"/>
          <w:kern w:val="2"/>
          <w:sz w:val="32"/>
          <w:szCs w:val="32"/>
          <w:lang w:val="zh-CN" w:eastAsia="zh-CN" w:bidi="ar-SA"/>
          <w14:textFill>
            <w14:solidFill>
              <w14:schemeClr w14:val="tx1"/>
            </w14:solidFill>
          </w14:textFill>
        </w:rPr>
        <w:t>%。项目绩效目标完成情况</w:t>
      </w:r>
      <w:r>
        <w:rPr>
          <w:rFonts w:hint="eastAsia" w:ascii="仿宋_GB2312" w:hAnsi="仿宋_GB2312" w:eastAsia="仿宋_GB2312" w:cs="仿宋_GB2312"/>
          <w:color w:val="000000" w:themeColor="text1"/>
          <w:sz w:val="32"/>
          <w:szCs w:val="32"/>
          <w14:textFill>
            <w14:solidFill>
              <w14:schemeClr w14:val="tx1"/>
            </w14:solidFill>
          </w14:textFill>
        </w:rPr>
        <w:t>通过项目实施，完成了年初设定的各项绩效目标，完成了约定的全部内容</w:t>
      </w:r>
      <w:r>
        <w:rPr>
          <w:rFonts w:hint="eastAsia" w:ascii="仿宋_GB2312" w:hAnsi="仿宋_GB2312" w:eastAsia="仿宋_GB2312" w:cs="仿宋_GB2312"/>
          <w:color w:val="000000" w:themeColor="text1"/>
          <w:sz w:val="32"/>
          <w:szCs w:val="32"/>
          <w:lang w:eastAsia="zh-CN"/>
          <w14:textFill>
            <w14:solidFill>
              <w14:schemeClr w14:val="tx1"/>
            </w14:solidFill>
          </w14:textFill>
        </w:rPr>
        <w:t>，未发现问题。</w:t>
      </w:r>
    </w:p>
    <w:p>
      <w:pPr>
        <w:pStyle w:val="2"/>
        <w:rPr>
          <w:rFonts w:hint="eastAsia" w:ascii="仿宋_GB2312" w:hAnsi="仿宋_GB2312" w:eastAsia="仿宋_GB2312" w:cs="仿宋_GB2312"/>
          <w:color w:val="000000" w:themeColor="text1"/>
          <w:sz w:val="32"/>
          <w:szCs w:val="32"/>
          <w:lang w:eastAsia="zh-CN"/>
          <w14:textFill>
            <w14:solidFill>
              <w14:schemeClr w14:val="tx1"/>
            </w14:solidFill>
          </w14:textFill>
        </w:rPr>
      </w:pPr>
      <w:bookmarkStart w:id="0" w:name="_GoBack"/>
      <w:bookmarkEnd w:id="0"/>
    </w:p>
    <w:p>
      <w:pPr>
        <w:pStyle w:val="2"/>
        <w:rPr>
          <w:rFonts w:hint="eastAsia" w:ascii="仿宋_GB2312" w:hAnsi="仿宋_GB2312" w:eastAsia="仿宋_GB2312" w:cs="仿宋_GB2312"/>
          <w:sz w:val="32"/>
          <w:szCs w:val="32"/>
          <w:lang w:eastAsia="zh-CN"/>
        </w:rPr>
      </w:pPr>
    </w:p>
    <w:tbl>
      <w:tblPr>
        <w:tblStyle w:val="12"/>
        <w:tblW w:w="1018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096"/>
        <w:gridCol w:w="1040"/>
        <w:gridCol w:w="681"/>
        <w:gridCol w:w="932"/>
        <w:gridCol w:w="943"/>
        <w:gridCol w:w="903"/>
        <w:gridCol w:w="1110"/>
        <w:gridCol w:w="147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jc w:val="center"/>
        </w:trPr>
        <w:tc>
          <w:tcPr>
            <w:tcW w:w="10181"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Theme="majorEastAsia" w:hAnsiTheme="majorEastAsia" w:eastAsiaTheme="majorEastAsia" w:cstheme="majorEastAsia"/>
                <w:i w:val="0"/>
                <w:iCs w:val="0"/>
                <w:color w:val="000000"/>
                <w:kern w:val="0"/>
                <w:sz w:val="40"/>
                <w:szCs w:val="40"/>
                <w:u w:val="none"/>
                <w:lang w:val="en-US" w:eastAsia="zh-CN" w:bidi="ar"/>
              </w:rPr>
              <w:t>市级</w:t>
            </w:r>
            <w:r>
              <w:rPr>
                <w:rFonts w:hint="eastAsia" w:asciiTheme="majorEastAsia" w:hAnsiTheme="majorEastAsia" w:eastAsiaTheme="majorEastAsia" w:cstheme="majorEastAsia"/>
                <w:b w:val="0"/>
                <w:bCs w:val="0"/>
                <w:i w:val="0"/>
                <w:iCs w:val="0"/>
                <w:color w:val="000000"/>
                <w:kern w:val="0"/>
                <w:sz w:val="40"/>
                <w:szCs w:val="40"/>
                <w:u w:val="none"/>
                <w:lang w:val="en-US" w:eastAsia="zh-CN" w:bidi="ar"/>
              </w:rPr>
              <w:t>部门</w:t>
            </w:r>
            <w:r>
              <w:rPr>
                <w:rFonts w:hint="eastAsia" w:asciiTheme="majorEastAsia" w:hAnsiTheme="majorEastAsia" w:eastAsiaTheme="majorEastAsia" w:cstheme="majorEastAsia"/>
                <w:i w:val="0"/>
                <w:iCs w:val="0"/>
                <w:color w:val="000000"/>
                <w:kern w:val="0"/>
                <w:sz w:val="40"/>
                <w:szCs w:val="40"/>
                <w:u w:val="none"/>
                <w:lang w:val="en-US" w:eastAsia="zh-CN" w:bidi="ar"/>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10181" w:type="dxa"/>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填报单位：石家庄市数据资源管理局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3"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11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76"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7" w:hRule="atLeast"/>
          <w:jc w:val="center"/>
        </w:trPr>
        <w:tc>
          <w:tcPr>
            <w:tcW w:w="309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Style w:val="26"/>
                <w:rFonts w:eastAsia="宋体"/>
                <w:lang w:val="en-US" w:eastAsia="zh-CN" w:bidi="ar"/>
              </w:rPr>
              <w:t xml:space="preserve"> </w:t>
            </w:r>
            <w:r>
              <w:rPr>
                <w:rStyle w:val="27"/>
                <w:lang w:val="en-US" w:eastAsia="zh-CN" w:bidi="ar"/>
              </w:rPr>
              <w:t>基本情况</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16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防入侵检测经费</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实施(主管）单位</w:t>
            </w:r>
          </w:p>
        </w:tc>
        <w:tc>
          <w:tcPr>
            <w:tcW w:w="348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石家庄市数据资源管理局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0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72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预算安排情况（调整后）</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资金到位情况</w:t>
            </w:r>
          </w:p>
        </w:tc>
        <w:tc>
          <w:tcPr>
            <w:tcW w:w="20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资金执行情况</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30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c>
          <w:tcPr>
            <w:tcW w:w="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20</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到位数：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20</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执行数：</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20</w:t>
            </w:r>
          </w:p>
        </w:tc>
        <w:tc>
          <w:tcPr>
            <w:tcW w:w="14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30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                 财政资金</w:t>
            </w:r>
          </w:p>
        </w:tc>
        <w:tc>
          <w:tcPr>
            <w:tcW w:w="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20</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                      财政资金</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20</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                     财政资金</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20</w:t>
            </w:r>
          </w:p>
        </w:tc>
        <w:tc>
          <w:tcPr>
            <w:tcW w:w="14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jc w:val="center"/>
        </w:trPr>
        <w:tc>
          <w:tcPr>
            <w:tcW w:w="30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6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18"/>
                <w:szCs w:val="18"/>
                <w:u w:val="none"/>
              </w:rPr>
            </w:pP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4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jc w:val="center"/>
        </w:trPr>
        <w:tc>
          <w:tcPr>
            <w:tcW w:w="30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65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年度预期目标</w:t>
            </w:r>
          </w:p>
        </w:tc>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具体完成情况</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jc w:val="center"/>
        </w:trPr>
        <w:tc>
          <w:tcPr>
            <w:tcW w:w="30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5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通过防入侵监测、防渗透测试，提升我局安全保障能力和水平，确保网络不被攻击，保障网络生态环境安全</w:t>
            </w:r>
            <w:r>
              <w:rPr>
                <w:rFonts w:hint="eastAsia" w:ascii="宋体" w:hAnsi="宋体" w:eastAsia="宋体" w:cs="宋体"/>
                <w:i w:val="0"/>
                <w:iCs w:val="0"/>
                <w:color w:val="000000"/>
                <w:kern w:val="0"/>
                <w:sz w:val="18"/>
                <w:szCs w:val="18"/>
                <w:u w:val="none"/>
                <w:lang w:val="en-US" w:eastAsia="zh-CN" w:bidi="ar"/>
              </w:rPr>
              <w:tab/>
            </w:r>
            <w:r>
              <w:rPr>
                <w:rFonts w:hint="eastAsia" w:ascii="宋体" w:hAnsi="宋体" w:eastAsia="宋体" w:cs="宋体"/>
                <w:i w:val="0"/>
                <w:iCs w:val="0"/>
                <w:color w:val="000000"/>
                <w:kern w:val="0"/>
                <w:sz w:val="18"/>
                <w:szCs w:val="18"/>
                <w:u w:val="none"/>
                <w:lang w:val="en-US" w:eastAsia="zh-CN" w:bidi="ar"/>
              </w:rPr>
              <w:tab/>
            </w:r>
            <w:r>
              <w:rPr>
                <w:rFonts w:hint="eastAsia" w:ascii="宋体" w:hAnsi="宋体" w:eastAsia="宋体" w:cs="宋体"/>
                <w:i w:val="0"/>
                <w:iCs w:val="0"/>
                <w:color w:val="000000"/>
                <w:kern w:val="0"/>
                <w:sz w:val="18"/>
                <w:szCs w:val="18"/>
                <w:u w:val="none"/>
                <w:lang w:val="en-US" w:eastAsia="zh-CN" w:bidi="ar"/>
              </w:rPr>
              <w:tab/>
            </w:r>
          </w:p>
        </w:tc>
        <w:tc>
          <w:tcPr>
            <w:tcW w:w="295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委托国内不同的权威安全机构对我市政务云平台、政府网站云平台内运行的61个政府网站、党政协同办公平台、掌上石家庄·石i民APP 等重要信息系统开展了四次安全渗透测试。共发现468个安全漏洞问题，督促有关单位对发现的问题进行了全部整改，消除了密码明文传输、个人信息泄露等安全风险问题，进一步提高了网络数据和信息系统安全防护水平。</w:t>
            </w:r>
          </w:p>
        </w:tc>
        <w:tc>
          <w:tcPr>
            <w:tcW w:w="14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jc w:val="center"/>
        </w:trPr>
        <w:tc>
          <w:tcPr>
            <w:tcW w:w="30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5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95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0" w:hRule="atLeast"/>
          <w:jc w:val="center"/>
        </w:trPr>
        <w:tc>
          <w:tcPr>
            <w:tcW w:w="30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5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95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3096"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Style w:val="26"/>
                <w:rFonts w:eastAsia="宋体"/>
                <w:lang w:val="en-US" w:eastAsia="zh-CN" w:bidi="ar"/>
              </w:rPr>
              <w:t xml:space="preserve"> </w:t>
            </w:r>
            <w:r>
              <w:rPr>
                <w:rStyle w:val="27"/>
                <w:lang w:val="en-US" w:eastAsia="zh-CN" w:bidi="ar"/>
              </w:rPr>
              <w:t>年度绩效指标完成情况</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预期指标值</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jc w:val="center"/>
        </w:trPr>
        <w:tc>
          <w:tcPr>
            <w:tcW w:w="30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产出指标（50分）</w:t>
            </w:r>
          </w:p>
        </w:tc>
        <w:tc>
          <w:tcPr>
            <w:tcW w:w="681"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default" w:ascii="宋体" w:hAnsi="宋体" w:eastAsia="宋体" w:cs="宋体"/>
                <w:i w:val="0"/>
                <w:iCs w:val="0"/>
                <w:color w:val="000000"/>
                <w:kern w:val="0"/>
                <w:sz w:val="18"/>
                <w:szCs w:val="18"/>
                <w:u w:val="none"/>
                <w:lang w:val="en-US" w:eastAsia="zh-CN" w:bidi="ar"/>
              </w:rPr>
              <w:t>完成防入侵检测次数</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≥4</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4</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lang w:val="en-US" w:eastAsia="zh-CN"/>
              </w:rPr>
            </w:pPr>
            <w:r>
              <w:rPr>
                <w:rFonts w:hint="default" w:ascii="宋体" w:hAnsi="宋体" w:eastAsia="宋体" w:cs="宋体"/>
                <w:i w:val="0"/>
                <w:iCs w:val="0"/>
                <w:color w:val="000000"/>
                <w:sz w:val="18"/>
                <w:szCs w:val="18"/>
                <w:u w:val="none"/>
                <w:lang w:val="en-US" w:eastAsia="zh-CN"/>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jc w:val="center"/>
        </w:trPr>
        <w:tc>
          <w:tcPr>
            <w:tcW w:w="30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top"/>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质量指标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宋体" w:hAnsi="宋体" w:eastAsia="宋体" w:cs="宋体"/>
                <w:i w:val="0"/>
                <w:iCs w:val="0"/>
                <w:color w:val="000000"/>
                <w:kern w:val="0"/>
                <w:sz w:val="18"/>
                <w:szCs w:val="18"/>
                <w:u w:val="none"/>
                <w:lang w:val="en-US" w:eastAsia="zh-CN" w:bidi="ar"/>
              </w:rPr>
            </w:pPr>
            <w:r>
              <w:rPr>
                <w:rFonts w:hint="default" w:ascii="宋体" w:hAnsi="宋体" w:eastAsia="宋体" w:cs="宋体"/>
                <w:i w:val="0"/>
                <w:iCs w:val="0"/>
                <w:color w:val="000000"/>
                <w:kern w:val="0"/>
                <w:sz w:val="18"/>
                <w:szCs w:val="18"/>
                <w:u w:val="none"/>
                <w:lang w:val="en-US" w:eastAsia="zh-CN" w:bidi="ar"/>
              </w:rPr>
              <w:t>针对检测中发现的问题整改比例</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≥90%</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Calibri" w:hAnsi="Calibri" w:eastAsia="宋体" w:cs="Calibri"/>
                <w:i w:val="0"/>
                <w:iCs w:val="0"/>
                <w:color w:val="000000"/>
                <w:kern w:val="0"/>
                <w:sz w:val="22"/>
                <w:szCs w:val="22"/>
                <w:u w:val="none"/>
                <w:lang w:val="en-US" w:eastAsia="zh-CN" w:bidi="ar-SA"/>
              </w:rPr>
            </w:pPr>
            <w:r>
              <w:rPr>
                <w:rFonts w:hint="default" w:ascii="宋体" w:hAnsi="宋体" w:eastAsia="宋体" w:cs="宋体"/>
                <w:i w:val="0"/>
                <w:iCs w:val="0"/>
                <w:color w:val="000000"/>
                <w:sz w:val="18"/>
                <w:szCs w:val="18"/>
                <w:u w:val="none"/>
                <w:lang w:val="en-US" w:eastAsia="zh-CN"/>
              </w:rPr>
              <w:t>100%</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default" w:ascii="宋体" w:hAnsi="宋体" w:eastAsia="宋体" w:cs="宋体"/>
                <w:i w:val="0"/>
                <w:iCs w:val="0"/>
                <w:color w:val="000000"/>
                <w:sz w:val="18"/>
                <w:szCs w:val="18"/>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8" w:hRule="atLeast"/>
          <w:jc w:val="center"/>
        </w:trPr>
        <w:tc>
          <w:tcPr>
            <w:tcW w:w="30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宋体" w:hAnsi="宋体" w:eastAsia="宋体" w:cs="宋体"/>
                <w:i w:val="0"/>
                <w:iCs w:val="0"/>
                <w:color w:val="000000"/>
                <w:kern w:val="0"/>
                <w:sz w:val="18"/>
                <w:szCs w:val="18"/>
                <w:u w:val="none"/>
                <w:lang w:val="en-US" w:eastAsia="zh-CN" w:bidi="ar"/>
              </w:rPr>
            </w:pPr>
            <w:r>
              <w:rPr>
                <w:rFonts w:hint="default" w:ascii="宋体" w:hAnsi="宋体" w:eastAsia="宋体" w:cs="宋体"/>
                <w:i w:val="0"/>
                <w:iCs w:val="0"/>
                <w:color w:val="000000"/>
                <w:kern w:val="0"/>
                <w:sz w:val="18"/>
                <w:szCs w:val="18"/>
                <w:u w:val="none"/>
                <w:lang w:val="en-US" w:eastAsia="zh-CN" w:bidi="ar"/>
              </w:rPr>
              <w:t>针对检测中发现的问题整改时间</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≥10（工作日）</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10（工作日）</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lang w:val="en-US" w:eastAsia="zh-CN"/>
              </w:rPr>
            </w:pPr>
            <w:r>
              <w:rPr>
                <w:rFonts w:hint="default" w:ascii="宋体" w:hAnsi="宋体" w:eastAsia="宋体" w:cs="宋体"/>
                <w:i w:val="0"/>
                <w:iCs w:val="0"/>
                <w:color w:val="000000"/>
                <w:sz w:val="18"/>
                <w:szCs w:val="18"/>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jc w:val="center"/>
        </w:trPr>
        <w:tc>
          <w:tcPr>
            <w:tcW w:w="30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宋体" w:hAnsi="宋体" w:eastAsia="宋体" w:cs="宋体"/>
                <w:i w:val="0"/>
                <w:iCs w:val="0"/>
                <w:color w:val="000000"/>
                <w:kern w:val="0"/>
                <w:sz w:val="18"/>
                <w:szCs w:val="18"/>
                <w:u w:val="none"/>
                <w:lang w:val="en-US" w:eastAsia="zh-CN" w:bidi="ar"/>
              </w:rPr>
            </w:pPr>
            <w:r>
              <w:rPr>
                <w:rFonts w:hint="default" w:ascii="宋体" w:hAnsi="宋体" w:eastAsia="宋体" w:cs="宋体"/>
                <w:i w:val="0"/>
                <w:iCs w:val="0"/>
                <w:color w:val="000000"/>
                <w:kern w:val="0"/>
                <w:sz w:val="18"/>
                <w:szCs w:val="18"/>
                <w:u w:val="none"/>
                <w:lang w:val="en-US" w:eastAsia="zh-CN" w:bidi="ar"/>
              </w:rPr>
              <w:t>全年防入侵监测费支出金额</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≤20万元</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20万元</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default" w:ascii="宋体" w:hAnsi="宋体" w:eastAsia="宋体" w:cs="宋体"/>
                <w:i w:val="0"/>
                <w:iCs w:val="0"/>
                <w:color w:val="000000"/>
                <w:sz w:val="18"/>
                <w:szCs w:val="18"/>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jc w:val="center"/>
        </w:trPr>
        <w:tc>
          <w:tcPr>
            <w:tcW w:w="30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（30分）</w:t>
            </w:r>
          </w:p>
        </w:tc>
        <w:tc>
          <w:tcPr>
            <w:tcW w:w="681" w:type="dxa"/>
            <w:tcBorders>
              <w:top w:val="nil"/>
              <w:left w:val="nil"/>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石家庄市电子政务外网整体运行情况</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进一步提升安全保障能力</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未发生网络安全事件</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eastAsia="宋体" w:cs="宋体"/>
                <w:i w:val="0"/>
                <w:iCs w:val="0"/>
                <w:color w:val="000000"/>
                <w:kern w:val="0"/>
                <w:sz w:val="16"/>
                <w:szCs w:val="16"/>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0" w:hRule="atLeast"/>
          <w:jc w:val="center"/>
        </w:trPr>
        <w:tc>
          <w:tcPr>
            <w:tcW w:w="3096"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服务对象满意度指标（10分）</w:t>
            </w:r>
          </w:p>
        </w:tc>
        <w:tc>
          <w:tcPr>
            <w:tcW w:w="6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1875"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default" w:ascii="宋体" w:hAnsi="宋体" w:eastAsia="宋体" w:cs="宋体"/>
                <w:i w:val="0"/>
                <w:iCs w:val="0"/>
                <w:color w:val="000000"/>
                <w:kern w:val="0"/>
                <w:sz w:val="18"/>
                <w:szCs w:val="18"/>
                <w:u w:val="none"/>
                <w:lang w:val="en-US" w:eastAsia="zh-CN" w:bidi="ar"/>
              </w:rPr>
              <w:t>政府内各单位使用网络用户对网络安全满意度(%)</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100%</w:t>
            </w:r>
          </w:p>
        </w:tc>
        <w:tc>
          <w:tcPr>
            <w:tcW w:w="147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0" w:hRule="atLeast"/>
          <w:jc w:val="center"/>
        </w:trPr>
        <w:tc>
          <w:tcPr>
            <w:tcW w:w="3096"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预算执行率（10分）</w:t>
            </w:r>
          </w:p>
        </w:tc>
        <w:tc>
          <w:tcPr>
            <w:tcW w:w="6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875"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w:t>
            </w:r>
          </w:p>
        </w:tc>
        <w:tc>
          <w:tcPr>
            <w:tcW w:w="147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30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60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jc w:val="center"/>
        </w:trPr>
        <w:tc>
          <w:tcPr>
            <w:tcW w:w="309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Style w:val="26"/>
                <w:rFonts w:eastAsia="宋体"/>
                <w:lang w:val="en-US" w:eastAsia="zh-CN" w:bidi="ar"/>
              </w:rPr>
              <w:t xml:space="preserve"> </w:t>
            </w:r>
            <w:r>
              <w:rPr>
                <w:rStyle w:val="27"/>
                <w:lang w:val="en-US" w:eastAsia="zh-CN" w:bidi="ar"/>
              </w:rPr>
              <w:t>存在问题、原因及下一步整改措施</w:t>
            </w:r>
          </w:p>
        </w:tc>
        <w:tc>
          <w:tcPr>
            <w:tcW w:w="708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r>
    </w:tbl>
    <w:p>
      <w:pPr>
        <w:pStyle w:val="2"/>
        <w:rPr>
          <w:rFonts w:hint="default"/>
        </w:rPr>
      </w:pPr>
    </w:p>
    <w:p>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pPr>
        <w:keepNext w:val="0"/>
        <w:keepLines w:val="0"/>
        <w:pageBreakBefore w:val="0"/>
        <w:widowControl w:val="0"/>
        <w:kinsoku/>
        <w:wordWrap/>
        <w:overflowPunct/>
        <w:topLinePunct w:val="0"/>
        <w:autoSpaceDE/>
        <w:autoSpaceDN/>
        <w:bidi w:val="0"/>
        <w:adjustRightInd w:val="0"/>
        <w:snapToGrid w:val="0"/>
        <w:spacing w:line="576"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1. </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年度未发生政府性基金预算、国有资金经营预算收支及结转结余情况，故政府性基金预算、国有资金经营预算等表以空表列示。</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adjustRightInd w:val="0"/>
        <w:snapToGrid w:val="0"/>
        <w:spacing w:line="580" w:lineRule="exact"/>
        <w:ind w:firstLine="640" w:firstLineChars="200"/>
        <w:rPr>
          <w:rFonts w:hint="default" w:ascii="Times New Roman" w:hAnsi="Times New Roman" w:eastAsia="仿宋_GB2312" w:cs="Times New Roman"/>
          <w:sz w:val="32"/>
          <w:szCs w:val="32"/>
        </w:rPr>
      </w:pPr>
    </w:p>
    <w:p>
      <w:pPr>
        <w:widowControl/>
        <w:spacing w:line="580" w:lineRule="exact"/>
        <w:ind w:firstLine="883" w:firstLineChars="200"/>
        <w:jc w:val="left"/>
        <w:rPr>
          <w:rFonts w:hint="default" w:ascii="Times New Roman" w:hAnsi="Times New Roman" w:eastAsia="宋体" w:cs="Times New Roman"/>
          <w:b/>
          <w:bCs/>
          <w:kern w:val="0"/>
          <w:sz w:val="44"/>
          <w:szCs w:val="44"/>
        </w:rPr>
      </w:pPr>
    </w:p>
    <w:p>
      <w:pPr>
        <w:rPr>
          <w:rFonts w:hint="default" w:ascii="Times New Roman" w:hAnsi="Times New Roman" w:eastAsia="仿宋_GB2312" w:cs="Times New Roman"/>
          <w:sz w:val="32"/>
          <w:szCs w:val="32"/>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pPr>
        <w:rPr>
          <w:rFonts w:hint="default" w:ascii="Times New Roman" w:hAnsi="Times New Roman" w:cs="Times New Roman"/>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406" w:bottom="1440" w:left="1406"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roman"/>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Calibri Light">
    <w:altName w:val="DejaVu Sans"/>
    <w:panose1 w:val="020F0302020204030204"/>
    <w:charset w:val="00"/>
    <w:family w:val="auto"/>
    <w:pitch w:val="default"/>
    <w:sig w:usb0="00000000" w:usb1="00000000"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方正魏碑简体">
    <w:altName w:val="方正魏碑_GBK"/>
    <w:panose1 w:val="00000000000000000000"/>
    <w:charset w:val="86"/>
    <w:family w:val="auto"/>
    <w:pitch w:val="default"/>
    <w:sig w:usb0="00000000" w:usb1="00000000" w:usb2="00000010" w:usb3="00000000" w:csb0="00040000" w:csb1="00000000"/>
  </w:font>
  <w:font w:name="方正魏碑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思源黑体 CN Heavy">
    <w:altName w:val="方正黑体_GBK"/>
    <w:panose1 w:val="00000000000000000000"/>
    <w:charset w:val="86"/>
    <w:family w:val="swiss"/>
    <w:pitch w:val="default"/>
    <w:sig w:usb0="00000000" w:usb1="00000000" w:usb2="00000016" w:usb3="00000000" w:csb0="00060107"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方正仿宋_GB2312">
    <w:altName w:val="方正仿宋_GBK"/>
    <w:panose1 w:val="02000000000000000000"/>
    <w:charset w:val="86"/>
    <w:family w:val="auto"/>
    <w:pitch w:val="default"/>
    <w:sig w:usb0="00000000" w:usb1="00000000" w:usb2="00000012" w:usb3="00000000" w:csb0="00040001" w:csb1="00000000"/>
  </w:font>
  <w:font w:name="DengXian-Regular">
    <w:altName w:val="华文中宋"/>
    <w:panose1 w:val="00000000000000000000"/>
    <w:charset w:val="86"/>
    <w:family w:val="auto"/>
    <w:pitch w:val="default"/>
    <w:sig w:usb0="00000000" w:usb1="00000000" w:usb2="00000010" w:usb3="00000000" w:csb0="00040001" w:csb1="00000000"/>
  </w:font>
  <w:font w:name="方正小标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p>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4"/>
      <w:lvlText w:val="%1.%2."/>
      <w:lvlJc w:val="left"/>
      <w:pPr>
        <w:ind w:left="567" w:hanging="567"/>
      </w:pPr>
      <w:rPr>
        <w:rFonts w:hint="default"/>
      </w:rPr>
    </w:lvl>
    <w:lvl w:ilvl="2" w:tentative="0">
      <w:start w:val="1"/>
      <w:numFmt w:val="decimal"/>
      <w:pStyle w:val="5"/>
      <w:lvlText w:val="%1.%2.%3."/>
      <w:lvlJc w:val="left"/>
      <w:pPr>
        <w:ind w:left="709" w:hanging="709"/>
      </w:pPr>
      <w:rPr>
        <w:rFonts w:hint="default"/>
      </w:rPr>
    </w:lvl>
    <w:lvl w:ilvl="3" w:tentative="0">
      <w:start w:val="1"/>
      <w:numFmt w:val="decimal"/>
      <w:pStyle w:val="6"/>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jIsImhkaWQiOiIwZWE3OGU1OTVlMTkyZjRkZGJkMDgwMDg1M2Y1NDMyMyIsInVzZXJDb3VudCI6M30="/>
  </w:docVars>
  <w:rsids>
    <w:rsidRoot w:val="00000000"/>
    <w:rsid w:val="00086151"/>
    <w:rsid w:val="00236F8C"/>
    <w:rsid w:val="008E12CF"/>
    <w:rsid w:val="0096690D"/>
    <w:rsid w:val="00C65689"/>
    <w:rsid w:val="00CC2C8E"/>
    <w:rsid w:val="00F27B04"/>
    <w:rsid w:val="01616D62"/>
    <w:rsid w:val="01900E19"/>
    <w:rsid w:val="01A03C5A"/>
    <w:rsid w:val="01A5267D"/>
    <w:rsid w:val="01DA0A75"/>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1C71BC"/>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8E72824"/>
    <w:rsid w:val="1906685D"/>
    <w:rsid w:val="19111683"/>
    <w:rsid w:val="19353916"/>
    <w:rsid w:val="19B07C1B"/>
    <w:rsid w:val="19C10AF1"/>
    <w:rsid w:val="1A2672DE"/>
    <w:rsid w:val="1AA81D42"/>
    <w:rsid w:val="1AB433D9"/>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0A85A64"/>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D87DC"/>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4FFBAA5"/>
    <w:rsid w:val="75272439"/>
    <w:rsid w:val="758F1E9B"/>
    <w:rsid w:val="75CE266B"/>
    <w:rsid w:val="76120141"/>
    <w:rsid w:val="76C23B43"/>
    <w:rsid w:val="76FD6F97"/>
    <w:rsid w:val="770218E8"/>
    <w:rsid w:val="77C875A5"/>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833169"/>
    <w:rsid w:val="7FA837EF"/>
    <w:rsid w:val="7FC36955"/>
    <w:rsid w:val="7FE903A0"/>
    <w:rsid w:val="7FF70DF8"/>
    <w:rsid w:val="7FF97946"/>
    <w:rsid w:val="7FFE7888"/>
    <w:rsid w:val="FF4B4D79"/>
    <w:rsid w:val="FFDF1E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4">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5">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6">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99"/>
    <w:pPr>
      <w:adjustRightInd w:val="0"/>
      <w:spacing w:line="360" w:lineRule="atLeast"/>
      <w:ind w:firstLine="420"/>
      <w:jc w:val="left"/>
      <w:textAlignment w:val="baseline"/>
    </w:pPr>
    <w:rPr>
      <w:kern w:val="0"/>
      <w:sz w:val="25"/>
      <w:szCs w:val="20"/>
    </w:rPr>
  </w:style>
  <w:style w:type="paragraph" w:styleId="7">
    <w:name w:val="annotation text"/>
    <w:basedOn w:val="1"/>
    <w:semiHidden/>
    <w:unhideWhenUsed/>
    <w:qFormat/>
    <w:uiPriority w:val="99"/>
    <w:pPr>
      <w:jc w:val="left"/>
    </w:p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4"/>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 w:type="character" w:customStyle="1" w:styleId="26">
    <w:name w:val="font111"/>
    <w:basedOn w:val="14"/>
    <w:qFormat/>
    <w:uiPriority w:val="0"/>
    <w:rPr>
      <w:rFonts w:ascii="Calibri" w:hAnsi="Calibri" w:cs="Calibri"/>
      <w:color w:val="000000"/>
      <w:sz w:val="16"/>
      <w:szCs w:val="16"/>
      <w:u w:val="none"/>
    </w:rPr>
  </w:style>
  <w:style w:type="character" w:customStyle="1" w:styleId="27">
    <w:name w:val="font61"/>
    <w:basedOn w:val="14"/>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chart" Target="charts/chart5.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1.svg"/><Relationship Id="rId14" Type="http://schemas.openxmlformats.org/officeDocument/2006/relationships/image" Target="media/image5.png"/><Relationship Id="rId13" Type="http://schemas.openxmlformats.org/officeDocument/2006/relationships/image" Target="media/image4.jpe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manualLayout>
          <c:xMode val="edge"/>
          <c:yMode val="edge"/>
          <c:x val="0.230550857695095"/>
          <c:y val="0.0227369315767106"/>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1021.91</c:v>
                </c:pt>
                <c:pt idx="1">
                  <c:v>825.86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dk1">
                    <a:lumMod val="75000"/>
                    <a:lumOff val="25000"/>
                  </a:schemeClr>
                </a:solidFill>
                <a:latin typeface="+mn-lt"/>
                <a:ea typeface="+mn-ea"/>
                <a:cs typeface="+mn-cs"/>
              </a:defRPr>
            </a:pPr>
            <a:r>
              <a:t>决算构成情况图</a:t>
            </a:r>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gradFill>
                <a:gsLst>
                  <a:gs pos="0">
                    <a:schemeClr val="accent1">
                      <a:hueOff val="-1670000"/>
                    </a:schemeClr>
                  </a:gs>
                  <a:gs pos="100000">
                    <a:schemeClr val="accent1"/>
                  </a:gs>
                </a:gsLst>
                <a:lin ang="5400000" scaled="0"/>
              </a:gradFill>
              <a:ln>
                <a:gradFill>
                  <a:gsLst>
                    <a:gs pos="0">
                      <a:schemeClr val="accent1">
                        <a:lumMod val="75000"/>
                        <a:hueOff val="-1670000"/>
                      </a:schemeClr>
                    </a:gs>
                    <a:gs pos="100000">
                      <a:schemeClr val="accent1">
                        <a:lumMod val="75000"/>
                      </a:schemeClr>
                    </a:gs>
                  </a:gsLst>
                  <a:lin ang="5160000" scaled="1"/>
                </a:gradFill>
              </a:ln>
              <a:effectLst/>
            </c:spPr>
          </c:dPt>
          <c:dPt>
            <c:idx val="1"/>
            <c:bubble3D val="0"/>
            <c:spPr>
              <a:gradFill>
                <a:gsLst>
                  <a:gs pos="0">
                    <a:schemeClr val="accent2">
                      <a:hueOff val="-1670000"/>
                    </a:schemeClr>
                  </a:gs>
                  <a:gs pos="100000">
                    <a:schemeClr val="accent2"/>
                  </a:gs>
                </a:gsLst>
                <a:lin ang="5400000" scaled="0"/>
              </a:gradFill>
              <a:ln>
                <a:gradFill>
                  <a:gsLst>
                    <a:gs pos="0">
                      <a:schemeClr val="accent2">
                        <a:lumMod val="75000"/>
                        <a:hueOff val="-1670000"/>
                      </a:schemeClr>
                    </a:gs>
                    <a:gs pos="100000">
                      <a:schemeClr val="accent2">
                        <a:lumMod val="75000"/>
                      </a:schemeClr>
                    </a:gs>
                  </a:gsLst>
                  <a:lin ang="5160000" scaled="1"/>
                </a:gradFill>
              </a:ln>
              <a:effectLst/>
            </c:spPr>
          </c:dPt>
          <c:dPt>
            <c:idx val="2"/>
            <c:bubble3D val="0"/>
            <c:spPr>
              <a:gradFill>
                <a:gsLst>
                  <a:gs pos="0">
                    <a:schemeClr val="accent3">
                      <a:hueOff val="-1670000"/>
                    </a:schemeClr>
                  </a:gs>
                  <a:gs pos="100000">
                    <a:schemeClr val="accent3"/>
                  </a:gs>
                </a:gsLst>
                <a:lin ang="5400000" scaled="0"/>
              </a:gradFill>
              <a:ln>
                <a:gradFill>
                  <a:gsLst>
                    <a:gs pos="0">
                      <a:schemeClr val="accent3">
                        <a:lumMod val="75000"/>
                        <a:hueOff val="-1670000"/>
                      </a:schemeClr>
                    </a:gs>
                    <a:gs pos="100000">
                      <a:schemeClr val="accent3">
                        <a:lumMod val="75000"/>
                      </a:schemeClr>
                    </a:gs>
                  </a:gsLst>
                  <a:lin ang="5160000" scaled="1"/>
                </a:gradFill>
              </a:ln>
              <a:effectLst/>
            </c:spPr>
          </c:dPt>
          <c:dPt>
            <c:idx val="3"/>
            <c:bubble3D val="0"/>
            <c:spPr>
              <a:gradFill>
                <a:gsLst>
                  <a:gs pos="0">
                    <a:schemeClr val="accent4">
                      <a:hueOff val="-1670000"/>
                    </a:schemeClr>
                  </a:gs>
                  <a:gs pos="100000">
                    <a:schemeClr val="accent4"/>
                  </a:gs>
                </a:gsLst>
                <a:lin ang="5400000" scaled="0"/>
              </a:gradFill>
              <a:ln>
                <a:gradFill>
                  <a:gsLst>
                    <a:gs pos="0">
                      <a:schemeClr val="accent4">
                        <a:lumMod val="75000"/>
                        <a:hueOff val="-1670000"/>
                      </a:schemeClr>
                    </a:gs>
                    <a:gs pos="100000">
                      <a:schemeClr val="accent4">
                        <a:lumMod val="75000"/>
                      </a:schemeClr>
                    </a:gs>
                  </a:gsLst>
                  <a:lin ang="5160000" scaled="1"/>
                </a:gradFill>
              </a:ln>
              <a:effectLst/>
            </c:spPr>
          </c:dPt>
          <c:dPt>
            <c:idx val="4"/>
            <c:bubble3D val="0"/>
            <c:spPr>
              <a:gradFill>
                <a:gsLst>
                  <a:gs pos="0">
                    <a:schemeClr val="accent5">
                      <a:hueOff val="-1670000"/>
                    </a:schemeClr>
                  </a:gs>
                  <a:gs pos="100000">
                    <a:schemeClr val="accent5"/>
                  </a:gs>
                </a:gsLst>
                <a:lin ang="5400000" scaled="0"/>
              </a:gradFill>
              <a:ln>
                <a:gradFill>
                  <a:gsLst>
                    <a:gs pos="0">
                      <a:schemeClr val="accent5">
                        <a:lumMod val="75000"/>
                        <a:hueOff val="-1670000"/>
                      </a:schemeClr>
                    </a:gs>
                    <a:gs pos="100000">
                      <a:schemeClr val="accent5">
                        <a:lumMod val="75000"/>
                      </a:schemeClr>
                    </a:gs>
                  </a:gsLst>
                  <a:lin ang="5160000" scaled="1"/>
                </a:gradFill>
              </a:ln>
              <a:effectLst/>
            </c:spPr>
          </c:dPt>
          <c:dLbls>
            <c:dLbl>
              <c:idx val="0"/>
              <c:layout>
                <c:manualLayout>
                  <c:x val="0.180743256737714"/>
                  <c:y val="-0.26147510457733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0946113504099584"/>
                  <c:y val="0.0568427281133656"/>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delete val="1"/>
            </c:dLbl>
            <c:dLbl>
              <c:idx val="3"/>
              <c:delete val="1"/>
            </c:dLbl>
            <c:dLbl>
              <c:idx val="4"/>
              <c:delete val="1"/>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dk1">
                        <a:lumMod val="75000"/>
                        <a:lumOff val="25000"/>
                      </a:schemeClr>
                    </a:solidFill>
                    <a:latin typeface="+mn-lt"/>
                    <a:ea typeface="+mn-ea"/>
                    <a:cs typeface="+mn-cs"/>
                  </a:defRPr>
                </a:pPr>
              </a:p>
            </c:txPr>
            <c:dLblPos val="inEnd"/>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35000"/>
                          <a:lumOff val="65000"/>
                        </a:schemeClr>
                      </a:solidFill>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6442747.75</c:v>
                </c:pt>
                <c:pt idx="1">
                  <c:v>1797487.39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egendEntry>
        <c:idx val="2"/>
        <c:delete val="1"/>
      </c:legendEntry>
      <c:legendEntry>
        <c:idx val="3"/>
        <c:delete val="1"/>
      </c:legendEntry>
      <c:legendEntry>
        <c:idx val="4"/>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dk1">
                  <a:lumMod val="65000"/>
                  <a:lumOff val="35000"/>
                </a:schemeClr>
              </a:solidFill>
              <a:latin typeface="+mn-lt"/>
              <a:ea typeface="+mn-ea"/>
              <a:cs typeface="+mn-cs"/>
            </a:defRPr>
          </a:pPr>
        </a:p>
      </c:txPr>
    </c:legend>
    <c:plotVisOnly val="1"/>
    <c:dispBlanksAs val="gap"/>
    <c:showDLblsOverMax val="0"/>
  </c:chart>
  <c:spPr>
    <a:solidFill>
      <a:schemeClr val="lt1">
        <a:lumMod val="96000"/>
      </a:schemeClr>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t>2022-2023年财政拨款收支对比图</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Sheet1!$B$2:$B$3</c:f>
              <c:numCache>
                <c:formatCode>General</c:formatCode>
                <c:ptCount val="2"/>
                <c:pt idx="0">
                  <c:v>934.45</c:v>
                </c:pt>
                <c:pt idx="1">
                  <c:v>989.23</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Sheet1!$C$2:$C$3</c:f>
              <c:numCache>
                <c:formatCode>General</c:formatCode>
                <c:ptCount val="2"/>
                <c:pt idx="0">
                  <c:v>793.24</c:v>
                </c:pt>
                <c:pt idx="1">
                  <c:v>824.02</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财政拨款收支预算对比图</a:t>
            </a:r>
            <a:endParaRPr lang="zh-CN" altLang="en-US"/>
          </a:p>
        </c:rich>
      </c:tx>
      <c:layout>
        <c:manualLayout>
          <c:xMode val="edge"/>
          <c:yMode val="edge"/>
          <c:x val="0.29820004832085"/>
          <c:y val="0.0176370590735232"/>
        </c:manualLayout>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dLbl>
              <c:idx val="0"/>
              <c:layout>
                <c:manualLayout>
                  <c:x val="-0.00157042763952646"/>
                  <c:y val="-6.03946226740417e-18"/>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604010630587098"/>
                  <c:y val="-0.013174670633234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Sheet1!$B$2:$B$3</c:f>
              <c:numCache>
                <c:formatCode>General</c:formatCode>
                <c:ptCount val="2"/>
                <c:pt idx="0">
                  <c:v>820.5</c:v>
                </c:pt>
                <c:pt idx="1">
                  <c:v>820.5</c:v>
                </c:pt>
              </c:numCache>
            </c:numRef>
          </c:val>
        </c:ser>
        <c:ser>
          <c:idx val="1"/>
          <c:order val="1"/>
          <c:tx>
            <c:strRef>
              <c:f>Sheet1!$C$1</c:f>
              <c:strCache>
                <c:ptCount val="1"/>
                <c:pt idx="0">
                  <c:v>决算数</c:v>
                </c:pt>
              </c:strCache>
            </c:strRef>
          </c:tx>
          <c:spPr>
            <a:solidFill>
              <a:schemeClr val="accent2"/>
            </a:solidFill>
            <a:ln>
              <a:noFill/>
            </a:ln>
            <a:effectLst/>
          </c:spPr>
          <c:invertIfNegative val="0"/>
          <c:dLbls>
            <c:dLbl>
              <c:idx val="0"/>
              <c:layout>
                <c:manualLayout>
                  <c:x val="0.0182411210437304"/>
                  <c:y val="0.0237994050148746"/>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604010630587098"/>
                  <c:y val="0.0346366340841479"/>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Sheet1!$C$2:$C$3</c:f>
              <c:numCache>
                <c:formatCode>General</c:formatCode>
                <c:ptCount val="2"/>
                <c:pt idx="0">
                  <c:v>793.24</c:v>
                </c:pt>
                <c:pt idx="1">
                  <c:v>824.02</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t>财政拨款支出决算结构（按功能分类）</a:t>
            </a:r>
          </a:p>
        </c:rich>
      </c:tx>
      <c:layout>
        <c:manualLayout>
          <c:xMode val="edge"/>
          <c:yMode val="edge"/>
          <c:x val="0.211041314327132"/>
          <c:y val="0.0414364640883978"/>
        </c:manualLayout>
      </c:layout>
      <c:overlay val="0"/>
      <c:spPr>
        <a:noFill/>
        <a:ln>
          <a:noFill/>
        </a:ln>
        <a:effectLst/>
      </c:spPr>
    </c:title>
    <c:autoTitleDeleted val="0"/>
    <c:plotArea>
      <c:layout/>
      <c:pieChart>
        <c:varyColors val="1"/>
        <c:ser>
          <c:idx val="0"/>
          <c:order val="0"/>
          <c:tx>
            <c:strRef>
              <c:f>Sheet1!$B$1</c:f>
              <c:strCache>
                <c:ptCount val="1"/>
                <c:pt idx="0">
                  <c:v>财政拨款支出决算结构（按功能分类）</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一般公共服务（类）支出</c:v>
                </c:pt>
                <c:pt idx="1">
                  <c:v>社会保障和就业 （类）支出</c:v>
                </c:pt>
                <c:pt idx="2">
                  <c:v>卫生健康（类）支出</c:v>
                </c:pt>
                <c:pt idx="3">
                  <c:v>住房保障（类）支出</c:v>
                </c:pt>
              </c:strCache>
            </c:strRef>
          </c:cat>
          <c:val>
            <c:numRef>
              <c:f>Sheet1!$B$2:$B$5</c:f>
              <c:numCache>
                <c:formatCode>General</c:formatCode>
                <c:ptCount val="4"/>
                <c:pt idx="0">
                  <c:v>682.47</c:v>
                </c:pt>
                <c:pt idx="1">
                  <c:v>58.98</c:v>
                </c:pt>
                <c:pt idx="2">
                  <c:v>32.97</c:v>
                </c:pt>
                <c:pt idx="3">
                  <c:v>49.6</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9">
  <cs:axisTitle>
    <cs:lnRef idx="0"/>
    <cs:fillRef idx="0"/>
    <cs:effectRef idx="0"/>
    <cs:fontRef idx="minor">
      <a:schemeClr val="dk1">
        <a:lumMod val="65000"/>
        <a:lumOff val="35000"/>
      </a:schemeClr>
    </cs:fontRef>
    <cs:defRPr sz="10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lt1">
          <a:lumMod val="96000"/>
        </a:schemeClr>
      </a:solidFill>
      <a:ln w="9525" cap="flat" cmpd="sng" algn="ctr">
        <a:solidFill>
          <a:schemeClr val="tx1">
            <a:lumMod val="15000"/>
            <a:lumOff val="85000"/>
          </a:schemeClr>
        </a:solidFill>
        <a:round/>
      </a:ln>
    </cs:spPr>
    <cs:defRPr sz="1000" kern="1200"/>
  </cs:chartArea>
  <cs:dataLabel>
    <cs:lnRef idx="0"/>
    <cs:fillRef idx="0"/>
    <cs:effectRef idx="0"/>
    <cs:fontRef idx="minor">
      <a:schemeClr val="dk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hueOff val="-1670000"/>
            </a:schemeClr>
          </a:gs>
          <a:gs pos="100000">
            <a:schemeClr val="phClr"/>
          </a:gs>
        </a:gsLst>
        <a:lin ang="5400000" scaled="0"/>
      </a:gradFill>
      <a:ln>
        <a:gradFill>
          <a:gsLst>
            <a:gs pos="0">
              <a:schemeClr val="phClr">
                <a:lumMod val="75000"/>
                <a:hueOff val="-1670000"/>
              </a:schemeClr>
            </a:gs>
            <a:gs pos="100000">
              <a:schemeClr val="phClr">
                <a:lumMod val="75000"/>
              </a:schemeClr>
            </a:gs>
          </a:gsLst>
          <a:lin ang="5160000" scaled="1"/>
        </a:gra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a:solidFill>
          <a:schemeClr val="dk1">
            <a:lumMod val="35000"/>
            <a:lumOff val="65000"/>
          </a:schemeClr>
        </a:solidFill>
      </a:ln>
    </cs:spPr>
  </cs:dropLine>
  <cs:errorBar>
    <cs:lnRef idx="0"/>
    <cs:fillRef idx="0"/>
    <cs:effectRef idx="0"/>
    <cs:fontRef idx="minor">
      <a:schemeClr val="tx1"/>
    </cs:fontRef>
    <cs:spPr>
      <a:ln w="9525" cap="flat" cmpd="sng" algn="ctr">
        <a:solidFill>
          <a:schemeClr val="dk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a:solidFill>
          <a:schemeClr val="dk1">
            <a:lumMod val="75000"/>
            <a:lumOff val="25000"/>
          </a:schemeClr>
        </a:solidFill>
      </a:ln>
    </cs:spPr>
  </cs:hiLoLine>
  <cs:leaderLine>
    <cs:lnRef idx="0"/>
    <cs:fillRef idx="0"/>
    <cs:effectRef idx="0"/>
    <cs:fontRef idx="minor">
      <a:schemeClr val="tx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tx1"/>
    </cs:fontRef>
    <cs:spPr>
      <a:ln w="9525">
        <a:solidFill>
          <a:schemeClr val="dk1">
            <a:lumMod val="35000"/>
            <a:lumOff val="65000"/>
          </a:schemeClr>
        </a:solidFill>
      </a:ln>
    </cs:spPr>
  </cs:seriesLine>
  <cs:title>
    <cs:lnRef idx="0"/>
    <cs:fillRef idx="0"/>
    <cs:effectRef idx="0"/>
    <cs:fontRef idx="minor">
      <a:schemeClr val="dk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37</Pages>
  <Words>9088</Words>
  <Characters>10943</Characters>
  <Lines>86</Lines>
  <Paragraphs>24</Paragraphs>
  <TotalTime>73</TotalTime>
  <ScaleCrop>false</ScaleCrop>
  <LinksUpToDate>false</LinksUpToDate>
  <CharactersWithSpaces>11627</CharactersWithSpaces>
  <Application>WPS Office_11.8.2.12313_F1E327BC-269C-435d-A152-05C5408002CA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2023-08-05T15:55:00Z</dcterms:created>
  <dc:creator>王明新TIAD</dc:creator>
  <cp:lastModifiedBy>admin123</cp:lastModifiedBy>
  <cp:lastPrinted>2023-08-05T09:00:00Z</cp:lastPrinted>
  <dcterms:modified xsi:type="dcterms:W3CDTF">2025-09-10T18:19:48Z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2052-11.8.2.12313</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