
<file path=[Content_Types].xml><?xml version="1.0" encoding="utf-8"?>
<Types xmlns="http://schemas.openxmlformats.org/package/2006/content-types">
  <Default Extension="xml" ContentType="application/xml"/>
  <Default Extension="xlsx" ContentType="application/vnd.openxmlformats-officedocument.spreadsheetml.sheet"/>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colors5.xml" ContentType="application/vnd.ms-office.chartcolorstyle+xml"/>
  <Override PartName="/word/charts/colors6.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charts/style5.xml" ContentType="application/vnd.ms-office.chartstyle+xml"/>
  <Override PartName="/word/charts/style6.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media/image1.svg" ContentType="image/svg+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left"/>
      </w:pPr>
      <w:r>
        <mc:AlternateContent>
          <mc:Choice Requires="wps">
            <w:drawing>
              <wp:anchor distT="0" distB="0" distL="114300" distR="114300" simplePos="0" relativeHeight="251661312" behindDoc="0" locked="0" layoutInCell="1" allowOverlap="1">
                <wp:simplePos x="0" y="0"/>
                <wp:positionH relativeFrom="column">
                  <wp:posOffset>321945</wp:posOffset>
                </wp:positionH>
                <wp:positionV relativeFrom="paragraph">
                  <wp:posOffset>5481320</wp:posOffset>
                </wp:positionV>
                <wp:extent cx="5482590" cy="1066800"/>
                <wp:effectExtent l="0" t="0" r="0" b="0"/>
                <wp:wrapNone/>
                <wp:docPr id="7" name="文本框 2"/>
                <wp:cNvGraphicFramePr/>
                <a:graphic xmlns:a="http://schemas.openxmlformats.org/drawingml/2006/main">
                  <a:graphicData uri="http://schemas.microsoft.com/office/word/2010/wordprocessingShape">
                    <wps:wsp>
                      <wps:cNvSpPr txBox="1">
                        <a:spLocks noChangeArrowheads="1"/>
                      </wps:cNvSpPr>
                      <wps:spPr bwMode="auto">
                        <a:xfrm>
                          <a:off x="0" y="0"/>
                          <a:ext cx="5482590" cy="1066800"/>
                        </a:xfrm>
                        <a:prstGeom prst="rect">
                          <a:avLst/>
                        </a:prstGeom>
                        <a:noFill/>
                        <a:ln w="9525">
                          <a:noFill/>
                          <a:miter lim="800000"/>
                        </a:ln>
                      </wps:spPr>
                      <wps:txbx>
                        <w:txbxContent>
                          <w:p>
                            <w:pPr>
                              <w:spacing w:line="600" w:lineRule="auto"/>
                              <w:jc w:val="left"/>
                              <w:rPr>
                                <w:rFonts w:hint="default" w:ascii="楷体_GB2312" w:hAnsi="楷体_GB2312" w:eastAsia="楷体_GB2312" w:cs="楷体_GB2312"/>
                                <w:color w:val="000000"/>
                                <w:sz w:val="40"/>
                                <w:szCs w:val="40"/>
                                <w:lang w:val="en-US" w:eastAsia="zh-CN"/>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w:t>
                            </w:r>
                            <w:r>
                              <w:rPr>
                                <w:rFonts w:hint="eastAsia" w:ascii="楷体_GB2312" w:hAnsi="楷体_GB2312" w:eastAsia="楷体_GB2312" w:cs="楷体_GB2312"/>
                                <w:color w:val="000000"/>
                                <w:sz w:val="40"/>
                                <w:szCs w:val="40"/>
                                <w:lang w:val="en-US" w:eastAsia="zh-CN"/>
                              </w:rPr>
                              <w:t>302</w:t>
                            </w:r>
                          </w:p>
                          <w:p>
                            <w:pPr>
                              <w:spacing w:line="600" w:lineRule="auto"/>
                              <w:jc w:val="left"/>
                              <w:rPr>
                                <w:rFonts w:ascii="楷体_GB2312" w:hAnsi="楷体_GB2312" w:eastAsia="楷体_GB2312" w:cs="楷体_GB2312"/>
                                <w:color w:val="000000"/>
                                <w:sz w:val="40"/>
                                <w:szCs w:val="40"/>
                              </w:rPr>
                            </w:pPr>
                            <w:r>
                              <w:rPr>
                                <w:rFonts w:hint="eastAsia" w:ascii="黑体" w:hAnsi="黑体" w:eastAsia="黑体" w:cs="黑体"/>
                                <w:color w:val="000000"/>
                                <w:sz w:val="40"/>
                                <w:szCs w:val="40"/>
                              </w:rPr>
                              <w:t>单位名称</w:t>
                            </w:r>
                            <w:r>
                              <w:rPr>
                                <w:rFonts w:hint="eastAsia" w:ascii="楷体_GB2312" w:hAnsi="楷体_GB2312" w:eastAsia="楷体_GB2312" w:cs="楷体_GB2312"/>
                                <w:color w:val="000000"/>
                                <w:sz w:val="40"/>
                                <w:szCs w:val="40"/>
                              </w:rPr>
                              <w:t>：石家庄市数据资源管理局（汇总）</w:t>
                            </w:r>
                          </w:p>
                        </w:txbxContent>
                      </wps:txbx>
                      <wps:bodyPr rot="0" vert="horz" wrap="square" lIns="91440" tIns="45720" rIns="91440" bIns="45720" anchor="t" anchorCtr="0">
                        <a:noAutofit/>
                      </wps:bodyPr>
                    </wps:wsp>
                  </a:graphicData>
                </a:graphic>
              </wp:anchor>
            </w:drawing>
          </mc:Choice>
          <mc:Fallback>
            <w:pict>
              <v:shape id="文本框 2" o:spid="_x0000_s1026" o:spt="202" type="#_x0000_t202" style="position:absolute;left:0pt;margin-left:25.35pt;margin-top:431.6pt;height:84pt;width:431.7pt;z-index:251661312;mso-width-relative:page;mso-height-relative:page;" filled="f" stroked="f" coordsize="21600,21600" o:gfxdata="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">
                <v:fill on="f" focussize="0,0"/>
                <v:stroke on="f" miterlimit="8" joinstyle="miter"/>
                <v:imagedata o:title=""/>
                <o:lock v:ext="edit" aspectratio="f"/>
                <v:textbox>
                  <w:txbxContent>
                    <w:p>
                      <w:pPr>
                        <w:spacing w:line="600" w:lineRule="auto"/>
                        <w:jc w:val="left"/>
                        <w:rPr>
                          <w:rFonts w:hint="default" w:ascii="楷体_GB2312" w:hAnsi="楷体_GB2312" w:eastAsia="楷体_GB2312" w:cs="楷体_GB2312"/>
                          <w:color w:val="000000"/>
                          <w:sz w:val="40"/>
                          <w:szCs w:val="40"/>
                          <w:lang w:val="en-US" w:eastAsia="zh-CN"/>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w:t>
                      </w:r>
                      <w:r>
                        <w:rPr>
                          <w:rFonts w:hint="eastAsia" w:ascii="楷体_GB2312" w:hAnsi="楷体_GB2312" w:eastAsia="楷体_GB2312" w:cs="楷体_GB2312"/>
                          <w:color w:val="000000"/>
                          <w:sz w:val="40"/>
                          <w:szCs w:val="40"/>
                          <w:lang w:val="en-US" w:eastAsia="zh-CN"/>
                        </w:rPr>
                        <w:t>302</w:t>
                      </w:r>
                    </w:p>
                    <w:p>
                      <w:pPr>
                        <w:spacing w:line="600" w:lineRule="auto"/>
                        <w:jc w:val="left"/>
                        <w:rPr>
                          <w:rFonts w:ascii="楷体_GB2312" w:hAnsi="楷体_GB2312" w:eastAsia="楷体_GB2312" w:cs="楷体_GB2312"/>
                          <w:color w:val="000000"/>
                          <w:sz w:val="40"/>
                          <w:szCs w:val="40"/>
                        </w:rPr>
                      </w:pPr>
                      <w:r>
                        <w:rPr>
                          <w:rFonts w:hint="eastAsia" w:ascii="黑体" w:hAnsi="黑体" w:eastAsia="黑体" w:cs="黑体"/>
                          <w:color w:val="000000"/>
                          <w:sz w:val="40"/>
                          <w:szCs w:val="40"/>
                        </w:rPr>
                        <w:t>单位名称</w:t>
                      </w:r>
                      <w:r>
                        <w:rPr>
                          <w:rFonts w:hint="eastAsia" w:ascii="楷体_GB2312" w:hAnsi="楷体_GB2312" w:eastAsia="楷体_GB2312" w:cs="楷体_GB2312"/>
                          <w:color w:val="000000"/>
                          <w:sz w:val="40"/>
                          <w:szCs w:val="40"/>
                        </w:rPr>
                        <w:t>：石家庄市数据资源管理局（汇总）</w:t>
                      </w:r>
                    </w:p>
                  </w:txbxContent>
                </v:textbox>
              </v:shape>
            </w:pict>
          </mc:Fallback>
        </mc:AlternateContent>
      </w:r>
      <w:r>
        <w:drawing>
          <wp:anchor distT="0" distB="0" distL="114300" distR="114300" simplePos="0" relativeHeight="251668480" behindDoc="0" locked="0" layoutInCell="1" allowOverlap="1">
            <wp:simplePos x="0" y="0"/>
            <wp:positionH relativeFrom="column">
              <wp:posOffset>2194560</wp:posOffset>
            </wp:positionH>
            <wp:positionV relativeFrom="paragraph">
              <wp:posOffset>2134870</wp:posOffset>
            </wp:positionV>
            <wp:extent cx="2160270" cy="1310640"/>
            <wp:effectExtent l="0" t="0" r="11430" b="3810"/>
            <wp:wrapNone/>
            <wp:docPr id="14" name="https://photo-static-api.fotomore.com/creative/vcg/400/version23/VCG41520173064.jpg" descr="templates\picture_hover\&amp;pky94109459339_sjzg_VCG41520173064&amp;2&amp;src_toppic_droprecent&amp;"/>
            <wp:cNvGraphicFramePr/>
            <a:graphic xmlns:a="http://schemas.openxmlformats.org/drawingml/2006/main">
              <a:graphicData uri="http://schemas.openxmlformats.org/drawingml/2006/picture">
                <pic:pic xmlns:pic="http://schemas.openxmlformats.org/drawingml/2006/picture">
                  <pic:nvPicPr>
                    <pic:cNvPr id="14" name="https://photo-static-api.fotomore.com/creative/vcg/400/version23/VCG41520173064.jpg" descr="templates\picture_hover\&amp;pky94109459339_sjzg_VCG41520173064&amp;2&amp;src_toppic_droprecent&amp;"/>
                    <pic:cNvPicPr/>
                  </pic:nvPicPr>
                  <pic:blipFill>
                    <a:blip r:embed="rId10"/>
                    <a:stretch>
                      <a:fillRect/>
                    </a:stretch>
                  </pic:blipFill>
                  <pic:spPr>
                    <a:xfrm>
                      <a:off x="0" y="0"/>
                      <a:ext cx="2160270" cy="1310640"/>
                    </a:xfrm>
                    <a:prstGeom prst="rect">
                      <a:avLst/>
                    </a:prstGeom>
                  </pic:spPr>
                </pic:pic>
              </a:graphicData>
            </a:graphic>
          </wp:anchor>
        </w:drawing>
      </w:r>
      <w:r>
        <w:drawing>
          <wp:anchor distT="0" distB="0" distL="114300" distR="114300" simplePos="0" relativeHeight="251666432" behindDoc="0" locked="0" layoutInCell="1" allowOverlap="1">
            <wp:simplePos x="0" y="0"/>
            <wp:positionH relativeFrom="column">
              <wp:posOffset>4421505</wp:posOffset>
            </wp:positionH>
            <wp:positionV relativeFrom="paragraph">
              <wp:posOffset>2134870</wp:posOffset>
            </wp:positionV>
            <wp:extent cx="2162810" cy="1310640"/>
            <wp:effectExtent l="0" t="0" r="8890" b="3810"/>
            <wp:wrapNone/>
            <wp:docPr id="8" name="https://photo-static-api.fotomore.com/creative/vcg/400/new/VCG41N1489769134.jpg?uid=386&amp;timestamp=1686554386&amp;sign=5f45ccbb5851510551cea00294a903df" descr="templates\picture_hover\&amp;pky17209834312_sjzg_VCG41N1489769134&amp;2&amp;src_toppic_droprecent&a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https://photo-static-api.fotomore.com/creative/vcg/400/new/VCG41N1489769134.jpg?uid=386&amp;timestamp=1686554386&amp;sign=5f45ccbb5851510551cea00294a903df" descr="templates\picture_hover\&amp;pky17209834312_sjzg_VCG41N1489769134&amp;2&amp;src_toppic_droprecent&amp;"/>
                    <pic:cNvPicPr>
                      <a:picLocks noChangeAspect="1"/>
                    </pic:cNvPicPr>
                  </pic:nvPicPr>
                  <pic:blipFill>
                    <a:blip r:embed="rId11"/>
                    <a:stretch>
                      <a:fillRect/>
                    </a:stretch>
                  </pic:blipFill>
                  <pic:spPr>
                    <a:xfrm>
                      <a:off x="0" y="0"/>
                      <a:ext cx="2162810" cy="1310640"/>
                    </a:xfrm>
                    <a:prstGeom prst="rect">
                      <a:avLst/>
                    </a:prstGeom>
                  </pic:spPr>
                </pic:pic>
              </a:graphicData>
            </a:graphic>
          </wp:anchor>
        </w:drawing>
      </w:r>
      <w:r>
        <mc:AlternateContent>
          <mc:Choice Requires="wpg">
            <w:drawing>
              <wp:anchor distT="0" distB="0" distL="114300" distR="114300" simplePos="0" relativeHeight="251664384" behindDoc="0" locked="0" layoutInCell="1" allowOverlap="1">
                <wp:simplePos x="0" y="0"/>
                <wp:positionH relativeFrom="column">
                  <wp:posOffset>-2453005</wp:posOffset>
                </wp:positionH>
                <wp:positionV relativeFrom="paragraph">
                  <wp:posOffset>2132330</wp:posOffset>
                </wp:positionV>
                <wp:extent cx="9053195" cy="1447165"/>
                <wp:effectExtent l="0" t="0" r="14605" b="635"/>
                <wp:wrapNone/>
                <wp:docPr id="2" name="组合 2"/>
                <wp:cNvGraphicFramePr/>
                <a:graphic xmlns:a="http://schemas.openxmlformats.org/drawingml/2006/main">
                  <a:graphicData uri="http://schemas.microsoft.com/office/word/2010/wordprocessingGroup">
                    <wpg:wgp>
                      <wpg:cNvGrpSpPr/>
                      <wpg:grpSpPr>
                        <a:xfrm>
                          <a:off x="0" y="0"/>
                          <a:ext cx="9053195" cy="1447017"/>
                          <a:chOff x="-3504" y="4387"/>
                          <a:chExt cx="19200" cy="2716"/>
                        </a:xfrm>
                      </wpg:grpSpPr>
                      <wps:wsp>
                        <wps:cNvPr id="3075" name="矩形 19"/>
                        <wps:cNvSpPr/>
                        <wps:spPr>
                          <a:xfrm>
                            <a:off x="-381" y="4387"/>
                            <a:ext cx="1834" cy="2457"/>
                          </a:xfrm>
                          <a:prstGeom prst="rect">
                            <a:avLst/>
                          </a:prstGeom>
                          <a:solidFill>
                            <a:srgbClr val="0176AB"/>
                          </a:solidFill>
                          <a:ln w="9525">
                            <a:noFill/>
                          </a:ln>
                        </wps:spPr>
                        <wps:bodyPr anchor="ctr" anchorCtr="0"/>
                      </wps:wsp>
                      <wps:wsp>
                        <wps:cNvPr id="3079" name="矩形 24"/>
                        <wps:cNvSpPr/>
                        <wps:spPr>
                          <a:xfrm>
                            <a:off x="-3504" y="6953"/>
                            <a:ext cx="11815" cy="150"/>
                          </a:xfrm>
                          <a:custGeom>
                            <a:avLst/>
                            <a:gdLst/>
                            <a:ahLst/>
                            <a:cxnLst>
                              <a:cxn ang="0">
                                <a:pos x="0" y="0"/>
                              </a:cxn>
                              <a:cxn ang="0">
                                <a:pos x="7463453" y="6619"/>
                              </a:cxn>
                              <a:cxn ang="0">
                                <a:pos x="7506490" y="98604"/>
                              </a:cxn>
                              <a:cxn ang="0">
                                <a:pos x="0" y="98604"/>
                              </a:cxn>
                              <a:cxn ang="0">
                                <a:pos x="0" y="0"/>
                              </a:cxn>
                            </a:cxnLst>
                            <a:rect l="0" t="0" r="0" b="0"/>
                            <a:pathLst>
                              <a:path w="7501732" h="94593">
                                <a:moveTo>
                                  <a:pt x="0" y="0"/>
                                </a:moveTo>
                                <a:lnTo>
                                  <a:pt x="7458720" y="6350"/>
                                </a:lnTo>
                                <a:lnTo>
                                  <a:pt x="7501732" y="94593"/>
                                </a:lnTo>
                                <a:lnTo>
                                  <a:pt x="0" y="94593"/>
                                </a:lnTo>
                                <a:lnTo>
                                  <a:pt x="0" y="0"/>
                                </a:lnTo>
                                <a:close/>
                              </a:path>
                            </a:pathLst>
                          </a:custGeom>
                          <a:solidFill>
                            <a:srgbClr val="E5AA57">
                              <a:alpha val="100000"/>
                            </a:srgbClr>
                          </a:solidFill>
                          <a:ln w="9525">
                            <a:noFill/>
                          </a:ln>
                        </wps:spPr>
                        <wps:bodyPr/>
                      </wps:wsp>
                      <wps:wsp>
                        <wps:cNvPr id="3080" name="矩形 25"/>
                        <wps:cNvSpPr/>
                        <wps:spPr>
                          <a:xfrm>
                            <a:off x="8331" y="6953"/>
                            <a:ext cx="7365" cy="150"/>
                          </a:xfrm>
                          <a:custGeom>
                            <a:avLst/>
                            <a:gdLst/>
                            <a:ahLst/>
                            <a:cxnLst>
                              <a:cxn ang="0">
                                <a:pos x="0" y="0"/>
                              </a:cxn>
                              <a:cxn ang="0">
                                <a:pos x="4679715" y="0"/>
                              </a:cxn>
                              <a:cxn ang="0">
                                <a:pos x="4679715" y="98599"/>
                              </a:cxn>
                              <a:cxn ang="0">
                                <a:pos x="57552" y="98599"/>
                              </a:cxn>
                              <a:cxn ang="0">
                                <a:pos x="0" y="0"/>
                              </a:cxn>
                            </a:cxnLst>
                            <a:rect l="0" t="0" r="0" b="0"/>
                            <a:pathLst>
                              <a:path w="4676187" h="94594">
                                <a:moveTo>
                                  <a:pt x="0" y="0"/>
                                </a:moveTo>
                                <a:lnTo>
                                  <a:pt x="4676187" y="0"/>
                                </a:lnTo>
                                <a:lnTo>
                                  <a:pt x="4676187" y="94594"/>
                                </a:lnTo>
                                <a:lnTo>
                                  <a:pt x="57510" y="94594"/>
                                </a:lnTo>
                                <a:lnTo>
                                  <a:pt x="0" y="0"/>
                                </a:lnTo>
                                <a:close/>
                              </a:path>
                            </a:pathLst>
                          </a:custGeom>
                          <a:solidFill>
                            <a:srgbClr val="0176AB">
                              <a:alpha val="100000"/>
                            </a:srgbClr>
                          </a:solidFill>
                          <a:ln w="9525">
                            <a:noFill/>
                          </a:ln>
                        </wps:spPr>
                        <wps:bodyPr/>
                      </wps:wsp>
                    </wpg:wgp>
                  </a:graphicData>
                </a:graphic>
              </wp:anchor>
            </w:drawing>
          </mc:Choice>
          <mc:Fallback>
            <w:pict>
              <v:group id="_x0000_s1026" o:spid="_x0000_s1026" o:spt="203" style="position:absolute;left:0pt;margin-left:-193.15pt;margin-top:167.9pt;height:113.95pt;width:712.85pt;z-index:251664384;mso-width-relative:page;mso-height-relative:page;" coordorigin="-3504,4387" coordsize="19200,2716" o:gfxdata="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">
                <o:lock v:ext="edit" aspectratio="f"/>
                <v:rect id="矩形 19" o:spid="_x0000_s1026" o:spt="1" style="position:absolute;left:-381;top:4387;height:2457;width:1834;v-text-anchor:middle;" fillcolor="#0176AB" filled="t" stroked="f" coordsize="21600,21600" o:gfxdata="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">
                  <v:fill on="t" focussize="0,0"/>
                  <v:stroke on="f"/>
                  <v:imagedata o:title=""/>
                  <o:lock v:ext="edit" aspectratio="f"/>
                </v:rect>
                <v:shape id="矩形 24" o:spid="_x0000_s1026" o:spt="100" style="position:absolute;left:-3504;top:6953;height:150;width:11815;" fillcolor="#E5AA57" filled="t" stroked="f" coordsize="7501732,94593" o:gfxdata="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" path="m0,0l7458720,6350,7501732,94593,0,94593,0,0xe">
                  <v:path o:connectlocs="0,0;7463453,6619;7506490,98604;0,98604;0,0" o:connectangles="0,0,0,0,0"/>
                  <v:fill on="t" focussize="0,0"/>
                  <v:stroke on="f"/>
                  <v:imagedata o:title=""/>
                  <o:lock v:ext="edit" aspectratio="f"/>
                </v:shape>
                <v:shape id="矩形 25" o:spid="_x0000_s1026" o:spt="100" style="position:absolute;left:8331;top:6953;height:150;width:7365;" fillcolor="#0176AB" filled="t" stroked="f" coordsize="4676187,94594" o:gfxdata="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" path="m0,0l4676187,0,4676187,94594,57510,94594,0,0xe">
                  <v:path o:connectlocs="0,0;4679715,0;4679715,98599;57552,98599;0,0" o:connectangles="0,0,0,0,0"/>
                  <v:fill on="t" focussize="0,0"/>
                  <v:stroke on="f"/>
                  <v:imagedata o:title=""/>
                  <o:lock v:ext="edit" aspectratio="f"/>
                </v:shape>
              </v:group>
            </w:pict>
          </mc:Fallback>
        </mc:AlternateContent>
      </w:r>
      <w:r>
        <w:drawing>
          <wp:anchor distT="0" distB="0" distL="114300" distR="114300" simplePos="0" relativeHeight="251667456" behindDoc="0" locked="0" layoutInCell="1" allowOverlap="1">
            <wp:simplePos x="0" y="0"/>
            <wp:positionH relativeFrom="column">
              <wp:posOffset>-44450</wp:posOffset>
            </wp:positionH>
            <wp:positionV relativeFrom="paragraph">
              <wp:posOffset>2134870</wp:posOffset>
            </wp:positionV>
            <wp:extent cx="2159000" cy="1310640"/>
            <wp:effectExtent l="0" t="0" r="12700" b="3810"/>
            <wp:wrapNone/>
            <wp:docPr id="12" name="https://photo-static-api.fotomore.com/creative/vcg/400/new/VCG211393708916.jpg" descr="templates\picture_hover\&amp;pky00203123560_sjzg_VCG211393708916&amp;2&amp;src_toppic_droprecent&a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https://photo-static-api.fotomore.com/creative/vcg/400/new/VCG211393708916.jpg" descr="templates\picture_hover\&amp;pky00203123560_sjzg_VCG211393708916&amp;2&amp;src_toppic_droprecent&amp;"/>
                    <pic:cNvPicPr>
                      <a:picLocks noChangeAspect="1"/>
                    </pic:cNvPicPr>
                  </pic:nvPicPr>
                  <pic:blipFill>
                    <a:blip r:embed="rId12"/>
                    <a:stretch>
                      <a:fillRect/>
                    </a:stretch>
                  </pic:blipFill>
                  <pic:spPr>
                    <a:xfrm>
                      <a:off x="0" y="0"/>
                      <a:ext cx="2159000" cy="1310640"/>
                    </a:xfrm>
                    <a:prstGeom prst="rect">
                      <a:avLst/>
                    </a:prstGeom>
                  </pic:spPr>
                </pic:pic>
              </a:graphicData>
            </a:graphic>
          </wp:anchor>
        </w:drawing>
      </w:r>
      <w:r>
        <mc:AlternateContent>
          <mc:Choice Requires="wpg">
            <w:drawing>
              <wp:anchor distT="0" distB="0" distL="114300" distR="114300" simplePos="0" relativeHeight="251662336" behindDoc="0" locked="0" layoutInCell="1" allowOverlap="1">
                <wp:simplePos x="0" y="0"/>
                <wp:positionH relativeFrom="column">
                  <wp:posOffset>-280670</wp:posOffset>
                </wp:positionH>
                <wp:positionV relativeFrom="paragraph">
                  <wp:posOffset>-313055</wp:posOffset>
                </wp:positionV>
                <wp:extent cx="5954395" cy="1885315"/>
                <wp:effectExtent l="0" t="0" r="0" b="14605"/>
                <wp:wrapNone/>
                <wp:docPr id="1" name="组合 1"/>
                <wp:cNvGraphicFramePr/>
                <a:graphic xmlns:a="http://schemas.openxmlformats.org/drawingml/2006/main">
                  <a:graphicData uri="http://schemas.microsoft.com/office/word/2010/wordprocessingGroup">
                    <wpg:wgp>
                      <wpg:cNvGrpSpPr/>
                      <wpg:grpSpPr>
                        <a:xfrm>
                          <a:off x="0" y="0"/>
                          <a:ext cx="5954395" cy="1885315"/>
                          <a:chOff x="12098" y="1831"/>
                          <a:chExt cx="9377" cy="2969"/>
                        </a:xfrm>
                      </wpg:grpSpPr>
                      <wps:wsp>
                        <wps:cNvPr id="89" name="文本框 32"/>
                        <wps:cNvSpPr txBox="1"/>
                        <wps:spPr>
                          <a:xfrm>
                            <a:off x="13325" y="1831"/>
                            <a:ext cx="4462" cy="1348"/>
                          </a:xfrm>
                          <a:prstGeom prst="rect">
                            <a:avLst/>
                          </a:prstGeom>
                          <a:noFill/>
                        </wps:spPr>
                        <wps:txbx>
                          <w:txbxContent>
                            <w:p>
                              <w:pPr>
                                <w:jc w:val="distribute"/>
                                <w:rPr>
                                  <w:rFonts w:ascii="方正魏碑简体" w:hAnsi="Arial" w:eastAsia="方正魏碑简体" w:cs="Arial"/>
                                  <w:color w:val="000000" w:themeColor="text1"/>
                                  <w:kern w:val="0"/>
                                  <w:sz w:val="2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方正魏碑简体" w:hAnsi="Arial" w:eastAsia="方正魏碑简体" w:cs="Arial"/>
                                  <w:color w:val="000000" w:themeColor="text1"/>
                                  <w:spacing w:val="60"/>
                                  <w:kern w:val="24"/>
                                  <w:sz w:val="72"/>
                                  <w:szCs w:val="7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2023年度</w:t>
                              </w:r>
                            </w:p>
                          </w:txbxContent>
                        </wps:txbx>
                        <wps:bodyPr wrap="square" rtlCol="0">
                          <a:noAutofit/>
                        </wps:bodyPr>
                      </wps:wsp>
                      <wpg:grpSp>
                        <wpg:cNvPr id="6" name="组合 6"/>
                        <wpg:cNvGrpSpPr/>
                        <wpg:grpSpPr>
                          <a:xfrm>
                            <a:off x="12098" y="3193"/>
                            <a:ext cx="9377" cy="1607"/>
                            <a:chOff x="6119" y="2843"/>
                            <a:chExt cx="9377" cy="1607"/>
                          </a:xfrm>
                        </wpg:grpSpPr>
                        <wps:wsp>
                          <wps:cNvPr id="91" name="文本框 32"/>
                          <wps:cNvSpPr txBox="1"/>
                          <wps:spPr>
                            <a:xfrm>
                              <a:off x="6119" y="2843"/>
                              <a:ext cx="9377" cy="1421"/>
                            </a:xfrm>
                            <a:prstGeom prst="rect">
                              <a:avLst/>
                            </a:prstGeom>
                            <a:noFill/>
                          </wps:spPr>
                          <wps:txbx>
                            <w:txbxContent>
                              <w:p>
                                <w:pPr>
                                  <w:jc w:val="left"/>
                                  <w:rPr>
                                    <w:rFonts w:ascii="黑体" w:hAnsi="黑体" w:eastAsia="黑体" w:cs="黑体"/>
                                    <w:color w:val="000000" w:themeColor="text1"/>
                                    <w:kern w:val="0"/>
                                    <w:sz w:val="24"/>
                                    <w:szCs w:val="2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黑体" w:hAnsi="黑体" w:eastAsia="黑体" w:cs="黑体"/>
                                    <w:color w:val="000000" w:themeColor="text1"/>
                                    <w:spacing w:val="60"/>
                                    <w:kern w:val="24"/>
                                    <w:sz w:val="96"/>
                                    <w:szCs w:val="96"/>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部门</w:t>
                                </w:r>
                                <w:r>
                                  <w:rPr>
                                    <w:rFonts w:hint="eastAsia" w:ascii="黑体" w:hAnsi="黑体" w:eastAsia="黑体" w:cs="黑体"/>
                                    <w:color w:val="000000" w:themeColor="text1"/>
                                    <w:spacing w:val="60"/>
                                    <w:kern w:val="24"/>
                                    <w:sz w:val="96"/>
                                    <w:szCs w:val="96"/>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决算公开文本</w:t>
                                </w:r>
                              </w:p>
                            </w:txbxContent>
                          </wps:txbx>
                          <wps:bodyPr wrap="square" rtlCol="0">
                            <a:noAutofit/>
                          </wps:bodyPr>
                        </wps:wsp>
                        <wps:wsp>
                          <wps:cNvPr id="4" name="直接连接符 4"/>
                          <wps:cNvCnPr/>
                          <wps:spPr>
                            <a:xfrm>
                              <a:off x="6226" y="4450"/>
                              <a:ext cx="8700" cy="0"/>
                            </a:xfrm>
                            <a:prstGeom prst="line">
                              <a:avLst/>
                            </a:prstGeom>
                            <a:ln w="28575" cmpd="sng">
                              <a:solidFill>
                                <a:schemeClr val="accent1">
                                  <a:shade val="50000"/>
                                </a:schemeClr>
                              </a:solidFill>
                              <a:prstDash val="sysDot"/>
                            </a:ln>
                          </wps:spPr>
                          <wps:style>
                            <a:lnRef idx="1">
                              <a:schemeClr val="accent1"/>
                            </a:lnRef>
                            <a:fillRef idx="0">
                              <a:schemeClr val="accent1"/>
                            </a:fillRef>
                            <a:effectRef idx="0">
                              <a:schemeClr val="accent1"/>
                            </a:effectRef>
                            <a:fontRef idx="minor">
                              <a:schemeClr val="tx1"/>
                            </a:fontRef>
                          </wps:style>
                          <wps:bodyPr/>
                        </wps:wsp>
                      </wpg:grpSp>
                    </wpg:wgp>
                  </a:graphicData>
                </a:graphic>
              </wp:anchor>
            </w:drawing>
          </mc:Choice>
          <mc:Fallback>
            <w:pict>
              <v:group id="_x0000_s1026" o:spid="_x0000_s1026" o:spt="203" style="position:absolute;left:0pt;margin-left:-22.1pt;margin-top:-24.65pt;height:148.45pt;width:468.85pt;z-index:251662336;mso-width-relative:page;mso-height-relative:page;" coordorigin="12098,1831" coordsize="9377,2969" o:gfxdata="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&#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">
                <o:lock v:ext="edit" aspectratio="f"/>
                <v:shape id="文本框 32" o:spid="_x0000_s1026" o:spt="202" type="#_x0000_t202" style="position:absolute;left:13325;top:1831;height:1348;width:4462;" filled="f" stroked="f" coordsize="21600,21600" o:gfxdata="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">
                  <v:fill on="f" focussize="0,0"/>
                  <v:stroke on="f"/>
                  <v:imagedata o:title=""/>
                  <o:lock v:ext="edit" aspectratio="f"/>
                  <v:textbox>
                    <w:txbxContent>
                      <w:p>
                        <w:pPr>
                          <w:jc w:val="distribute"/>
                          <w:rPr>
                            <w:rFonts w:ascii="方正魏碑简体" w:hAnsi="Arial" w:eastAsia="方正魏碑简体" w:cs="Arial"/>
                            <w:color w:val="000000" w:themeColor="text1"/>
                            <w:kern w:val="0"/>
                            <w:sz w:val="2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方正魏碑简体" w:hAnsi="Arial" w:eastAsia="方正魏碑简体" w:cs="Arial"/>
                            <w:color w:val="000000" w:themeColor="text1"/>
                            <w:spacing w:val="60"/>
                            <w:kern w:val="24"/>
                            <w:sz w:val="72"/>
                            <w:szCs w:val="7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2023年度</w:t>
                        </w:r>
                      </w:p>
                    </w:txbxContent>
                  </v:textbox>
                </v:shape>
                <v:group id="_x0000_s1026" o:spid="_x0000_s1026" o:spt="203" style="position:absolute;left:12098;top:3193;height:1607;width:9377;" coordorigin="6119,2843" coordsize="9377,1607" o:gfxdata="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">
                  <o:lock v:ext="edit" aspectratio="f"/>
                  <v:shape id="文本框 32" o:spid="_x0000_s1026" o:spt="202" type="#_x0000_t202" style="position:absolute;left:6119;top:2843;height:1421;width:9377;" filled="f" stroked="f" coordsize="21600,21600" o:gfxdata="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">
                    <v:fill on="f" focussize="0,0"/>
                    <v:stroke on="f"/>
                    <v:imagedata o:title=""/>
                    <o:lock v:ext="edit" aspectratio="f"/>
                    <v:textbox>
                      <w:txbxContent>
                        <w:p>
                          <w:pPr>
                            <w:jc w:val="left"/>
                            <w:rPr>
                              <w:rFonts w:ascii="黑体" w:hAnsi="黑体" w:eastAsia="黑体" w:cs="黑体"/>
                              <w:color w:val="000000" w:themeColor="text1"/>
                              <w:kern w:val="0"/>
                              <w:sz w:val="24"/>
                              <w:szCs w:val="2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黑体" w:hAnsi="黑体" w:eastAsia="黑体" w:cs="黑体"/>
                              <w:color w:val="000000" w:themeColor="text1"/>
                              <w:spacing w:val="60"/>
                              <w:kern w:val="24"/>
                              <w:sz w:val="96"/>
                              <w:szCs w:val="96"/>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部门</w:t>
                          </w:r>
                          <w:r>
                            <w:rPr>
                              <w:rFonts w:hint="eastAsia" w:ascii="黑体" w:hAnsi="黑体" w:eastAsia="黑体" w:cs="黑体"/>
                              <w:color w:val="000000" w:themeColor="text1"/>
                              <w:spacing w:val="60"/>
                              <w:kern w:val="24"/>
                              <w:sz w:val="96"/>
                              <w:szCs w:val="96"/>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决算公开文本</w:t>
                          </w:r>
                        </w:p>
                      </w:txbxContent>
                    </v:textbox>
                  </v:shape>
                  <v:line id="_x0000_s1026" o:spid="_x0000_s1026" o:spt="20" style="position:absolute;left:6226;top:4450;height:0;width:8700;" filled="f" stroked="t" coordsize="21600,21600" o:gfxdata="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">
                    <v:fill on="f" focussize="0,0"/>
                    <v:stroke weight="2.25pt" color="#41719C [3204]" miterlimit="8" joinstyle="miter" dashstyle="1 1"/>
                    <v:imagedata o:title=""/>
                    <o:lock v:ext="edit" aspectratio="f"/>
                  </v:line>
                </v:group>
              </v:group>
            </w:pict>
          </mc:Fallback>
        </mc:AlternateContent>
      </w:r>
      <w:r>
        <w:drawing>
          <wp:anchor distT="0" distB="0" distL="114300" distR="114300" simplePos="0" relativeHeight="251665408" behindDoc="0" locked="0" layoutInCell="1" allowOverlap="1">
            <wp:simplePos x="0" y="0"/>
            <wp:positionH relativeFrom="column">
              <wp:posOffset>-95250</wp:posOffset>
            </wp:positionH>
            <wp:positionV relativeFrom="margin">
              <wp:posOffset>-27305</wp:posOffset>
            </wp:positionV>
            <wp:extent cx="506095" cy="506095"/>
            <wp:effectExtent l="0" t="0" r="8255" b="8255"/>
            <wp:wrapNone/>
            <wp:docPr id="3" name="图片 3" descr="32313539313538323b32313539313537353bb5e7c4d4b0ecb9ab"/>
            <wp:cNvGraphicFramePr>
              <a:graphicFrameLocks xmlns:a="http://schemas.openxmlformats.org/drawingml/2006/main" noChangeAspect="1"/>
              <a:extLst xmlns:a="http://schemas.openxmlformats.org/drawingml/2006/main">
                <a:ext uri="{7FBC4E63-A832-4D11-8238-D91031DB1400}">
                  <s:tag xmlns="http://www.wps.cn/officeDocument/2013/wpsCustomData" xmlns:s="http://www.wps.cn/officeDocument/2013/wpsCustomData">
                    <s:item s:name="KSO_DOCER_RESOURCE_TRACE_INFO" s:val="{&quot;id&quot;:&quot;21591575&quot;,&quot;origin&quot;:0,&quot;type&quot;:&quot;icons&quot;,&quot;user&quot;:&quot;292216292&quot;}"/>
                  </s:tag>
                </a:ext>
              </a:extLst>
            </wp:cNvGraphicFramePr>
            <a:graphic xmlns:a="http://schemas.openxmlformats.org/drawingml/2006/main">
              <a:graphicData uri="http://schemas.openxmlformats.org/drawingml/2006/picture">
                <pic:pic xmlns:pic="http://schemas.openxmlformats.org/drawingml/2006/picture">
                  <pic:nvPicPr>
                    <pic:cNvPr id="3" name="图片 3" descr="32313539313538323b32313539313537353bb5e7c4d4b0ecb9ab"/>
                    <pic:cNvPicPr>
                      <a:picLocks noChangeAspect="1"/>
                    </pic:cNvPicPr>
                  </pic:nvPicPr>
                  <pic:blipFill>
                    <a:blip r:embed="rId13">
                      <a:extLst>
                        <a:ext uri="{96DAC541-7B7A-43D3-8B79-37D633B846F1}">
                          <asvg:svgBlip xmlns:asvg="http://schemas.microsoft.com/office/drawing/2016/SVG/main" r:embed="rId14"/>
                        </a:ext>
                      </a:extLst>
                    </a:blip>
                    <a:stretch>
                      <a:fillRect/>
                    </a:stretch>
                  </pic:blipFill>
                  <pic:spPr>
                    <a:xfrm>
                      <a:off x="0" y="0"/>
                      <a:ext cx="506095" cy="506095"/>
                    </a:xfrm>
                    <a:prstGeom prst="rect">
                      <a:avLst/>
                    </a:prstGeom>
                  </pic:spPr>
                </pic:pic>
              </a:graphicData>
            </a:graphic>
          </wp:anchor>
        </w:drawing>
      </w:r>
      <w:r>
        <mc:AlternateContent>
          <mc:Choice Requires="wps">
            <w:drawing>
              <wp:anchor distT="0" distB="0" distL="114300" distR="114300" simplePos="0" relativeHeight="251663360" behindDoc="0" locked="0" layoutInCell="1" allowOverlap="1">
                <wp:simplePos x="0" y="0"/>
                <wp:positionH relativeFrom="column">
                  <wp:posOffset>1120140</wp:posOffset>
                </wp:positionH>
                <wp:positionV relativeFrom="paragraph">
                  <wp:posOffset>7942580</wp:posOffset>
                </wp:positionV>
                <wp:extent cx="3260090" cy="520700"/>
                <wp:effectExtent l="0" t="0" r="0" b="0"/>
                <wp:wrapNone/>
                <wp:docPr id="13" name="文本框 2"/>
                <wp:cNvGraphicFramePr/>
                <a:graphic xmlns:a="http://schemas.openxmlformats.org/drawingml/2006/main">
                  <a:graphicData uri="http://schemas.microsoft.com/office/word/2010/wordprocessingShape">
                    <wps:wsp>
                      <wps:cNvSpPr txBox="1">
                        <a:spLocks noChangeArrowheads="1"/>
                      </wps:cNvSpPr>
                      <wps:spPr bwMode="auto">
                        <a:xfrm>
                          <a:off x="0" y="0"/>
                          <a:ext cx="3260090" cy="520700"/>
                        </a:xfrm>
                        <a:prstGeom prst="rect">
                          <a:avLst/>
                        </a:prstGeom>
                        <a:noFill/>
                        <a:ln w="9525">
                          <a:noFill/>
                          <a:miter lim="800000"/>
                        </a:ln>
                      </wps:spPr>
                      <wps:txbx>
                        <w:txbxContent>
                          <w:p>
                            <w:pPr>
                              <w:spacing w:line="600" w:lineRule="auto"/>
                              <w:jc w:val="center"/>
                              <w:rPr>
                                <w:rFonts w:ascii="楷体_GB2312" w:hAnsi="楷体_GB2312" w:eastAsia="楷体_GB2312" w:cs="楷体_GB2312"/>
                                <w:color w:val="000000"/>
                                <w:sz w:val="40"/>
                                <w:szCs w:val="40"/>
                              </w:rPr>
                            </w:pPr>
                            <w:r>
                              <w:rPr>
                                <w:rFonts w:hint="eastAsia" w:ascii="楷体_GB2312" w:hAnsi="楷体_GB2312" w:eastAsia="楷体_GB2312" w:cs="楷体_GB2312"/>
                                <w:color w:val="000000"/>
                                <w:sz w:val="40"/>
                                <w:szCs w:val="40"/>
                              </w:rPr>
                              <w:t>二〇二四年</w:t>
                            </w:r>
                            <w:r>
                              <w:rPr>
                                <w:rFonts w:hint="eastAsia" w:ascii="楷体_GB2312" w:hAnsi="楷体_GB2312" w:eastAsia="楷体_GB2312" w:cs="楷体_GB2312"/>
                                <w:color w:val="000000"/>
                                <w:sz w:val="40"/>
                                <w:szCs w:val="40"/>
                                <w:lang w:eastAsia="zh-CN"/>
                              </w:rPr>
                              <w:t>九</w:t>
                            </w:r>
                            <w:r>
                              <w:rPr>
                                <w:rFonts w:hint="eastAsia" w:ascii="楷体_GB2312" w:hAnsi="楷体_GB2312" w:eastAsia="楷体_GB2312" w:cs="楷体_GB2312"/>
                                <w:color w:val="000000"/>
                                <w:sz w:val="40"/>
                                <w:szCs w:val="40"/>
                              </w:rPr>
                              <w:t>月</w:t>
                            </w:r>
                          </w:p>
                        </w:txbxContent>
                      </wps:txbx>
                      <wps:bodyPr rot="0" vert="horz" wrap="square" lIns="91440" tIns="45720" rIns="91440" bIns="45720" anchor="t" anchorCtr="0">
                        <a:noAutofit/>
                      </wps:bodyPr>
                    </wps:wsp>
                  </a:graphicData>
                </a:graphic>
              </wp:anchor>
            </w:drawing>
          </mc:Choice>
          <mc:Fallback>
            <w:pict>
              <v:shape id="文本框 2" o:spid="_x0000_s1026" o:spt="202" type="#_x0000_t202" style="position:absolute;left:0pt;margin-left:88.2pt;margin-top:625.4pt;height:41pt;width:256.7pt;z-index:251663360;mso-width-relative:page;mso-height-relative:page;" filled="f" stroked="f" coordsize="21600,21600" o:gfxdata="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">
                <v:fill on="f" focussize="0,0"/>
                <v:stroke on="f" miterlimit="8" joinstyle="miter"/>
                <v:imagedata o:title=""/>
                <o:lock v:ext="edit" aspectratio="f"/>
                <v:textbox>
                  <w:txbxContent>
                    <w:p>
                      <w:pPr>
                        <w:spacing w:line="600" w:lineRule="auto"/>
                        <w:jc w:val="center"/>
                        <w:rPr>
                          <w:rFonts w:ascii="楷体_GB2312" w:hAnsi="楷体_GB2312" w:eastAsia="楷体_GB2312" w:cs="楷体_GB2312"/>
                          <w:color w:val="000000"/>
                          <w:sz w:val="40"/>
                          <w:szCs w:val="40"/>
                        </w:rPr>
                      </w:pPr>
                      <w:r>
                        <w:rPr>
                          <w:rFonts w:hint="eastAsia" w:ascii="楷体_GB2312" w:hAnsi="楷体_GB2312" w:eastAsia="楷体_GB2312" w:cs="楷体_GB2312"/>
                          <w:color w:val="000000"/>
                          <w:sz w:val="40"/>
                          <w:szCs w:val="40"/>
                        </w:rPr>
                        <w:t>二〇二四年</w:t>
                      </w:r>
                      <w:r>
                        <w:rPr>
                          <w:rFonts w:hint="eastAsia" w:ascii="楷体_GB2312" w:hAnsi="楷体_GB2312" w:eastAsia="楷体_GB2312" w:cs="楷体_GB2312"/>
                          <w:color w:val="000000"/>
                          <w:sz w:val="40"/>
                          <w:szCs w:val="40"/>
                          <w:lang w:eastAsia="zh-CN"/>
                        </w:rPr>
                        <w:t>九</w:t>
                      </w:r>
                      <w:r>
                        <w:rPr>
                          <w:rFonts w:hint="eastAsia" w:ascii="楷体_GB2312" w:hAnsi="楷体_GB2312" w:eastAsia="楷体_GB2312" w:cs="楷体_GB2312"/>
                          <w:color w:val="000000"/>
                          <w:sz w:val="40"/>
                          <w:szCs w:val="40"/>
                        </w:rPr>
                        <w:t>月</w:t>
                      </w:r>
                    </w:p>
                  </w:txbxContent>
                </v:textbox>
              </v:shape>
            </w:pict>
          </mc:Fallback>
        </mc:AlternateContent>
      </w:r>
      <w:r>
        <mc:AlternateContent>
          <mc:Choice Requires="wps">
            <w:drawing>
              <wp:anchor distT="0" distB="0" distL="114300" distR="114300" simplePos="0" relativeHeight="251660288" behindDoc="0" locked="0" layoutInCell="1" allowOverlap="1">
                <wp:simplePos x="0" y="0"/>
                <wp:positionH relativeFrom="column">
                  <wp:posOffset>-253365</wp:posOffset>
                </wp:positionH>
                <wp:positionV relativeFrom="paragraph">
                  <wp:posOffset>1611630</wp:posOffset>
                </wp:positionV>
                <wp:extent cx="5494020" cy="570230"/>
                <wp:effectExtent l="0" t="0" r="0" b="0"/>
                <wp:wrapNone/>
                <wp:docPr id="98" name="文本框 33"/>
                <wp:cNvGraphicFramePr/>
                <a:graphic xmlns:a="http://schemas.openxmlformats.org/drawingml/2006/main">
                  <a:graphicData uri="http://schemas.microsoft.com/office/word/2010/wordprocessingShape">
                    <wps:wsp>
                      <wps:cNvSpPr txBox="1"/>
                      <wps:spPr>
                        <a:xfrm>
                          <a:off x="0" y="0"/>
                          <a:ext cx="5494020" cy="570230"/>
                        </a:xfrm>
                        <a:prstGeom prst="rect">
                          <a:avLst/>
                        </a:prstGeom>
                        <a:noFill/>
                      </wps:spPr>
                      <wps:txbx>
                        <w:txbxContent>
                          <w:p>
                            <w:pPr>
                              <w:jc w:val="distribute"/>
                              <w:rPr>
                                <w:rFonts w:ascii="思源黑体 CN Heavy" w:hAnsi="思源黑体 CN Heavy" w:eastAsia="思源黑体 CN Heavy"/>
                                <w:color w:val="A6A6A6" w:themeColor="background1" w:themeShade="A6"/>
                                <w:kern w:val="0"/>
                                <w:sz w:val="40"/>
                                <w:szCs w:val="40"/>
                              </w:rPr>
                            </w:pPr>
                          </w:p>
                        </w:txbxContent>
                      </wps:txbx>
                      <wps:bodyPr wrap="square" rtlCol="0">
                        <a:noAutofit/>
                      </wps:bodyPr>
                    </wps:wsp>
                  </a:graphicData>
                </a:graphic>
              </wp:anchor>
            </w:drawing>
          </mc:Choice>
          <mc:Fallback>
            <w:pict>
              <v:shape id="文本框 33" o:spid="_x0000_s1026" o:spt="202" type="#_x0000_t202" style="position:absolute;left:0pt;margin-left:-19.95pt;margin-top:126.9pt;height:44.9pt;width:432.6pt;z-index:251660288;mso-width-relative:page;mso-height-relative:page;" filled="f" stroked="f" coordsize="21600,21600" o:gfxdata="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">
                <v:fill on="f" focussize="0,0"/>
                <v:stroke on="f"/>
                <v:imagedata o:title=""/>
                <o:lock v:ext="edit" aspectratio="f"/>
                <v:textbox>
                  <w:txbxContent>
                    <w:p>
                      <w:pPr>
                        <w:jc w:val="distribute"/>
                        <w:rPr>
                          <w:rFonts w:ascii="思源黑体 CN Heavy" w:hAnsi="思源黑体 CN Heavy" w:eastAsia="思源黑体 CN Heavy"/>
                          <w:color w:val="A6A6A6" w:themeColor="background1" w:themeShade="A6"/>
                          <w:kern w:val="0"/>
                          <w:sz w:val="40"/>
                          <w:szCs w:val="40"/>
                        </w:rPr>
                      </w:pPr>
                    </w:p>
                  </w:txbxContent>
                </v:textbox>
              </v:shape>
            </w:pict>
          </mc:Fallback>
        </mc:AlternateContent>
      </w:r>
      <w:r>
        <w:drawing>
          <wp:anchor distT="0" distB="0" distL="114300" distR="114300" simplePos="0" relativeHeight="251659264" behindDoc="0" locked="0" layoutInCell="1" allowOverlap="1">
            <wp:simplePos x="0" y="0"/>
            <wp:positionH relativeFrom="margin">
              <wp:posOffset>-2810510</wp:posOffset>
            </wp:positionH>
            <wp:positionV relativeFrom="margin">
              <wp:posOffset>304165</wp:posOffset>
            </wp:positionV>
            <wp:extent cx="11083290" cy="7844790"/>
            <wp:effectExtent l="0" t="0" r="3810" b="3810"/>
            <wp:wrapNone/>
            <wp:docPr id="73" name="背景 耗崽"/>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 name="背景 耗崽"/>
                    <pic:cNvPicPr>
                      <a:picLocks noChangeAspect="1"/>
                    </pic:cNvPicPr>
                  </pic:nvPicPr>
                  <pic:blipFill>
                    <a:blip r:embed="rId15">
                      <a:extLst>
                        <a:ext uri="{28A0092B-C50C-407E-A947-70E740481C1C}">
                          <a14:useLocalDpi xmlns:a14="http://schemas.microsoft.com/office/drawing/2010/main" val="0"/>
                        </a:ext>
                      </a:extLst>
                    </a:blip>
                    <a:stretch>
                      <a:fillRect/>
                    </a:stretch>
                  </pic:blipFill>
                  <pic:spPr>
                    <a:xfrm rot="16200000">
                      <a:off x="0" y="0"/>
                      <a:ext cx="11083290" cy="7844790"/>
                    </a:xfrm>
                    <a:prstGeom prst="rect">
                      <a:avLst/>
                    </a:prstGeom>
                  </pic:spPr>
                </pic:pic>
              </a:graphicData>
            </a:graphic>
          </wp:anchor>
        </w:drawing>
      </w:r>
      <w:r>
        <w:br w:type="page"/>
      </w:r>
    </w:p>
    <w:p>
      <w:pPr>
        <w:rPr>
          <w:rFonts w:ascii="黑体" w:hAnsi="黑体" w:eastAsia="黑体" w:cs="黑体"/>
          <w:b/>
          <w:bCs/>
          <w:sz w:val="72"/>
          <w:szCs w:val="96"/>
        </w:rPr>
      </w:pPr>
    </w:p>
    <w:p>
      <w:pPr>
        <w:rPr>
          <w:rFonts w:ascii="黑体" w:hAnsi="黑体" w:eastAsia="黑体" w:cs="黑体"/>
          <w:b/>
          <w:bCs/>
          <w:sz w:val="72"/>
          <w:szCs w:val="96"/>
        </w:rPr>
      </w:pPr>
    </w:p>
    <w:p>
      <w:pPr>
        <w:rPr>
          <w:rFonts w:ascii="黑体" w:hAnsi="黑体" w:eastAsia="黑体" w:cs="黑体"/>
          <w:b/>
          <w:bCs/>
          <w:sz w:val="72"/>
          <w:szCs w:val="96"/>
        </w:rPr>
      </w:pPr>
      <w:r>
        <w:rPr>
          <w:rFonts w:hint="eastAsia" w:ascii="黑体" w:hAnsi="黑体" w:eastAsia="黑体" w:cs="黑体"/>
          <w:b/>
          <w:bCs/>
          <w:sz w:val="72"/>
          <w:szCs w:val="96"/>
        </w:rPr>
        <w:t>2023年度部门决算公开文本</w:t>
      </w:r>
      <w:bookmarkStart w:id="0" w:name="_GoBack"/>
      <w:bookmarkEnd w:id="0"/>
    </w:p>
    <w:p>
      <w:pPr>
        <w:spacing w:line="600" w:lineRule="auto"/>
        <w:jc w:val="both"/>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480" w:lineRule="auto"/>
        <w:jc w:val="both"/>
        <w:rPr>
          <w:rFonts w:ascii="黑体" w:hAnsi="黑体" w:eastAsia="黑体" w:cs="黑体"/>
          <w:sz w:val="56"/>
          <w:szCs w:val="72"/>
        </w:rPr>
      </w:pPr>
    </w:p>
    <w:p>
      <w:pPr>
        <w:pStyle w:val="2"/>
        <w:rPr>
          <w:rFonts w:ascii="黑体" w:hAnsi="黑体" w:eastAsia="黑体" w:cs="黑体"/>
          <w:sz w:val="56"/>
          <w:szCs w:val="72"/>
        </w:rPr>
      </w:pPr>
    </w:p>
    <w:p>
      <w:pPr>
        <w:pStyle w:val="2"/>
        <w:rPr>
          <w:rFonts w:ascii="黑体" w:hAnsi="黑体" w:eastAsia="黑体" w:cs="黑体"/>
          <w:sz w:val="56"/>
          <w:szCs w:val="72"/>
        </w:rPr>
      </w:pPr>
    </w:p>
    <w:p>
      <w:pPr>
        <w:spacing w:line="480" w:lineRule="auto"/>
        <w:jc w:val="center"/>
        <w:rPr>
          <w:rFonts w:ascii="黑体" w:hAnsi="黑体" w:eastAsia="黑体" w:cs="黑体"/>
          <w:sz w:val="56"/>
          <w:szCs w:val="72"/>
        </w:rPr>
      </w:pPr>
    </w:p>
    <w:p>
      <w:pPr>
        <w:snapToGrid w:val="0"/>
        <w:jc w:val="center"/>
        <w:outlineLvl w:val="0"/>
        <w:rPr>
          <w:rFonts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石家庄市数据资源管理局（汇总）</w:t>
      </w:r>
    </w:p>
    <w:p>
      <w:pPr>
        <w:snapToGrid w:val="0"/>
        <w:jc w:val="center"/>
        <w:rPr>
          <w:rFonts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sectPr>
          <w:footerReference r:id="rId3" w:type="default"/>
          <w:pgSz w:w="11906" w:h="16838"/>
          <w:pgMar w:top="2041" w:right="1417" w:bottom="2041" w:left="1417" w:header="851" w:footer="992" w:gutter="0"/>
          <w:cols w:space="0" w:num="1"/>
          <w:titlePg/>
          <w:docGrid w:type="lines" w:linePitch="312" w:charSpace="0"/>
        </w:sectPr>
      </w:pP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二〇二四年</w:t>
      </w:r>
      <w:r>
        <w:rPr>
          <w:rFonts w:hint="eastAsia" w:ascii="楷体_GB2312" w:hAnsi="楷体_GB2312" w:eastAsia="楷体_GB2312" w:cs="楷体_GB2312"/>
          <w:color w:val="000000" w:themeColor="text1"/>
          <w:kern w:val="0"/>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九</w:t>
      </w: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月</w:t>
      </w:r>
    </w:p>
    <w:p>
      <w:pPr>
        <w:tabs>
          <w:tab w:val="left" w:pos="2728"/>
        </w:tabs>
        <w:jc w:val="center"/>
        <w:rPr>
          <w:rFonts w:ascii="黑体" w:hAnsi="Times New Roman" w:eastAsia="黑体" w:cs="Times New Roman"/>
          <w:sz w:val="44"/>
          <w:szCs w:val="44"/>
        </w:rPr>
      </w:pPr>
      <w:r>
        <w:rPr>
          <w:rFonts w:hint="eastAsia" w:ascii="黑体" w:hAnsi="Times New Roman" w:eastAsia="黑体" w:cs="Times New Roman"/>
          <w:sz w:val="44"/>
          <w:szCs w:val="44"/>
        </w:rPr>
        <w:t>目    录</w:t>
      </w: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outlineLvl w:val="0"/>
        <w:rPr>
          <w:rFonts w:ascii="Times New Roman" w:hAnsi="Times New Roman" w:eastAsia="仿宋_GB2312" w:cs="Times New Roman"/>
          <w:sz w:val="24"/>
          <w:szCs w:val="32"/>
        </w:rPr>
      </w:pPr>
      <w:r>
        <w:rPr>
          <w:rFonts w:ascii="Times New Roman" w:hAnsi="Times New Roman" w:eastAsia="黑体" w:cs="Times New Roman"/>
          <w:sz w:val="32"/>
          <w:szCs w:val="32"/>
        </w:rPr>
        <w:t>第一部分   部门概况</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一、部门</w:t>
      </w:r>
      <w:r>
        <w:rPr>
          <w:rFonts w:hint="eastAsia" w:ascii="Times New Roman" w:hAnsi="Times New Roman" w:eastAsia="仿宋_GB2312" w:cs="Times New Roman"/>
          <w:sz w:val="32"/>
          <w:szCs w:val="32"/>
        </w:rPr>
        <w:t>职责</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二、</w:t>
      </w:r>
      <w:r>
        <w:rPr>
          <w:rFonts w:hint="eastAsia" w:ascii="Times New Roman" w:hAnsi="Times New Roman" w:eastAsia="仿宋_GB2312" w:cs="Times New Roman"/>
          <w:sz w:val="32"/>
          <w:szCs w:val="32"/>
        </w:rPr>
        <w:t>机构设置</w:t>
      </w:r>
    </w:p>
    <w:p>
      <w:pPr>
        <w:widowControl/>
        <w:spacing w:after="160" w:line="580" w:lineRule="exact"/>
        <w:ind w:firstLine="640" w:firstLineChars="200"/>
        <w:outlineLvl w:val="0"/>
        <w:rPr>
          <w:rFonts w:ascii="Times New Roman" w:hAnsi="Times New Roman" w:eastAsia="黑体" w:cs="Times New Roman"/>
          <w:sz w:val="32"/>
          <w:szCs w:val="32"/>
        </w:rPr>
      </w:pPr>
      <w:r>
        <w:rPr>
          <w:rFonts w:ascii="Times New Roman" w:hAnsi="Times New Roman" w:eastAsia="黑体" w:cs="Times New Roman"/>
          <w:sz w:val="32"/>
          <w:szCs w:val="32"/>
        </w:rPr>
        <w:t>第二部分</w:t>
      </w:r>
      <w:r>
        <w:rPr>
          <w:rFonts w:hint="eastAsia" w:ascii="Times New Roman" w:hAnsi="Times New Roman" w:eastAsia="黑体" w:cs="Times New Roman"/>
          <w:sz w:val="32"/>
          <w:szCs w:val="32"/>
        </w:rPr>
        <w:t xml:space="preserve">   2023年</w:t>
      </w:r>
      <w:r>
        <w:rPr>
          <w:rFonts w:ascii="Times New Roman" w:hAnsi="Times New Roman" w:eastAsia="黑体" w:cs="Times New Roman"/>
          <w:sz w:val="32"/>
          <w:szCs w:val="32"/>
        </w:rPr>
        <w:t>度部门决算报表</w:t>
      </w:r>
    </w:p>
    <w:p>
      <w:pPr>
        <w:widowControl/>
        <w:spacing w:after="160" w:line="580" w:lineRule="exact"/>
        <w:ind w:firstLine="1280" w:firstLineChars="400"/>
        <w:rPr>
          <w:rFonts w:ascii="Times New Roman" w:hAnsi="Times New Roman" w:eastAsia="仿宋_GB2312" w:cs="Times New Roman"/>
          <w:sz w:val="32"/>
          <w:szCs w:val="32"/>
        </w:rPr>
      </w:pPr>
      <w:r>
        <w:rPr>
          <w:rFonts w:ascii="Times New Roman" w:hAnsi="Times New Roman" w:eastAsia="仿宋_GB2312" w:cs="Times New Roman"/>
          <w:sz w:val="32"/>
          <w:szCs w:val="32"/>
        </w:rPr>
        <w:t>一、</w:t>
      </w:r>
      <w:r>
        <w:rPr>
          <w:rFonts w:hint="eastAsia" w:ascii="Times New Roman" w:hAnsi="Times New Roman" w:eastAsia="仿宋_GB2312" w:cs="Times New Roman"/>
          <w:sz w:val="32"/>
          <w:szCs w:val="32"/>
        </w:rPr>
        <w:t>收入支出决算总表</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w:t>
      </w:r>
      <w:r>
        <w:rPr>
          <w:rFonts w:hint="eastAsia" w:ascii="Times New Roman" w:hAnsi="Times New Roman" w:eastAsia="仿宋_GB2312" w:cs="Times New Roman"/>
          <w:sz w:val="32"/>
          <w:szCs w:val="32"/>
        </w:rPr>
        <w:t>表</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w:t>
      </w:r>
      <w:r>
        <w:rPr>
          <w:rFonts w:hint="eastAsia" w:ascii="Times New Roman" w:hAnsi="Times New Roman" w:eastAsia="仿宋_GB2312" w:cs="Times New Roman"/>
          <w:sz w:val="32"/>
          <w:szCs w:val="32"/>
        </w:rPr>
        <w:t>表</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w:t>
      </w:r>
      <w:r>
        <w:rPr>
          <w:rFonts w:hint="eastAsia" w:ascii="Times New Roman" w:hAnsi="Times New Roman" w:eastAsia="仿宋_GB2312" w:cs="Times New Roman"/>
          <w:sz w:val="32"/>
          <w:szCs w:val="32"/>
        </w:rPr>
        <w:t>财政拨款收入支出决算总表</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五、一般公共预算财政拨款支出决算表</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六、一般公共预算财政拨款基本支出决算明细表</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七、政府性基金预算财政拨款收入支出决算表</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八</w:t>
      </w:r>
      <w:r>
        <w:rPr>
          <w:rFonts w:ascii="Times New Roman" w:hAnsi="Times New Roman" w:eastAsia="仿宋_GB2312" w:cs="Times New Roman"/>
          <w:sz w:val="32"/>
          <w:szCs w:val="32"/>
        </w:rPr>
        <w:t>、</w:t>
      </w:r>
      <w:r>
        <w:rPr>
          <w:rFonts w:hint="eastAsia" w:ascii="Times New Roman" w:hAnsi="Times New Roman" w:eastAsia="仿宋_GB2312" w:cs="Times New Roman"/>
          <w:sz w:val="32"/>
          <w:szCs w:val="32"/>
        </w:rPr>
        <w:t>国有资本经营预算财政拨款支出决算表</w:t>
      </w:r>
    </w:p>
    <w:p>
      <w:pPr>
        <w:widowControl/>
        <w:spacing w:after="160" w:line="580" w:lineRule="exact"/>
        <w:ind w:left="640" w:firstLine="640" w:firstLineChars="200"/>
        <w:rPr>
          <w:rFonts w:ascii="Times New Roman" w:hAnsi="Times New Roman" w:eastAsia="仿宋_GB2312" w:cs="Times New Roman"/>
          <w:sz w:val="20"/>
          <w:szCs w:val="32"/>
        </w:rPr>
      </w:pPr>
      <w:r>
        <w:rPr>
          <w:rFonts w:hint="eastAsia" w:ascii="Times New Roman" w:hAnsi="Times New Roman" w:eastAsia="仿宋_GB2312" w:cs="Times New Roman"/>
          <w:sz w:val="32"/>
          <w:szCs w:val="32"/>
        </w:rPr>
        <w:t>九、财政拨款“三公”经费支出决算表</w:t>
      </w:r>
    </w:p>
    <w:p>
      <w:pPr>
        <w:widowControl/>
        <w:spacing w:after="160" w:line="580" w:lineRule="exact"/>
        <w:ind w:firstLine="640" w:firstLineChars="200"/>
        <w:outlineLvl w:val="0"/>
        <w:rPr>
          <w:rFonts w:ascii="Times New Roman" w:hAnsi="Times New Roman" w:eastAsia="黑体" w:cs="Times New Roman"/>
          <w:sz w:val="32"/>
          <w:szCs w:val="32"/>
        </w:rPr>
      </w:pPr>
      <w:r>
        <w:rPr>
          <w:rFonts w:ascii="Times New Roman" w:hAnsi="Times New Roman" w:eastAsia="黑体" w:cs="Times New Roman"/>
          <w:sz w:val="32"/>
          <w:szCs w:val="32"/>
        </w:rPr>
        <w:t xml:space="preserve">第三部分   </w:t>
      </w:r>
      <w:r>
        <w:rPr>
          <w:rFonts w:hint="eastAsia" w:ascii="Times New Roman" w:hAnsi="Times New Roman" w:eastAsia="黑体" w:cs="Times New Roman"/>
          <w:sz w:val="32"/>
          <w:szCs w:val="32"/>
        </w:rPr>
        <w:t>2023年度</w:t>
      </w:r>
      <w:r>
        <w:rPr>
          <w:rFonts w:ascii="Times New Roman" w:hAnsi="Times New Roman" w:eastAsia="黑体" w:cs="Times New Roman"/>
          <w:sz w:val="32"/>
          <w:szCs w:val="32"/>
        </w:rPr>
        <w:t>部门决算情况说明</w:t>
      </w:r>
    </w:p>
    <w:p>
      <w:pPr>
        <w:widowControl/>
        <w:spacing w:after="160" w:line="580" w:lineRule="exact"/>
        <w:ind w:firstLine="1280" w:firstLineChars="400"/>
        <w:rPr>
          <w:rFonts w:ascii="Times New Roman" w:hAnsi="Times New Roman" w:eastAsia="仿宋_GB2312" w:cs="Times New Roman"/>
          <w:sz w:val="32"/>
          <w:szCs w:val="32"/>
        </w:rPr>
      </w:pPr>
      <w:r>
        <w:rPr>
          <w:rFonts w:ascii="Times New Roman" w:hAnsi="Times New Roman" w:eastAsia="仿宋_GB2312" w:cs="Times New Roman"/>
          <w:sz w:val="32"/>
          <w:szCs w:val="32"/>
        </w:rPr>
        <w:t>一、</w:t>
      </w:r>
      <w:r>
        <w:rPr>
          <w:rFonts w:hint="eastAsia" w:ascii="Times New Roman" w:hAnsi="Times New Roman" w:eastAsia="仿宋_GB2312" w:cs="Times New Roman"/>
          <w:sz w:val="32"/>
          <w:szCs w:val="32"/>
        </w:rPr>
        <w:t>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四、财政拨款收入支出决算总体情况说明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五、财政拨款“三公” 经费支出决算情况说明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六、机关运行经费支出说明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七、政府采购支出说明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八、国有资产占用情况说明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九、预算绩效情况说明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十、其他需要说明的情况</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w:t>
      </w:r>
      <w:r>
        <w:rPr>
          <w:rFonts w:hint="eastAsia" w:ascii="Times New Roman" w:hAnsi="Times New Roman" w:eastAsia="黑体" w:cs="Times New Roman"/>
          <w:sz w:val="32"/>
          <w:szCs w:val="32"/>
        </w:rPr>
        <w:t>四</w:t>
      </w:r>
      <w:r>
        <w:rPr>
          <w:rFonts w:ascii="Times New Roman" w:hAnsi="Times New Roman" w:eastAsia="黑体" w:cs="Times New Roman"/>
          <w:sz w:val="32"/>
          <w:szCs w:val="32"/>
        </w:rPr>
        <w:t>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名词解释</w:t>
      </w:r>
    </w:p>
    <w:p>
      <w:pPr>
        <w:widowControl/>
        <w:spacing w:after="160" w:line="580" w:lineRule="exact"/>
        <w:ind w:firstLine="640" w:firstLineChars="200"/>
        <w:rPr>
          <w:rFonts w:ascii="Times New Roman" w:hAnsi="Times New Roman" w:eastAsia="黑体" w:cs="Times New Roman"/>
          <w:sz w:val="32"/>
          <w:szCs w:val="32"/>
        </w:rPr>
        <w:sectPr>
          <w:headerReference r:id="rId5" w:type="first"/>
          <w:footerReference r:id="rId7" w:type="first"/>
          <w:headerReference r:id="rId4" w:type="default"/>
          <w:footerReference r:id="rId6" w:type="default"/>
          <w:pgSz w:w="11906" w:h="16838"/>
          <w:pgMar w:top="1474" w:right="1531" w:bottom="1474" w:left="1531" w:header="851" w:footer="992" w:gutter="0"/>
          <w:cols w:space="0" w:num="1"/>
          <w:titlePg/>
          <w:docGrid w:type="lines" w:linePitch="312" w:charSpace="0"/>
        </w:sectPr>
      </w:pPr>
    </w:p>
    <w:p>
      <w:pPr>
        <w:widowControl/>
        <w:jc w:val="center"/>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第一部分  部门概况</w:t>
      </w:r>
    </w:p>
    <w:p>
      <w:pPr>
        <w:widowControl/>
        <w:spacing w:line="580" w:lineRule="exact"/>
        <w:ind w:firstLine="640" w:firstLineChars="200"/>
        <w:rPr>
          <w:rFonts w:eastAsia="黑体"/>
          <w:sz w:val="32"/>
          <w:szCs w:val="32"/>
        </w:rPr>
      </w:pPr>
    </w:p>
    <w:p>
      <w:pPr>
        <w:pStyle w:val="3"/>
        <w:spacing w:before="0" w:after="0" w:line="580" w:lineRule="exact"/>
        <w:ind w:firstLine="640" w:firstLineChars="200"/>
        <w:jc w:val="left"/>
        <w:outlineLvl w:val="1"/>
        <w:rPr>
          <w:rFonts w:ascii="黑体" w:eastAsia="黑体" w:cs="黑体"/>
          <w:b w:val="0"/>
          <w:bCs w:val="0"/>
          <w:kern w:val="0"/>
          <w:sz w:val="32"/>
          <w:szCs w:val="32"/>
        </w:rPr>
      </w:pPr>
      <w:r>
        <w:rPr>
          <w:rFonts w:hint="eastAsia" w:ascii="黑体" w:eastAsia="黑体" w:cs="黑体"/>
          <w:b w:val="0"/>
          <w:bCs w:val="0"/>
          <w:kern w:val="0"/>
          <w:sz w:val="32"/>
          <w:szCs w:val="32"/>
        </w:rPr>
        <w:t>一、部门职责</w:t>
      </w:r>
    </w:p>
    <w:p>
      <w:pPr>
        <w:spacing w:line="580" w:lineRule="exact"/>
        <w:ind w:firstLine="640" w:firstLineChars="200"/>
        <w:rPr>
          <w:rFonts w:hint="eastAsia" w:ascii="仿宋_GB2312" w:hAnsi="Calibri" w:eastAsia="仿宋_GB2312" w:cs="ArialUnicodeMS"/>
          <w:kern w:val="0"/>
          <w:sz w:val="32"/>
          <w:szCs w:val="32"/>
        </w:rPr>
      </w:pPr>
      <w:r>
        <w:rPr>
          <w:rFonts w:hint="eastAsia" w:ascii="仿宋_GB2312" w:hAnsi="Calibri" w:eastAsia="仿宋_GB2312" w:cs="ArialUnicodeMS"/>
          <w:kern w:val="0"/>
          <w:sz w:val="32"/>
          <w:szCs w:val="32"/>
          <w:lang w:val="en-US" w:eastAsia="zh-CN"/>
        </w:rPr>
        <w:t xml:space="preserve">（一）贯彻执行国家、省有关电子政务、智慧城市、政务服务和数据资源管理的方针政策和法律法规，起草相关地方性法规、政府规章草案，拟订全市数据资源管理发展规划、年度计划、政策措施和评价体系并组织实施。 </w:t>
      </w:r>
    </w:p>
    <w:p>
      <w:pPr>
        <w:spacing w:line="580" w:lineRule="exact"/>
        <w:ind w:firstLine="640" w:firstLineChars="200"/>
        <w:rPr>
          <w:rFonts w:hint="eastAsia" w:ascii="仿宋_GB2312" w:hAnsi="Calibri" w:eastAsia="仿宋_GB2312" w:cs="ArialUnicodeMS"/>
          <w:kern w:val="0"/>
          <w:sz w:val="32"/>
          <w:szCs w:val="32"/>
        </w:rPr>
      </w:pPr>
      <w:r>
        <w:rPr>
          <w:rFonts w:hint="eastAsia" w:ascii="仿宋_GB2312" w:hAnsi="Calibri" w:eastAsia="仿宋_GB2312" w:cs="ArialUnicodeMS"/>
          <w:kern w:val="0"/>
          <w:sz w:val="32"/>
          <w:szCs w:val="32"/>
          <w:lang w:val="en-US" w:eastAsia="zh-CN"/>
        </w:rPr>
        <w:t xml:space="preserve">（二）组织实施国家和地方数据技术标准；研究制定我市数据资源采集、存储、使用、开放、共享等标准规范并监督实施。 </w:t>
      </w:r>
    </w:p>
    <w:p>
      <w:pPr>
        <w:spacing w:line="580" w:lineRule="exact"/>
        <w:ind w:firstLine="640" w:firstLineChars="200"/>
        <w:rPr>
          <w:rFonts w:hint="eastAsia" w:ascii="仿宋_GB2312" w:hAnsi="Calibri" w:eastAsia="仿宋_GB2312" w:cs="ArialUnicodeMS"/>
          <w:kern w:val="0"/>
          <w:sz w:val="32"/>
          <w:szCs w:val="32"/>
        </w:rPr>
      </w:pPr>
      <w:r>
        <w:rPr>
          <w:rFonts w:hint="eastAsia" w:ascii="仿宋_GB2312" w:hAnsi="Calibri" w:eastAsia="仿宋_GB2312" w:cs="ArialUnicodeMS"/>
          <w:kern w:val="0"/>
          <w:sz w:val="32"/>
          <w:szCs w:val="32"/>
          <w:lang w:val="en-US" w:eastAsia="zh-CN"/>
        </w:rPr>
        <w:t>（三）会同政务服务管理部门做好</w:t>
      </w:r>
      <w:r>
        <w:rPr>
          <w:rFonts w:hint="default" w:ascii="仿宋_GB2312" w:hAnsi="Calibri" w:eastAsia="仿宋_GB2312" w:cs="ArialUnicodeMS"/>
          <w:kern w:val="0"/>
          <w:sz w:val="32"/>
          <w:szCs w:val="32"/>
          <w:lang w:val="en-US" w:eastAsia="zh-CN"/>
        </w:rPr>
        <w:t>“</w:t>
      </w:r>
      <w:r>
        <w:rPr>
          <w:rFonts w:hint="eastAsia" w:ascii="仿宋_GB2312" w:hAnsi="Calibri" w:eastAsia="仿宋_GB2312" w:cs="ArialUnicodeMS"/>
          <w:kern w:val="0"/>
          <w:sz w:val="32"/>
          <w:szCs w:val="32"/>
          <w:lang w:val="en-US" w:eastAsia="zh-CN"/>
        </w:rPr>
        <w:t>互联网</w:t>
      </w:r>
      <w:r>
        <w:rPr>
          <w:rFonts w:hint="default" w:ascii="仿宋_GB2312" w:hAnsi="Calibri" w:eastAsia="仿宋_GB2312" w:cs="ArialUnicodeMS"/>
          <w:kern w:val="0"/>
          <w:sz w:val="32"/>
          <w:szCs w:val="32"/>
          <w:lang w:val="en-US" w:eastAsia="zh-CN"/>
        </w:rPr>
        <w:t>+</w:t>
      </w:r>
      <w:r>
        <w:rPr>
          <w:rFonts w:hint="eastAsia" w:ascii="仿宋_GB2312" w:hAnsi="Calibri" w:eastAsia="仿宋_GB2312" w:cs="ArialUnicodeMS"/>
          <w:kern w:val="0"/>
          <w:sz w:val="32"/>
          <w:szCs w:val="32"/>
          <w:lang w:val="en-US" w:eastAsia="zh-CN"/>
        </w:rPr>
        <w:t>政务服务</w:t>
      </w:r>
      <w:r>
        <w:rPr>
          <w:rFonts w:hint="default" w:ascii="仿宋_GB2312" w:hAnsi="Calibri" w:eastAsia="仿宋_GB2312" w:cs="ArialUnicodeMS"/>
          <w:kern w:val="0"/>
          <w:sz w:val="32"/>
          <w:szCs w:val="32"/>
          <w:lang w:val="en-US" w:eastAsia="zh-CN"/>
        </w:rPr>
        <w:t>”</w:t>
      </w:r>
      <w:r>
        <w:rPr>
          <w:rFonts w:hint="eastAsia" w:ascii="仿宋_GB2312" w:hAnsi="Calibri" w:eastAsia="仿宋_GB2312" w:cs="ArialUnicodeMS"/>
          <w:kern w:val="0"/>
          <w:sz w:val="32"/>
          <w:szCs w:val="32"/>
          <w:lang w:val="en-US" w:eastAsia="zh-CN"/>
        </w:rPr>
        <w:t xml:space="preserve">工作的规划及有关项目建设工作。负责在线政务服务平台建设。推进在线政务服务平台规范化、标准化、集约化建设。 </w:t>
      </w:r>
    </w:p>
    <w:p>
      <w:pPr>
        <w:spacing w:line="580" w:lineRule="exact"/>
        <w:ind w:firstLine="640" w:firstLineChars="200"/>
        <w:rPr>
          <w:rFonts w:hint="eastAsia" w:ascii="仿宋_GB2312" w:hAnsi="Calibri" w:eastAsia="仿宋_GB2312" w:cs="ArialUnicodeMS"/>
          <w:kern w:val="0"/>
          <w:sz w:val="32"/>
          <w:szCs w:val="32"/>
        </w:rPr>
      </w:pPr>
      <w:r>
        <w:rPr>
          <w:rFonts w:hint="eastAsia" w:ascii="仿宋_GB2312" w:hAnsi="Calibri" w:eastAsia="仿宋_GB2312" w:cs="ArialUnicodeMS"/>
          <w:kern w:val="0"/>
          <w:sz w:val="32"/>
          <w:szCs w:val="32"/>
          <w:lang w:val="en-US" w:eastAsia="zh-CN"/>
        </w:rPr>
        <w:t xml:space="preserve">（四）拟订全市政务数据和公共数据资源的目录制定、归集管理、整理利用、共享开放管理办法并组织实施，推动数据资源在政府管理和社会治理领域的应用。 </w:t>
      </w:r>
    </w:p>
    <w:p>
      <w:pPr>
        <w:spacing w:line="580" w:lineRule="exact"/>
        <w:ind w:firstLine="640" w:firstLineChars="200"/>
        <w:rPr>
          <w:rFonts w:hint="eastAsia" w:ascii="仿宋_GB2312" w:hAnsi="Calibri" w:eastAsia="仿宋_GB2312" w:cs="ArialUnicodeMS"/>
          <w:kern w:val="0"/>
          <w:sz w:val="32"/>
          <w:szCs w:val="32"/>
        </w:rPr>
      </w:pPr>
      <w:r>
        <w:rPr>
          <w:rFonts w:hint="eastAsia" w:ascii="仿宋_GB2312" w:hAnsi="Calibri" w:eastAsia="仿宋_GB2312" w:cs="ArialUnicodeMS"/>
          <w:kern w:val="0"/>
          <w:sz w:val="32"/>
          <w:szCs w:val="32"/>
          <w:lang w:val="en-US" w:eastAsia="zh-CN"/>
        </w:rPr>
        <w:t xml:space="preserve">（五）负责市电子政务组织推动工作，负责市政务网络建设管理和党政机关信息化应用建设指导，负责市级智慧城市项目建设和数据资源基础设施建设管理，提出各部门统筹安排市级信息化项目及资金的使用建议。 </w:t>
      </w:r>
    </w:p>
    <w:p>
      <w:pPr>
        <w:spacing w:line="580" w:lineRule="exact"/>
        <w:ind w:firstLine="640" w:firstLineChars="200"/>
        <w:rPr>
          <w:rFonts w:hint="eastAsia" w:ascii="仿宋_GB2312" w:hAnsi="Calibri" w:eastAsia="仿宋_GB2312" w:cs="ArialUnicodeMS"/>
          <w:kern w:val="0"/>
          <w:sz w:val="32"/>
          <w:szCs w:val="32"/>
        </w:rPr>
      </w:pPr>
      <w:r>
        <w:rPr>
          <w:rFonts w:hint="eastAsia" w:ascii="仿宋_GB2312" w:hAnsi="Calibri" w:eastAsia="仿宋_GB2312" w:cs="ArialUnicodeMS"/>
          <w:kern w:val="0"/>
          <w:sz w:val="32"/>
          <w:szCs w:val="32"/>
          <w:lang w:val="en-US" w:eastAsia="zh-CN"/>
        </w:rPr>
        <w:t xml:space="preserve">（六）负责全市数据资源、政务信息化领域的对外交流合作；会同有关部门做好全市数据资源、政务信息化人才培养等工作。 </w:t>
      </w:r>
    </w:p>
    <w:p>
      <w:pPr>
        <w:spacing w:line="580" w:lineRule="exact"/>
        <w:ind w:firstLine="640" w:firstLineChars="200"/>
        <w:rPr>
          <w:rFonts w:hint="eastAsia" w:ascii="仿宋_GB2312" w:hAnsi="Calibri" w:eastAsia="仿宋_GB2312" w:cs="ArialUnicodeMS"/>
          <w:kern w:val="0"/>
          <w:sz w:val="32"/>
          <w:szCs w:val="32"/>
        </w:rPr>
      </w:pPr>
      <w:r>
        <w:rPr>
          <w:rFonts w:hint="eastAsia" w:ascii="仿宋_GB2312" w:hAnsi="Calibri" w:eastAsia="仿宋_GB2312" w:cs="ArialUnicodeMS"/>
          <w:kern w:val="0"/>
          <w:sz w:val="32"/>
          <w:szCs w:val="32"/>
          <w:lang w:val="en-US" w:eastAsia="zh-CN"/>
        </w:rPr>
        <w:t xml:space="preserve">（七）负责指导全市经济社会各领域的数据资源开发利用工作，促进全市数据资源产业发展；负责数据资源相关技术研发、行业数据分析成果转化等工作。 </w:t>
      </w:r>
    </w:p>
    <w:p>
      <w:pPr>
        <w:spacing w:line="580" w:lineRule="exact"/>
        <w:ind w:firstLine="640" w:firstLineChars="200"/>
        <w:rPr>
          <w:rFonts w:hint="eastAsia" w:ascii="仿宋_GB2312" w:hAnsi="Calibri" w:eastAsia="仿宋_GB2312" w:cs="ArialUnicodeMS"/>
          <w:kern w:val="0"/>
          <w:sz w:val="32"/>
          <w:szCs w:val="32"/>
        </w:rPr>
      </w:pPr>
      <w:r>
        <w:rPr>
          <w:rFonts w:hint="eastAsia" w:ascii="仿宋_GB2312" w:hAnsi="Calibri" w:eastAsia="仿宋_GB2312" w:cs="ArialUnicodeMS"/>
          <w:kern w:val="0"/>
          <w:sz w:val="32"/>
          <w:szCs w:val="32"/>
          <w:lang w:val="en-US" w:eastAsia="zh-CN"/>
        </w:rPr>
        <w:t xml:space="preserve">（八）负责政府门户网站的建设与管理等工作，指导各县（市、区）政府和市直党政群机关门户网站建设。 </w:t>
      </w:r>
    </w:p>
    <w:p>
      <w:pPr>
        <w:spacing w:line="580" w:lineRule="exact"/>
        <w:ind w:firstLine="640" w:firstLineChars="200"/>
        <w:rPr>
          <w:rFonts w:hint="eastAsia" w:ascii="仿宋_GB2312" w:hAnsi="Calibri" w:eastAsia="仿宋_GB2312" w:cs="ArialUnicodeMS"/>
          <w:kern w:val="0"/>
          <w:sz w:val="32"/>
          <w:szCs w:val="32"/>
        </w:rPr>
      </w:pPr>
      <w:r>
        <w:rPr>
          <w:rFonts w:hint="eastAsia" w:ascii="仿宋_GB2312" w:hAnsi="Calibri" w:eastAsia="仿宋_GB2312" w:cs="ArialUnicodeMS"/>
          <w:kern w:val="0"/>
          <w:sz w:val="32"/>
          <w:szCs w:val="32"/>
          <w:lang w:val="en-US" w:eastAsia="zh-CN"/>
        </w:rPr>
        <w:t xml:space="preserve">（九）负责全市数据资源安全保障体系建设，会同有关部门指导各级各部门政务数据资源和公共数据资源的安全保障工作。 </w:t>
      </w:r>
    </w:p>
    <w:p>
      <w:pPr>
        <w:spacing w:line="580" w:lineRule="exact"/>
        <w:ind w:firstLine="640" w:firstLineChars="200"/>
        <w:outlineLvl w:val="2"/>
        <w:rPr>
          <w:rFonts w:hint="eastAsia" w:ascii="仿宋_GB2312" w:hAnsi="Calibri" w:eastAsia="仿宋_GB2312" w:cs="ArialUnicodeMS"/>
          <w:kern w:val="0"/>
          <w:sz w:val="32"/>
          <w:szCs w:val="32"/>
        </w:rPr>
      </w:pPr>
      <w:r>
        <w:rPr>
          <w:rFonts w:hint="eastAsia" w:ascii="仿宋_GB2312" w:hAnsi="Calibri" w:eastAsia="仿宋_GB2312" w:cs="ArialUnicodeMS"/>
          <w:kern w:val="0"/>
          <w:sz w:val="32"/>
          <w:szCs w:val="32"/>
          <w:lang w:val="en-US" w:eastAsia="zh-CN"/>
        </w:rPr>
        <w:t>（十）完成市委、市政府交办的其他任务。</w:t>
      </w:r>
    </w:p>
    <w:p>
      <w:pPr>
        <w:keepNext/>
        <w:keepLines/>
        <w:spacing w:line="580" w:lineRule="exact"/>
        <w:ind w:firstLine="640" w:firstLineChars="200"/>
        <w:jc w:val="left"/>
        <w:outlineLvl w:val="1"/>
        <w:rPr>
          <w:rFonts w:ascii="黑体" w:hAnsi="Calibri" w:eastAsia="黑体" w:cs="黑体"/>
          <w:kern w:val="0"/>
          <w:sz w:val="32"/>
          <w:szCs w:val="32"/>
        </w:rPr>
      </w:pPr>
      <w:r>
        <w:rPr>
          <w:rFonts w:hint="eastAsia" w:ascii="黑体" w:hAnsi="Calibri" w:eastAsia="黑体" w:cs="黑体"/>
          <w:kern w:val="0"/>
          <w:sz w:val="32"/>
          <w:szCs w:val="32"/>
        </w:rPr>
        <w:t>二、机构设置</w:t>
      </w:r>
    </w:p>
    <w:p>
      <w:pPr>
        <w:autoSpaceDE w:val="0"/>
        <w:autoSpaceDN w:val="0"/>
        <w:adjustRightInd w:val="0"/>
        <w:spacing w:line="580" w:lineRule="exact"/>
        <w:ind w:firstLine="640" w:firstLineChars="200"/>
        <w:jc w:val="left"/>
        <w:rPr>
          <w:rFonts w:hint="eastAsia" w:ascii="Times New Roman" w:hAnsi="Times New Roman" w:eastAsia="仿宋_GB2312" w:cs="Times New Roman"/>
          <w:color w:val="auto"/>
          <w:kern w:val="2"/>
          <w:sz w:val="32"/>
          <w:szCs w:val="32"/>
          <w:rtl w:val="0"/>
          <w:lang w:val="zh-CN" w:eastAsia="zh-CN"/>
        </w:rPr>
      </w:pPr>
      <w:r>
        <w:rPr>
          <w:rFonts w:hint="eastAsia" w:ascii="Times New Roman" w:hAnsi="Times New Roman" w:eastAsia="仿宋_GB2312" w:cs="Times New Roman"/>
          <w:color w:val="auto"/>
          <w:kern w:val="2"/>
          <w:sz w:val="32"/>
          <w:szCs w:val="32"/>
          <w:rtl w:val="0"/>
          <w:lang w:val="zh-CN" w:eastAsia="zh-CN"/>
        </w:rPr>
        <w:t>从决算编报单位构成看，纳入2023年度本部门决算汇编范围的独立核算单位（以下简称“单位”）共</w:t>
      </w:r>
      <w:r>
        <w:rPr>
          <w:rFonts w:hint="eastAsia" w:ascii="Times New Roman" w:hAnsi="Times New Roman" w:eastAsia="仿宋_GB2312" w:cs="Times New Roman"/>
          <w:color w:val="auto"/>
          <w:kern w:val="2"/>
          <w:sz w:val="32"/>
          <w:szCs w:val="32"/>
          <w:rtl w:val="0"/>
          <w:lang w:val="en-US" w:eastAsia="zh-CN"/>
        </w:rPr>
        <w:t>2</w:t>
      </w:r>
      <w:r>
        <w:rPr>
          <w:rFonts w:hint="eastAsia" w:ascii="Times New Roman" w:hAnsi="Times New Roman" w:eastAsia="仿宋_GB2312" w:cs="Times New Roman"/>
          <w:color w:val="auto"/>
          <w:kern w:val="2"/>
          <w:sz w:val="32"/>
          <w:szCs w:val="32"/>
          <w:rtl w:val="0"/>
          <w:lang w:val="zh-CN" w:eastAsia="zh-CN"/>
        </w:rPr>
        <w:t>个，具体情况如下：</w:t>
      </w:r>
    </w:p>
    <w:tbl>
      <w:tblPr>
        <w:tblStyle w:val="8"/>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249"/>
        <w:gridCol w:w="2512"/>
        <w:gridCol w:w="283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249"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512"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834"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1</w:t>
            </w:r>
          </w:p>
        </w:tc>
        <w:tc>
          <w:tcPr>
            <w:tcW w:w="3249" w:type="dxa"/>
          </w:tcPr>
          <w:p>
            <w:pPr>
              <w:spacing w:line="560" w:lineRule="exact"/>
              <w:jc w:val="center"/>
              <w:rPr>
                <w:rFonts w:hint="eastAsia" w:ascii="仿宋_GB2312" w:hAnsi="Calibri" w:eastAsia="仿宋_GB2312" w:cs="ArialUnicodeMS"/>
                <w:kern w:val="0"/>
                <w:sz w:val="28"/>
                <w:szCs w:val="28"/>
                <w:lang w:val="en-US" w:eastAsia="zh-CN"/>
              </w:rPr>
            </w:pPr>
            <w:r>
              <w:rPr>
                <w:rFonts w:hint="eastAsia" w:ascii="仿宋_GB2312" w:hAnsi="Calibri" w:eastAsia="仿宋_GB2312" w:cs="ArialUnicodeMS"/>
                <w:kern w:val="0"/>
                <w:sz w:val="28"/>
                <w:szCs w:val="28"/>
                <w:lang w:val="en-US" w:eastAsia="zh-CN"/>
              </w:rPr>
              <w:t>石家庄市数据资源</w:t>
            </w:r>
          </w:p>
          <w:p>
            <w:pPr>
              <w:spacing w:line="560" w:lineRule="exact"/>
              <w:jc w:val="center"/>
              <w:rPr>
                <w:rFonts w:hint="eastAsia"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管理局(本级)</w:t>
            </w:r>
          </w:p>
        </w:tc>
        <w:tc>
          <w:tcPr>
            <w:tcW w:w="2512" w:type="dxa"/>
            <w:vAlign w:val="center"/>
          </w:tcPr>
          <w:p>
            <w:pPr>
              <w:spacing w:line="560" w:lineRule="exact"/>
              <w:jc w:val="center"/>
              <w:rPr>
                <w:rFonts w:hint="eastAsia"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行政单位</w:t>
            </w:r>
          </w:p>
        </w:tc>
        <w:tc>
          <w:tcPr>
            <w:tcW w:w="2834" w:type="dxa"/>
            <w:vAlign w:val="center"/>
          </w:tcPr>
          <w:p>
            <w:pPr>
              <w:spacing w:line="560" w:lineRule="exact"/>
              <w:jc w:val="center"/>
              <w:rPr>
                <w:rFonts w:hint="eastAsia"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财政拨款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2</w:t>
            </w:r>
          </w:p>
        </w:tc>
        <w:tc>
          <w:tcPr>
            <w:tcW w:w="3249" w:type="dxa"/>
          </w:tcPr>
          <w:p>
            <w:pPr>
              <w:spacing w:line="560" w:lineRule="exact"/>
              <w:jc w:val="center"/>
              <w:rPr>
                <w:rFonts w:hint="eastAsia"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石家庄市电子政务中心</w:t>
            </w:r>
          </w:p>
        </w:tc>
        <w:tc>
          <w:tcPr>
            <w:tcW w:w="2512" w:type="dxa"/>
          </w:tcPr>
          <w:p>
            <w:pPr>
              <w:spacing w:line="560" w:lineRule="exact"/>
              <w:jc w:val="left"/>
              <w:rPr>
                <w:rFonts w:hint="eastAsia"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财政补助事业单位</w:t>
            </w:r>
          </w:p>
        </w:tc>
        <w:tc>
          <w:tcPr>
            <w:tcW w:w="2834" w:type="dxa"/>
          </w:tcPr>
          <w:p>
            <w:pPr>
              <w:spacing w:line="560" w:lineRule="exact"/>
              <w:jc w:val="left"/>
              <w:rPr>
                <w:rFonts w:hint="eastAsia"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财政性资金基本保证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580" w:type="dxa"/>
            <w:gridSpan w:val="4"/>
            <w:tcBorders>
              <w:top w:val="single" w:color="auto" w:sz="4" w:space="0"/>
              <w:left w:val="nil"/>
              <w:bottom w:val="nil"/>
              <w:right w:val="nil"/>
            </w:tcBorders>
          </w:tcPr>
          <w:p>
            <w:pPr>
              <w:spacing w:line="560" w:lineRule="exact"/>
              <w:ind w:firstLine="560" w:firstLineChars="200"/>
              <w:jc w:val="left"/>
              <w:rPr>
                <w:rFonts w:ascii="仿宋_GB2312" w:hAnsi="Calibri" w:eastAsia="仿宋_GB2312" w:cs="ArialUnicodeMS"/>
                <w:kern w:val="0"/>
                <w:sz w:val="28"/>
                <w:szCs w:val="28"/>
              </w:rPr>
            </w:pPr>
          </w:p>
        </w:tc>
      </w:tr>
    </w:tbl>
    <w:p>
      <w:pPr>
        <w:rPr>
          <w:rFonts w:ascii="Times New Roman" w:hAnsi="Times New Roman" w:eastAsia="黑体" w:cs="Times New Roman"/>
          <w:sz w:val="32"/>
          <w:szCs w:val="32"/>
          <w:highlight w:val="yellow"/>
        </w:rPr>
      </w:pPr>
      <w:r>
        <w:rPr>
          <w:rFonts w:hint="eastAsia" w:ascii="Times New Roman" w:hAnsi="Times New Roman" w:eastAsia="黑体" w:cs="Times New Roman"/>
          <w:sz w:val="32"/>
          <w:szCs w:val="32"/>
          <w:highlight w:val="yellow"/>
        </w:rPr>
        <w:br w:type="page"/>
      </w:r>
    </w:p>
    <w:p>
      <w:pPr>
        <w:widowControl/>
        <w:numPr>
          <w:ilvl w:val="0"/>
          <w:numId w:val="0"/>
        </w:numPr>
        <w:spacing w:after="312" w:afterLines="100" w:line="580" w:lineRule="exact"/>
        <w:jc w:val="center"/>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kern w:val="2"/>
          <w:sz w:val="44"/>
          <w:szCs w:val="44"/>
          <w:lang w:val="en-US" w:eastAsia="zh-CN" w:bidi="ar-SA"/>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第二部分</w:t>
      </w:r>
      <w:r>
        <w:rPr>
          <w:rFonts w:hint="eastAsia"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2023年度部门决算表</w:t>
      </w:r>
    </w:p>
    <w:p>
      <w:pPr>
        <w:jc w:val="center"/>
        <w:rPr>
          <w:rFonts w:ascii="宋体" w:hAnsi="宋体" w:eastAsia="宋体" w:cs="宋体"/>
          <w:b/>
          <w:bCs/>
          <w:color w:val="000000"/>
          <w:kern w:val="0"/>
          <w:sz w:val="24"/>
          <w:szCs w:val="24"/>
          <w:lang w:bidi="ar"/>
        </w:rPr>
      </w:pPr>
      <w:r>
        <w:drawing>
          <wp:inline distT="0" distB="0" distL="114300" distR="114300">
            <wp:extent cx="5687060" cy="6702425"/>
            <wp:effectExtent l="0" t="0" r="8890" b="3175"/>
            <wp:docPr id="5"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1"/>
                    <pic:cNvPicPr>
                      <a:picLocks noChangeAspect="1"/>
                    </pic:cNvPicPr>
                  </pic:nvPicPr>
                  <pic:blipFill>
                    <a:blip r:embed="rId16"/>
                    <a:stretch>
                      <a:fillRect/>
                    </a:stretch>
                  </pic:blipFill>
                  <pic:spPr>
                    <a:xfrm>
                      <a:off x="0" y="0"/>
                      <a:ext cx="5687060" cy="6702425"/>
                    </a:xfrm>
                    <a:prstGeom prst="rect">
                      <a:avLst/>
                    </a:prstGeom>
                    <a:noFill/>
                    <a:ln>
                      <a:noFill/>
                    </a:ln>
                  </pic:spPr>
                </pic:pic>
              </a:graphicData>
            </a:graphic>
          </wp:inline>
        </w:drawing>
      </w:r>
      <w:r>
        <w:rPr>
          <w:rFonts w:hint="eastAsia" w:ascii="宋体" w:hAnsi="宋体" w:eastAsia="宋体" w:cs="宋体"/>
          <w:b/>
          <w:bCs/>
          <w:color w:val="000000"/>
          <w:kern w:val="0"/>
          <w:sz w:val="24"/>
          <w:szCs w:val="24"/>
          <w:lang w:bidi="ar"/>
        </w:rPr>
        <w:br w:type="page"/>
      </w:r>
    </w:p>
    <w:p>
      <w:pPr>
        <w:sectPr>
          <w:headerReference r:id="rId8" w:type="default"/>
          <w:pgSz w:w="11906" w:h="16838"/>
          <w:pgMar w:top="1474" w:right="1474" w:bottom="1474" w:left="1474" w:header="851" w:footer="992" w:gutter="0"/>
          <w:cols w:space="0" w:num="1"/>
          <w:docGrid w:type="lines" w:linePitch="312" w:charSpace="0"/>
        </w:sectPr>
      </w:pPr>
      <w:r>
        <w:drawing>
          <wp:inline distT="0" distB="0" distL="114300" distR="114300">
            <wp:extent cx="5685155" cy="5767705"/>
            <wp:effectExtent l="0" t="0" r="10795" b="4445"/>
            <wp:docPr id="9"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2"/>
                    <pic:cNvPicPr>
                      <a:picLocks noChangeAspect="1"/>
                    </pic:cNvPicPr>
                  </pic:nvPicPr>
                  <pic:blipFill>
                    <a:blip r:embed="rId17"/>
                    <a:stretch>
                      <a:fillRect/>
                    </a:stretch>
                  </pic:blipFill>
                  <pic:spPr>
                    <a:xfrm>
                      <a:off x="0" y="0"/>
                      <a:ext cx="5685155" cy="5767705"/>
                    </a:xfrm>
                    <a:prstGeom prst="rect">
                      <a:avLst/>
                    </a:prstGeom>
                    <a:noFill/>
                    <a:ln>
                      <a:noFill/>
                    </a:ln>
                  </pic:spPr>
                </pic:pic>
              </a:graphicData>
            </a:graphic>
          </wp:inline>
        </w:drawing>
      </w:r>
    </w:p>
    <w:p>
      <w:pPr>
        <w:sectPr>
          <w:pgSz w:w="11906" w:h="16838"/>
          <w:pgMar w:top="1474" w:right="1474" w:bottom="1474" w:left="1474" w:header="851" w:footer="992" w:gutter="0"/>
          <w:cols w:space="0" w:num="1"/>
          <w:docGrid w:type="lines" w:linePitch="312" w:charSpace="0"/>
        </w:sectPr>
      </w:pPr>
      <w:r>
        <w:drawing>
          <wp:inline distT="0" distB="0" distL="114300" distR="114300">
            <wp:extent cx="5681980" cy="5655310"/>
            <wp:effectExtent l="0" t="0" r="13970" b="2540"/>
            <wp:docPr id="10"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3"/>
                    <pic:cNvPicPr>
                      <a:picLocks noChangeAspect="1"/>
                    </pic:cNvPicPr>
                  </pic:nvPicPr>
                  <pic:blipFill>
                    <a:blip r:embed="rId18"/>
                    <a:stretch>
                      <a:fillRect/>
                    </a:stretch>
                  </pic:blipFill>
                  <pic:spPr>
                    <a:xfrm>
                      <a:off x="0" y="0"/>
                      <a:ext cx="5681980" cy="5655310"/>
                    </a:xfrm>
                    <a:prstGeom prst="rect">
                      <a:avLst/>
                    </a:prstGeom>
                    <a:noFill/>
                    <a:ln>
                      <a:noFill/>
                    </a:ln>
                  </pic:spPr>
                </pic:pic>
              </a:graphicData>
            </a:graphic>
          </wp:inline>
        </w:drawing>
      </w:r>
    </w:p>
    <w:p>
      <w:pPr>
        <w:sectPr>
          <w:pgSz w:w="11906" w:h="16838"/>
          <w:pgMar w:top="1474" w:right="1474" w:bottom="1474" w:left="1474" w:header="851" w:footer="992" w:gutter="0"/>
          <w:cols w:space="0" w:num="1"/>
          <w:docGrid w:type="lines" w:linePitch="312" w:charSpace="0"/>
        </w:sectPr>
      </w:pPr>
      <w:r>
        <w:drawing>
          <wp:inline distT="0" distB="0" distL="114300" distR="114300">
            <wp:extent cx="5681345" cy="6007735"/>
            <wp:effectExtent l="0" t="0" r="14605" b="12065"/>
            <wp:docPr id="11"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4"/>
                    <pic:cNvPicPr>
                      <a:picLocks noChangeAspect="1"/>
                    </pic:cNvPicPr>
                  </pic:nvPicPr>
                  <pic:blipFill>
                    <a:blip r:embed="rId19"/>
                    <a:stretch>
                      <a:fillRect/>
                    </a:stretch>
                  </pic:blipFill>
                  <pic:spPr>
                    <a:xfrm>
                      <a:off x="0" y="0"/>
                      <a:ext cx="5681345" cy="6007735"/>
                    </a:xfrm>
                    <a:prstGeom prst="rect">
                      <a:avLst/>
                    </a:prstGeom>
                    <a:noFill/>
                    <a:ln>
                      <a:noFill/>
                    </a:ln>
                  </pic:spPr>
                </pic:pic>
              </a:graphicData>
            </a:graphic>
          </wp:inline>
        </w:drawing>
      </w:r>
    </w:p>
    <w:p>
      <w:pPr>
        <w:widowControl/>
        <w:jc w:val="center"/>
        <w:textAlignment w:val="center"/>
        <w:rPr>
          <w:rFonts w:ascii="华文中宋" w:hAnsi="华文中宋" w:eastAsia="华文中宋" w:cs="华文中宋"/>
          <w:color w:val="000000"/>
          <w:kern w:val="0"/>
          <w:sz w:val="32"/>
          <w:szCs w:val="32"/>
          <w:lang w:bidi="ar"/>
        </w:rPr>
      </w:pPr>
      <w:r>
        <w:drawing>
          <wp:inline distT="0" distB="0" distL="114300" distR="114300">
            <wp:extent cx="5683885" cy="6200140"/>
            <wp:effectExtent l="0" t="0" r="12065" b="10160"/>
            <wp:docPr id="16"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6"/>
                    <pic:cNvPicPr>
                      <a:picLocks noChangeAspect="1"/>
                    </pic:cNvPicPr>
                  </pic:nvPicPr>
                  <pic:blipFill>
                    <a:blip r:embed="rId20"/>
                    <a:stretch>
                      <a:fillRect/>
                    </a:stretch>
                  </pic:blipFill>
                  <pic:spPr>
                    <a:xfrm>
                      <a:off x="0" y="0"/>
                      <a:ext cx="5683885" cy="6200140"/>
                    </a:xfrm>
                    <a:prstGeom prst="rect">
                      <a:avLst/>
                    </a:prstGeom>
                    <a:noFill/>
                    <a:ln>
                      <a:noFill/>
                    </a:ln>
                  </pic:spPr>
                </pic:pic>
              </a:graphicData>
            </a:graphic>
          </wp:inline>
        </w:drawing>
      </w:r>
      <w:r>
        <w:rPr>
          <w:rFonts w:hint="eastAsia" w:ascii="华文中宋" w:hAnsi="华文中宋" w:eastAsia="华文中宋" w:cs="华文中宋"/>
          <w:color w:val="000000"/>
          <w:kern w:val="0"/>
          <w:sz w:val="32"/>
          <w:szCs w:val="32"/>
          <w:lang w:bidi="ar"/>
        </w:rPr>
        <w:br w:type="page"/>
      </w:r>
    </w:p>
    <w:p>
      <w:pPr>
        <w:sectPr>
          <w:pgSz w:w="11906" w:h="16838"/>
          <w:pgMar w:top="1474" w:right="1474" w:bottom="1474" w:left="1474" w:header="851" w:footer="992" w:gutter="0"/>
          <w:cols w:space="0" w:num="1"/>
          <w:docGrid w:type="lines" w:linePitch="312" w:charSpace="0"/>
        </w:sectPr>
      </w:pPr>
    </w:p>
    <w:p>
      <w:pPr>
        <w:sectPr>
          <w:pgSz w:w="11906" w:h="16838"/>
          <w:pgMar w:top="1474" w:right="1474" w:bottom="1474" w:left="1474" w:header="851" w:footer="992" w:gutter="0"/>
          <w:cols w:space="0" w:num="1"/>
          <w:docGrid w:type="lines" w:linePitch="312" w:charSpace="0"/>
        </w:sectPr>
      </w:pPr>
      <w:r>
        <w:drawing>
          <wp:inline distT="0" distB="0" distL="114300" distR="114300">
            <wp:extent cx="5687695" cy="5928360"/>
            <wp:effectExtent l="0" t="0" r="8255" b="15240"/>
            <wp:docPr id="17"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图片 7"/>
                    <pic:cNvPicPr>
                      <a:picLocks noChangeAspect="1"/>
                    </pic:cNvPicPr>
                  </pic:nvPicPr>
                  <pic:blipFill>
                    <a:blip r:embed="rId21"/>
                    <a:stretch>
                      <a:fillRect/>
                    </a:stretch>
                  </pic:blipFill>
                  <pic:spPr>
                    <a:xfrm>
                      <a:off x="0" y="0"/>
                      <a:ext cx="5687695" cy="5928360"/>
                    </a:xfrm>
                    <a:prstGeom prst="rect">
                      <a:avLst/>
                    </a:prstGeom>
                    <a:noFill/>
                    <a:ln>
                      <a:noFill/>
                    </a:ln>
                  </pic:spPr>
                </pic:pic>
              </a:graphicData>
            </a:graphic>
          </wp:inline>
        </w:drawing>
      </w:r>
    </w:p>
    <w:p>
      <w:pPr>
        <w:sectPr>
          <w:pgSz w:w="11906" w:h="16838"/>
          <w:pgMar w:top="1474" w:right="1474" w:bottom="1474" w:left="1474" w:header="851" w:footer="992" w:gutter="0"/>
          <w:cols w:space="0" w:num="1"/>
          <w:docGrid w:type="lines" w:linePitch="312" w:charSpace="0"/>
        </w:sectPr>
      </w:pPr>
      <w:r>
        <w:drawing>
          <wp:inline distT="0" distB="0" distL="114300" distR="114300">
            <wp:extent cx="5685790" cy="2449195"/>
            <wp:effectExtent l="0" t="0" r="10160" b="8255"/>
            <wp:docPr id="18" name="图片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图片 8"/>
                    <pic:cNvPicPr>
                      <a:picLocks noChangeAspect="1"/>
                    </pic:cNvPicPr>
                  </pic:nvPicPr>
                  <pic:blipFill>
                    <a:blip r:embed="rId22"/>
                    <a:stretch>
                      <a:fillRect/>
                    </a:stretch>
                  </pic:blipFill>
                  <pic:spPr>
                    <a:xfrm>
                      <a:off x="0" y="0"/>
                      <a:ext cx="5685790" cy="2449195"/>
                    </a:xfrm>
                    <a:prstGeom prst="rect">
                      <a:avLst/>
                    </a:prstGeom>
                    <a:noFill/>
                    <a:ln>
                      <a:noFill/>
                    </a:ln>
                  </pic:spPr>
                </pic:pic>
              </a:graphicData>
            </a:graphic>
          </wp:inline>
        </w:drawing>
      </w:r>
    </w:p>
    <w:p>
      <w:r>
        <w:drawing>
          <wp:inline distT="0" distB="0" distL="114300" distR="114300">
            <wp:extent cx="5685790" cy="2726690"/>
            <wp:effectExtent l="0" t="0" r="10160" b="16510"/>
            <wp:docPr id="19" name="图片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图片 9"/>
                    <pic:cNvPicPr>
                      <a:picLocks noChangeAspect="1"/>
                    </pic:cNvPicPr>
                  </pic:nvPicPr>
                  <pic:blipFill>
                    <a:blip r:embed="rId23"/>
                    <a:stretch>
                      <a:fillRect/>
                    </a:stretch>
                  </pic:blipFill>
                  <pic:spPr>
                    <a:xfrm>
                      <a:off x="0" y="0"/>
                      <a:ext cx="5685790" cy="2726690"/>
                    </a:xfrm>
                    <a:prstGeom prst="rect">
                      <a:avLst/>
                    </a:prstGeom>
                    <a:noFill/>
                    <a:ln>
                      <a:noFill/>
                    </a:ln>
                  </pic:spPr>
                </pic:pic>
              </a:graphicData>
            </a:graphic>
          </wp:inline>
        </w:drawing>
      </w:r>
    </w:p>
    <w:p/>
    <w:p/>
    <w:p/>
    <w:p/>
    <w:p/>
    <w:p/>
    <w:p/>
    <w:p/>
    <w:p/>
    <w:p/>
    <w:p/>
    <w:p/>
    <w:p/>
    <w:p/>
    <w:p/>
    <w:p/>
    <w:p/>
    <w:p/>
    <w:p/>
    <w:p/>
    <w:p/>
    <w:p>
      <w:pPr>
        <w:sectPr>
          <w:pgSz w:w="11906" w:h="16838"/>
          <w:pgMar w:top="1474" w:right="1474" w:bottom="1474" w:left="1474" w:header="851" w:footer="992" w:gutter="0"/>
          <w:cols w:space="0" w:num="1"/>
          <w:docGrid w:type="lines" w:linePitch="312" w:charSpace="0"/>
        </w:sectPr>
      </w:pPr>
      <w:r>
        <w:drawing>
          <wp:inline distT="0" distB="0" distL="114300" distR="114300">
            <wp:extent cx="5685790" cy="1818005"/>
            <wp:effectExtent l="0" t="0" r="10160" b="10795"/>
            <wp:docPr id="21" name="图片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图片 11"/>
                    <pic:cNvPicPr>
                      <a:picLocks noChangeAspect="1"/>
                    </pic:cNvPicPr>
                  </pic:nvPicPr>
                  <pic:blipFill>
                    <a:blip r:embed="rId24"/>
                    <a:stretch>
                      <a:fillRect/>
                    </a:stretch>
                  </pic:blipFill>
                  <pic:spPr>
                    <a:xfrm>
                      <a:off x="0" y="0"/>
                      <a:ext cx="5685790" cy="1818005"/>
                    </a:xfrm>
                    <a:prstGeom prst="rect">
                      <a:avLst/>
                    </a:prstGeom>
                    <a:noFill/>
                    <a:ln>
                      <a:noFill/>
                    </a:ln>
                  </pic:spPr>
                </pic:pic>
              </a:graphicData>
            </a:graphic>
          </wp:inline>
        </w:drawing>
      </w:r>
    </w:p>
    <w:p>
      <w:pPr>
        <w:widowControl/>
        <w:jc w:val="center"/>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第三部分 2023年度部门决算情况说明</w:t>
      </w:r>
    </w:p>
    <w:p>
      <w:pPr>
        <w:rPr>
          <w:rFonts w:ascii="黑体" w:hAnsi="Calibri" w:eastAsia="黑体" w:cs="Times New Roman"/>
          <w:sz w:val="32"/>
          <w:szCs w:val="32"/>
        </w:rPr>
      </w:pPr>
    </w:p>
    <w:p>
      <w:pPr>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一、收入</w:t>
      </w:r>
      <w:r>
        <w:rPr>
          <w:rFonts w:hint="eastAsia" w:ascii="黑体" w:hAnsi="Cambria" w:eastAsia="黑体" w:cs="黑体"/>
          <w:kern w:val="0"/>
          <w:sz w:val="32"/>
          <w:szCs w:val="32"/>
        </w:rPr>
        <w:t>支出</w:t>
      </w:r>
      <w:r>
        <w:rPr>
          <w:rFonts w:hint="eastAsia" w:ascii="黑体" w:hAnsi="Calibri" w:eastAsia="黑体" w:cs="Times New Roman"/>
          <w:sz w:val="32"/>
          <w:szCs w:val="32"/>
        </w:rPr>
        <w:t>决算总体情况说明</w:t>
      </w:r>
    </w:p>
    <w:p>
      <w:pPr>
        <w:autoSpaceDE w:val="0"/>
        <w:autoSpaceDN w:val="0"/>
        <w:adjustRightInd w:val="0"/>
        <w:spacing w:line="580" w:lineRule="exact"/>
        <w:ind w:firstLine="640" w:firstLineChars="200"/>
        <w:jc w:val="left"/>
        <w:rPr>
          <w:rFonts w:hint="eastAsia" w:ascii="Times New Roman" w:hAnsi="Times New Roman" w:eastAsia="仿宋_GB2312" w:cs="Times New Roman"/>
          <w:color w:val="auto"/>
          <w:kern w:val="2"/>
          <w:sz w:val="32"/>
          <w:szCs w:val="32"/>
          <w:rtl w:val="0"/>
          <w:lang w:val="en-US" w:eastAsia="zh-CN"/>
        </w:rPr>
      </w:pPr>
      <w:r>
        <w:rPr>
          <w:rFonts w:hint="eastAsia" w:ascii="Times New Roman" w:hAnsi="Times New Roman" w:eastAsia="仿宋_GB2312" w:cs="Times New Roman"/>
          <w:color w:val="auto"/>
          <w:kern w:val="2"/>
          <w:sz w:val="32"/>
          <w:szCs w:val="32"/>
          <w:rtl w:val="0"/>
          <w:lang w:val="en-US" w:eastAsia="zh-CN"/>
        </w:rPr>
        <w:t>本部门2023年度收、支总计（含结转和结余）</w:t>
      </w:r>
      <w:r>
        <w:rPr>
          <w:rFonts w:hint="default" w:ascii="Times New Roman" w:hAnsi="Times New Roman" w:eastAsia="仿宋_GB2312" w:cs="Times New Roman"/>
          <w:color w:val="auto"/>
          <w:kern w:val="2"/>
          <w:sz w:val="32"/>
          <w:szCs w:val="32"/>
          <w:rtl w:val="0"/>
          <w:lang w:val="zh-CN" w:eastAsia="zh-CN"/>
        </w:rPr>
        <w:t>57,350.99</w:t>
      </w:r>
      <w:r>
        <w:rPr>
          <w:rFonts w:hint="eastAsia" w:ascii="Times New Roman" w:hAnsi="Times New Roman" w:eastAsia="仿宋_GB2312" w:cs="Times New Roman"/>
          <w:color w:val="auto"/>
          <w:kern w:val="2"/>
          <w:sz w:val="32"/>
          <w:szCs w:val="32"/>
          <w:rtl w:val="0"/>
          <w:lang w:val="en-US" w:eastAsia="zh-CN"/>
        </w:rPr>
        <w:t>万元。与2022年度决算相比，收支各增加</w:t>
      </w:r>
      <w:r>
        <w:rPr>
          <w:rFonts w:hint="eastAsia" w:ascii="Times New Roman" w:hAnsi="Times New Roman" w:eastAsia="仿宋_GB2312" w:cs="Times New Roman"/>
          <w:color w:val="auto"/>
          <w:kern w:val="2"/>
          <w:sz w:val="32"/>
          <w:szCs w:val="32"/>
          <w:rtl w:val="0"/>
          <w:lang w:val="zh-CN" w:eastAsia="zh-CN"/>
        </w:rPr>
        <w:t>46,855.72</w:t>
      </w:r>
      <w:r>
        <w:rPr>
          <w:rFonts w:hint="eastAsia" w:ascii="Times New Roman" w:hAnsi="Times New Roman" w:eastAsia="仿宋_GB2312" w:cs="Times New Roman"/>
          <w:color w:val="auto"/>
          <w:kern w:val="2"/>
          <w:sz w:val="32"/>
          <w:szCs w:val="32"/>
          <w:rtl w:val="0"/>
          <w:lang w:val="en-US" w:eastAsia="zh-CN"/>
        </w:rPr>
        <w:t>万元，增长</w:t>
      </w:r>
      <w:r>
        <w:rPr>
          <w:rFonts w:hint="eastAsia" w:ascii="Times New Roman" w:hAnsi="Times New Roman" w:eastAsia="仿宋_GB2312" w:cs="Times New Roman"/>
          <w:color w:val="auto"/>
          <w:kern w:val="2"/>
          <w:sz w:val="32"/>
          <w:szCs w:val="32"/>
          <w:rtl w:val="0"/>
          <w:lang w:val="zh-CN" w:eastAsia="zh-CN"/>
        </w:rPr>
        <w:t>446.</w:t>
      </w:r>
      <w:r>
        <w:rPr>
          <w:rFonts w:hint="eastAsia" w:ascii="Times New Roman" w:hAnsi="Times New Roman" w:eastAsia="仿宋_GB2312" w:cs="Times New Roman"/>
          <w:color w:val="auto"/>
          <w:kern w:val="2"/>
          <w:sz w:val="32"/>
          <w:szCs w:val="32"/>
          <w:rtl w:val="0"/>
          <w:lang w:val="en-US" w:eastAsia="zh-CN"/>
        </w:rPr>
        <w:t>5%，主要原因是按照市财政统一安排，2022年度部分支出列入2023年度预算，因此2023年度收入较高。</w:t>
      </w:r>
    </w:p>
    <w:p>
      <w:pPr>
        <w:adjustRightInd w:val="0"/>
        <w:snapToGrid w:val="0"/>
        <w:spacing w:line="240" w:lineRule="auto"/>
        <w:ind w:firstLine="420" w:firstLineChars="200"/>
        <w:rPr>
          <w:rFonts w:hint="eastAsia" w:ascii="仿宋_GB2312" w:hAnsi="Times New Roman" w:eastAsia="仿宋_GB2312" w:cs="DengXian-Regular"/>
          <w:sz w:val="32"/>
          <w:szCs w:val="32"/>
          <w:highlight w:val="yellow"/>
          <w:lang w:eastAsia="zh-CN"/>
        </w:rPr>
      </w:pPr>
      <w:r>
        <w:rPr>
          <w:rFonts w:hint="eastAsia" w:ascii="Times New Roman" w:hAnsi="Times New Roman" w:eastAsia="宋体"/>
        </w:rPr>
        <w:drawing>
          <wp:inline distT="0" distB="0" distL="114300" distR="114300">
            <wp:extent cx="5256530" cy="2988310"/>
            <wp:effectExtent l="5080" t="4445" r="15240" b="17145"/>
            <wp:docPr id="24" name="图表 24"/>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pPr>
        <w:adjustRightInd w:val="0"/>
        <w:snapToGrid w:val="0"/>
        <w:spacing w:line="580" w:lineRule="exact"/>
        <w:ind w:firstLine="640" w:firstLineChars="200"/>
        <w:outlineLvl w:val="1"/>
        <w:rPr>
          <w:rFonts w:ascii="仿宋_GB2312" w:hAnsi="Times New Roman" w:eastAsia="仿宋_GB2312" w:cs="DengXian-Regular"/>
          <w:sz w:val="32"/>
          <w:szCs w:val="32"/>
          <w:highlight w:val="yellow"/>
        </w:rPr>
      </w:pPr>
      <w:r>
        <w:rPr>
          <w:rFonts w:hint="eastAsia" w:ascii="黑体" w:hAnsi="Calibri" w:eastAsia="黑体" w:cs="Times New Roman"/>
          <w:sz w:val="32"/>
          <w:szCs w:val="32"/>
        </w:rPr>
        <w:t>二、收入决算情况说明</w:t>
      </w:r>
    </w:p>
    <w:p>
      <w:pPr>
        <w:autoSpaceDE w:val="0"/>
        <w:autoSpaceDN w:val="0"/>
        <w:adjustRightInd w:val="0"/>
        <w:spacing w:line="580" w:lineRule="exact"/>
        <w:ind w:firstLine="640" w:firstLineChars="200"/>
        <w:jc w:val="left"/>
        <w:rPr>
          <w:rFonts w:hint="eastAsia" w:ascii="Times New Roman" w:hAnsi="Times New Roman" w:eastAsia="仿宋_GB2312" w:cs="Times New Roman"/>
          <w:color w:val="auto"/>
          <w:kern w:val="2"/>
          <w:sz w:val="32"/>
          <w:szCs w:val="32"/>
          <w:rtl w:val="0"/>
          <w:lang w:val="en-US" w:eastAsia="zh-CN"/>
        </w:rPr>
      </w:pPr>
      <w:r>
        <w:rPr>
          <w:rFonts w:hint="eastAsia" w:ascii="Times New Roman" w:hAnsi="Times New Roman" w:eastAsia="仿宋_GB2312" w:cs="Times New Roman"/>
          <w:color w:val="auto"/>
          <w:kern w:val="2"/>
          <w:sz w:val="32"/>
          <w:szCs w:val="32"/>
          <w:rtl w:val="0"/>
          <w:lang w:val="en-US" w:eastAsia="zh-CN"/>
        </w:rPr>
        <w:t>本部门2023年度收入合计</w:t>
      </w:r>
      <w:r>
        <w:rPr>
          <w:rFonts w:hint="default" w:ascii="Times New Roman" w:hAnsi="Times New Roman" w:eastAsia="仿宋_GB2312" w:cs="Times New Roman"/>
          <w:color w:val="auto"/>
          <w:kern w:val="2"/>
          <w:sz w:val="32"/>
          <w:szCs w:val="32"/>
          <w:rtl w:val="0"/>
          <w:lang w:val="en-US" w:eastAsia="zh-CN"/>
        </w:rPr>
        <w:t>57,284.61</w:t>
      </w:r>
      <w:r>
        <w:rPr>
          <w:rFonts w:hint="eastAsia" w:ascii="Times New Roman" w:hAnsi="Times New Roman" w:eastAsia="仿宋_GB2312" w:cs="Times New Roman"/>
          <w:color w:val="auto"/>
          <w:kern w:val="2"/>
          <w:sz w:val="32"/>
          <w:szCs w:val="32"/>
          <w:rtl w:val="0"/>
          <w:lang w:val="en-US" w:eastAsia="zh-CN"/>
        </w:rPr>
        <w:t>万元，其中：财政拨款收入</w:t>
      </w:r>
      <w:r>
        <w:rPr>
          <w:rFonts w:hint="default" w:ascii="Times New Roman" w:hAnsi="Times New Roman" w:eastAsia="仿宋_GB2312" w:cs="Times New Roman"/>
          <w:color w:val="auto"/>
          <w:kern w:val="2"/>
          <w:sz w:val="32"/>
          <w:szCs w:val="32"/>
          <w:rtl w:val="0"/>
          <w:lang w:val="zh-CN" w:eastAsia="zh-CN"/>
        </w:rPr>
        <w:t>57,284.61</w:t>
      </w:r>
      <w:r>
        <w:rPr>
          <w:rFonts w:hint="eastAsia" w:ascii="Times New Roman" w:hAnsi="Times New Roman" w:eastAsia="仿宋_GB2312" w:cs="Times New Roman"/>
          <w:color w:val="auto"/>
          <w:kern w:val="2"/>
          <w:sz w:val="32"/>
          <w:szCs w:val="32"/>
          <w:rtl w:val="0"/>
          <w:lang w:val="en-US" w:eastAsia="zh-CN"/>
        </w:rPr>
        <w:t>万元，占100%；上级补助收入0万元，占0%；事业收入0万元，占0%；经营收入0万元，占0%；附属单位上缴收入0万元，占0%；其他收入0万元，占0%。</w:t>
      </w:r>
    </w:p>
    <w:p>
      <w:pPr>
        <w:adjustRightInd w:val="0"/>
        <w:snapToGrid w:val="0"/>
        <w:spacing w:line="580" w:lineRule="exact"/>
        <w:ind w:firstLine="640" w:firstLineChars="200"/>
        <w:rPr>
          <w:rFonts w:ascii="仿宋_GB2312" w:hAnsi="Times New Roman" w:eastAsia="仿宋_GB2312" w:cs="DengXian-Regular"/>
          <w:sz w:val="32"/>
          <w:szCs w:val="32"/>
          <w:highlight w:val="yellow"/>
        </w:rPr>
      </w:pPr>
      <w:r>
        <w:rPr>
          <w:rFonts w:ascii="Times New Roman" w:hAnsi="Times New Roman" w:eastAsia="仿宋_GB2312"/>
          <w:kern w:val="2"/>
          <w:sz w:val="32"/>
          <w:szCs w:val="32"/>
          <w:highlight w:val="yellow"/>
          <w:lang w:val="zh-CN"/>
        </w:rPr>
        <w:drawing>
          <wp:anchor distT="0" distB="0" distL="114300" distR="114300" simplePos="0" relativeHeight="251669504" behindDoc="0" locked="0" layoutInCell="1" allowOverlap="1">
            <wp:simplePos x="0" y="0"/>
            <wp:positionH relativeFrom="column">
              <wp:posOffset>219710</wp:posOffset>
            </wp:positionH>
            <wp:positionV relativeFrom="page">
              <wp:posOffset>1036320</wp:posOffset>
            </wp:positionV>
            <wp:extent cx="5256530" cy="2988310"/>
            <wp:effectExtent l="5080" t="4445" r="15240" b="17145"/>
            <wp:wrapTopAndBottom/>
            <wp:docPr id="26" name="图表 26"/>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anchor>
        </w:drawing>
      </w:r>
      <w:r>
        <w:rPr>
          <w:rFonts w:hint="eastAsia" w:ascii="黑体" w:hAnsi="Calibri" w:eastAsia="黑体" w:cs="Times New Roman"/>
          <w:sz w:val="32"/>
          <w:szCs w:val="32"/>
        </w:rPr>
        <w:t>三、支出决算情况说明</w:t>
      </w:r>
    </w:p>
    <w:p>
      <w:pPr>
        <w:autoSpaceDE w:val="0"/>
        <w:autoSpaceDN w:val="0"/>
        <w:adjustRightInd w:val="0"/>
        <w:spacing w:line="580" w:lineRule="exact"/>
        <w:ind w:firstLine="640" w:firstLineChars="200"/>
        <w:jc w:val="left"/>
        <w:rPr>
          <w:rFonts w:hint="eastAsia" w:ascii="Times New Roman" w:hAnsi="Times New Roman" w:eastAsia="仿宋_GB2312" w:cs="Times New Roman"/>
          <w:color w:val="auto"/>
          <w:kern w:val="2"/>
          <w:sz w:val="32"/>
          <w:szCs w:val="32"/>
          <w:lang w:val="en-US" w:eastAsia="zh-CN"/>
        </w:rPr>
      </w:pPr>
      <w:r>
        <w:rPr>
          <w:rFonts w:hint="eastAsia" w:ascii="Times New Roman" w:hAnsi="Times New Roman" w:eastAsia="仿宋_GB2312" w:cs="Times New Roman"/>
          <w:color w:val="auto"/>
          <w:kern w:val="2"/>
          <w:sz w:val="32"/>
          <w:szCs w:val="32"/>
          <w:lang w:val="en-US" w:eastAsia="zh-CN"/>
        </w:rPr>
        <w:t>本部门2023年度支出合计</w:t>
      </w:r>
      <w:r>
        <w:rPr>
          <w:rFonts w:hint="default" w:ascii="Times New Roman" w:hAnsi="Times New Roman" w:eastAsia="仿宋_GB2312" w:cs="Times New Roman"/>
          <w:color w:val="auto"/>
          <w:kern w:val="2"/>
          <w:sz w:val="32"/>
          <w:szCs w:val="32"/>
          <w:lang w:val="zh-CN" w:eastAsia="zh-CN"/>
        </w:rPr>
        <w:t>57,345.42</w:t>
      </w:r>
      <w:r>
        <w:rPr>
          <w:rFonts w:hint="eastAsia" w:ascii="Times New Roman" w:hAnsi="Times New Roman" w:eastAsia="仿宋_GB2312" w:cs="Times New Roman"/>
          <w:color w:val="auto"/>
          <w:kern w:val="2"/>
          <w:sz w:val="32"/>
          <w:szCs w:val="32"/>
          <w:lang w:val="en-US" w:eastAsia="zh-CN"/>
        </w:rPr>
        <w:t>万元，其中：基本支出</w:t>
      </w:r>
      <w:r>
        <w:rPr>
          <w:rFonts w:hint="default" w:ascii="Times New Roman" w:hAnsi="Times New Roman" w:eastAsia="仿宋_GB2312" w:cs="Times New Roman"/>
          <w:color w:val="auto"/>
          <w:kern w:val="2"/>
          <w:sz w:val="32"/>
          <w:szCs w:val="32"/>
          <w:lang w:val="zh-CN" w:eastAsia="zh-CN"/>
        </w:rPr>
        <w:t>1,301.82</w:t>
      </w:r>
      <w:r>
        <w:rPr>
          <w:rFonts w:hint="eastAsia" w:ascii="Times New Roman" w:hAnsi="Times New Roman" w:eastAsia="仿宋_GB2312" w:cs="Times New Roman"/>
          <w:color w:val="auto"/>
          <w:kern w:val="2"/>
          <w:sz w:val="32"/>
          <w:szCs w:val="32"/>
          <w:lang w:val="en-US" w:eastAsia="zh-CN"/>
        </w:rPr>
        <w:t>万元，占</w:t>
      </w:r>
      <w:r>
        <w:rPr>
          <w:rFonts w:hint="default" w:ascii="Times New Roman" w:hAnsi="Times New Roman" w:eastAsia="仿宋_GB2312" w:cs="Times New Roman"/>
          <w:color w:val="auto"/>
          <w:kern w:val="2"/>
          <w:sz w:val="32"/>
          <w:szCs w:val="32"/>
          <w:lang w:val="zh-CN" w:eastAsia="zh-CN"/>
        </w:rPr>
        <w:t>2.</w:t>
      </w:r>
      <w:r>
        <w:rPr>
          <w:rFonts w:hint="eastAsia" w:ascii="Times New Roman" w:hAnsi="Times New Roman" w:eastAsia="仿宋_GB2312" w:cs="Times New Roman"/>
          <w:color w:val="auto"/>
          <w:kern w:val="2"/>
          <w:sz w:val="32"/>
          <w:szCs w:val="32"/>
          <w:lang w:val="en-US" w:eastAsia="zh-CN"/>
        </w:rPr>
        <w:t>3%；项目支出</w:t>
      </w:r>
      <w:r>
        <w:rPr>
          <w:rFonts w:hint="default" w:ascii="Times New Roman" w:hAnsi="Times New Roman" w:eastAsia="仿宋_GB2312" w:cs="Times New Roman"/>
          <w:color w:val="auto"/>
          <w:kern w:val="2"/>
          <w:sz w:val="32"/>
          <w:szCs w:val="32"/>
          <w:lang w:val="zh-CN" w:eastAsia="zh-CN"/>
        </w:rPr>
        <w:t>56,043.6</w:t>
      </w:r>
      <w:r>
        <w:rPr>
          <w:rFonts w:hint="eastAsia" w:ascii="Times New Roman" w:hAnsi="Times New Roman" w:eastAsia="仿宋_GB2312" w:cs="Times New Roman"/>
          <w:color w:val="auto"/>
          <w:kern w:val="2"/>
          <w:sz w:val="32"/>
          <w:szCs w:val="32"/>
          <w:lang w:val="en-US" w:eastAsia="zh-CN"/>
        </w:rPr>
        <w:t>万元，占</w:t>
      </w:r>
      <w:r>
        <w:rPr>
          <w:rFonts w:hint="default" w:ascii="Times New Roman" w:hAnsi="Times New Roman" w:eastAsia="仿宋_GB2312" w:cs="Times New Roman"/>
          <w:color w:val="auto"/>
          <w:kern w:val="2"/>
          <w:sz w:val="32"/>
          <w:szCs w:val="32"/>
          <w:lang w:val="zh-CN" w:eastAsia="zh-CN"/>
        </w:rPr>
        <w:t>97.7</w:t>
      </w:r>
      <w:r>
        <w:rPr>
          <w:rFonts w:hint="eastAsia" w:ascii="Times New Roman" w:hAnsi="Times New Roman" w:eastAsia="仿宋_GB2312" w:cs="Times New Roman"/>
          <w:color w:val="auto"/>
          <w:kern w:val="2"/>
          <w:sz w:val="32"/>
          <w:szCs w:val="32"/>
          <w:lang w:val="en-US" w:eastAsia="zh-CN"/>
        </w:rPr>
        <w:t>%；经营支出0万元，占0%；上缴上级支出0万元，占0%；对附属单位补助支出0万元，占0%。</w:t>
      </w:r>
    </w:p>
    <w:p>
      <w:pPr>
        <w:autoSpaceDE w:val="0"/>
        <w:autoSpaceDN w:val="0"/>
        <w:adjustRightInd w:val="0"/>
        <w:jc w:val="center"/>
        <w:rPr>
          <w:rFonts w:ascii="Times New Roman" w:hAnsi="Times New Roman" w:eastAsia="仿宋_GB2312" w:cs="Times New Roman"/>
          <w:sz w:val="32"/>
          <w:szCs w:val="32"/>
          <w:highlight w:val="none"/>
        </w:rPr>
      </w:pPr>
      <w:r>
        <w:rPr>
          <w:rFonts w:ascii="Times New Roman" w:hAnsi="Times New Roman" w:eastAsia="仿宋_GB2312" w:cs="Times New Roman"/>
          <w:sz w:val="32"/>
          <w:szCs w:val="32"/>
          <w:highlight w:val="none"/>
        </w:rPr>
        <w:drawing>
          <wp:inline distT="0" distB="0" distL="114300" distR="114300">
            <wp:extent cx="5256530" cy="2988310"/>
            <wp:effectExtent l="5080" t="4445" r="15240" b="17145"/>
            <wp:docPr id="28" name="图表 28"/>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pPr>
        <w:autoSpaceDE w:val="0"/>
        <w:autoSpaceDN w:val="0"/>
        <w:adjustRightInd w:val="0"/>
        <w:jc w:val="center"/>
        <w:rPr>
          <w:rFonts w:hint="eastAsia" w:ascii="Times New Roman" w:hAnsi="Times New Roman" w:eastAsia="仿宋_GB2312" w:cs="Times New Roman"/>
          <w:sz w:val="32"/>
          <w:szCs w:val="32"/>
          <w:highlight w:val="none"/>
          <w:lang w:eastAsia="zh-CN"/>
        </w:rPr>
      </w:pPr>
    </w:p>
    <w:p>
      <w:pPr>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四、</w:t>
      </w:r>
      <w:r>
        <w:rPr>
          <w:rFonts w:hint="eastAsia" w:ascii="黑体" w:hAnsi="Cambria" w:eastAsia="黑体" w:cs="黑体"/>
          <w:kern w:val="0"/>
          <w:sz w:val="32"/>
          <w:szCs w:val="32"/>
        </w:rPr>
        <w:t>财政</w:t>
      </w:r>
      <w:r>
        <w:rPr>
          <w:rFonts w:hint="eastAsia" w:ascii="黑体" w:hAnsi="Calibri" w:eastAsia="黑体" w:cs="Times New Roman"/>
          <w:sz w:val="32"/>
          <w:szCs w:val="32"/>
        </w:rPr>
        <w:t>拨款收入支出决算总体情况说明</w:t>
      </w:r>
    </w:p>
    <w:p>
      <w:pPr>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（一）财政拨款收支与2022年度决算对比情况</w:t>
      </w:r>
    </w:p>
    <w:p>
      <w:pPr>
        <w:autoSpaceDE w:val="0"/>
        <w:autoSpaceDN w:val="0"/>
        <w:adjustRightInd w:val="0"/>
        <w:spacing w:line="580" w:lineRule="exact"/>
        <w:ind w:firstLine="600"/>
        <w:jc w:val="left"/>
        <w:rPr>
          <w:rFonts w:hint="eastAsia" w:ascii="Times New Roman" w:hAnsi="Times New Roman" w:eastAsia="仿宋_GB2312" w:cs="Times New Roman"/>
          <w:color w:val="auto"/>
          <w:kern w:val="2"/>
          <w:sz w:val="32"/>
          <w:szCs w:val="32"/>
          <w:rtl w:val="0"/>
          <w:lang w:val="zh-CN" w:eastAsia="zh-CN"/>
        </w:rPr>
      </w:pPr>
      <w:r>
        <w:rPr>
          <w:rFonts w:hint="eastAsia" w:ascii="Times New Roman" w:hAnsi="Times New Roman" w:eastAsia="仿宋_GB2312" w:cs="Times New Roman"/>
          <w:color w:val="auto"/>
          <w:kern w:val="2"/>
          <w:sz w:val="32"/>
          <w:szCs w:val="32"/>
          <w:rtl w:val="0"/>
          <w:lang w:val="en-US" w:eastAsia="zh-CN"/>
        </w:rPr>
        <w:t>本部门2023年度形成的财政拨款收支均为一般公共预算财政拨款，本年度收入</w:t>
      </w:r>
      <w:r>
        <w:rPr>
          <w:rFonts w:hint="default" w:ascii="Times New Roman" w:hAnsi="Times New Roman" w:eastAsia="仿宋_GB2312" w:cs="Times New Roman"/>
          <w:color w:val="auto"/>
          <w:kern w:val="2"/>
          <w:sz w:val="32"/>
          <w:szCs w:val="32"/>
          <w:rtl w:val="0"/>
          <w:lang w:val="zh-CN" w:eastAsia="zh-CN"/>
        </w:rPr>
        <w:t>57,284.61</w:t>
      </w:r>
      <w:r>
        <w:rPr>
          <w:rFonts w:hint="eastAsia" w:ascii="Times New Roman" w:hAnsi="Times New Roman" w:eastAsia="仿宋_GB2312" w:cs="Times New Roman"/>
          <w:color w:val="auto"/>
          <w:kern w:val="2"/>
          <w:sz w:val="32"/>
          <w:szCs w:val="32"/>
          <w:rtl w:val="0"/>
          <w:lang w:val="en-US" w:eastAsia="zh-CN"/>
        </w:rPr>
        <w:t>万元,</w:t>
      </w:r>
      <w:r>
        <w:rPr>
          <w:rFonts w:hint="default" w:ascii="Times New Roman" w:hAnsi="Times New Roman" w:eastAsia="仿宋_GB2312" w:cs="Times New Roman"/>
          <w:color w:val="auto"/>
          <w:kern w:val="2"/>
          <w:sz w:val="32"/>
          <w:szCs w:val="32"/>
          <w:rtl w:val="0"/>
          <w:lang w:val="zh-CN" w:eastAsia="zh-CN"/>
        </w:rPr>
        <w:t>比上年</w:t>
      </w:r>
      <w:r>
        <w:rPr>
          <w:rFonts w:hint="eastAsia" w:ascii="Times New Roman" w:hAnsi="Times New Roman" w:eastAsia="仿宋_GB2312" w:cs="Times New Roman"/>
          <w:color w:val="auto"/>
          <w:kern w:val="2"/>
          <w:sz w:val="32"/>
          <w:szCs w:val="32"/>
          <w:rtl w:val="0"/>
          <w:lang w:val="zh-CN" w:eastAsia="zh-CN"/>
        </w:rPr>
        <w:t>增加46,973.52万元</w:t>
      </w:r>
      <w:r>
        <w:rPr>
          <w:rFonts w:hint="default" w:ascii="Times New Roman" w:hAnsi="Times New Roman" w:eastAsia="仿宋_GB2312" w:cs="Times New Roman"/>
          <w:color w:val="auto"/>
          <w:kern w:val="2"/>
          <w:sz w:val="32"/>
          <w:szCs w:val="32"/>
          <w:rtl w:val="0"/>
          <w:lang w:val="zh-CN" w:eastAsia="zh-CN"/>
        </w:rPr>
        <w:t>，</w:t>
      </w:r>
      <w:r>
        <w:rPr>
          <w:rFonts w:hint="eastAsia" w:ascii="Times New Roman" w:hAnsi="Times New Roman" w:eastAsia="仿宋_GB2312" w:cs="Times New Roman"/>
          <w:color w:val="auto"/>
          <w:kern w:val="2"/>
          <w:sz w:val="32"/>
          <w:szCs w:val="32"/>
          <w:rtl w:val="0"/>
          <w:lang w:val="zh-CN" w:eastAsia="zh-CN"/>
        </w:rPr>
        <w:t>增长455.</w:t>
      </w:r>
      <w:r>
        <w:rPr>
          <w:rFonts w:hint="eastAsia" w:ascii="Times New Roman" w:hAnsi="Times New Roman" w:eastAsia="仿宋_GB2312" w:cs="Times New Roman"/>
          <w:color w:val="auto"/>
          <w:kern w:val="2"/>
          <w:sz w:val="32"/>
          <w:szCs w:val="32"/>
          <w:rtl w:val="0"/>
          <w:lang w:val="en-US" w:eastAsia="zh-CN"/>
        </w:rPr>
        <w:t>6</w:t>
      </w:r>
      <w:r>
        <w:rPr>
          <w:rFonts w:hint="eastAsia" w:ascii="Times New Roman" w:hAnsi="Times New Roman" w:eastAsia="仿宋_GB2312" w:cs="Times New Roman"/>
          <w:color w:val="auto"/>
          <w:kern w:val="2"/>
          <w:sz w:val="32"/>
          <w:szCs w:val="32"/>
          <w:rtl w:val="0"/>
          <w:lang w:val="zh-CN" w:eastAsia="zh-CN"/>
        </w:rPr>
        <w:t>%</w:t>
      </w:r>
      <w:r>
        <w:rPr>
          <w:rFonts w:hint="eastAsia" w:ascii="Times New Roman" w:hAnsi="Times New Roman" w:eastAsia="仿宋_GB2312" w:cs="Times New Roman"/>
          <w:color w:val="auto"/>
          <w:kern w:val="2"/>
          <w:sz w:val="32"/>
          <w:szCs w:val="32"/>
          <w:rtl w:val="0"/>
          <w:lang w:val="en-US" w:eastAsia="zh-CN"/>
        </w:rPr>
        <w:t>，主要是按照市财政统一安排，2022年度部分支出列入2023年度预算，因此2023年度收入较高；本年度支出</w:t>
      </w:r>
      <w:r>
        <w:rPr>
          <w:rFonts w:hint="default" w:ascii="Times New Roman" w:hAnsi="Times New Roman" w:eastAsia="仿宋_GB2312" w:cs="Times New Roman"/>
          <w:color w:val="auto"/>
          <w:kern w:val="2"/>
          <w:sz w:val="32"/>
          <w:szCs w:val="32"/>
          <w:rtl w:val="0"/>
          <w:lang w:val="zh-CN" w:eastAsia="zh-CN"/>
        </w:rPr>
        <w:t>57,345.42</w:t>
      </w:r>
      <w:r>
        <w:rPr>
          <w:rFonts w:hint="eastAsia" w:ascii="Times New Roman" w:hAnsi="Times New Roman" w:eastAsia="仿宋_GB2312" w:cs="Times New Roman"/>
          <w:color w:val="auto"/>
          <w:kern w:val="2"/>
          <w:sz w:val="32"/>
          <w:szCs w:val="32"/>
          <w:rtl w:val="0"/>
          <w:lang w:val="en-US" w:eastAsia="zh-CN"/>
        </w:rPr>
        <w:t>万</w:t>
      </w:r>
      <w:r>
        <w:rPr>
          <w:rFonts w:hint="default" w:ascii="Times New Roman" w:hAnsi="Times New Roman" w:eastAsia="仿宋_GB2312" w:cs="Times New Roman"/>
          <w:color w:val="auto"/>
          <w:kern w:val="2"/>
          <w:sz w:val="32"/>
          <w:szCs w:val="32"/>
          <w:rtl w:val="0"/>
          <w:lang w:val="zh-CN" w:eastAsia="zh-CN"/>
        </w:rPr>
        <w:t>元，比上年</w:t>
      </w:r>
      <w:r>
        <w:rPr>
          <w:rFonts w:hint="eastAsia" w:ascii="Times New Roman" w:hAnsi="Times New Roman" w:eastAsia="仿宋_GB2312" w:cs="Times New Roman"/>
          <w:color w:val="auto"/>
          <w:kern w:val="2"/>
          <w:sz w:val="32"/>
          <w:szCs w:val="32"/>
          <w:rtl w:val="0"/>
          <w:lang w:val="zh-CN" w:eastAsia="zh-CN"/>
        </w:rPr>
        <w:t>增加46,920.34万元</w:t>
      </w:r>
      <w:r>
        <w:rPr>
          <w:rFonts w:hint="default" w:ascii="Times New Roman" w:hAnsi="Times New Roman" w:eastAsia="仿宋_GB2312" w:cs="Times New Roman"/>
          <w:color w:val="auto"/>
          <w:kern w:val="2"/>
          <w:sz w:val="32"/>
          <w:szCs w:val="32"/>
          <w:rtl w:val="0"/>
          <w:lang w:val="zh-CN" w:eastAsia="zh-CN"/>
        </w:rPr>
        <w:t>，</w:t>
      </w:r>
      <w:r>
        <w:rPr>
          <w:rFonts w:hint="eastAsia" w:ascii="Times New Roman" w:hAnsi="Times New Roman" w:eastAsia="仿宋_GB2312" w:cs="Times New Roman"/>
          <w:color w:val="auto"/>
          <w:kern w:val="2"/>
          <w:sz w:val="32"/>
          <w:szCs w:val="32"/>
          <w:rtl w:val="0"/>
          <w:lang w:val="zh-CN" w:eastAsia="zh-CN"/>
        </w:rPr>
        <w:t>增长450.</w:t>
      </w:r>
      <w:r>
        <w:rPr>
          <w:rFonts w:hint="eastAsia" w:ascii="Times New Roman" w:hAnsi="Times New Roman" w:eastAsia="仿宋_GB2312" w:cs="Times New Roman"/>
          <w:color w:val="auto"/>
          <w:kern w:val="2"/>
          <w:sz w:val="32"/>
          <w:szCs w:val="32"/>
          <w:rtl w:val="0"/>
          <w:lang w:val="en-US" w:eastAsia="zh-CN"/>
        </w:rPr>
        <w:t>1</w:t>
      </w:r>
      <w:r>
        <w:rPr>
          <w:rFonts w:hint="eastAsia" w:ascii="Times New Roman" w:hAnsi="Times New Roman" w:eastAsia="仿宋_GB2312" w:cs="Times New Roman"/>
          <w:color w:val="auto"/>
          <w:kern w:val="2"/>
          <w:sz w:val="32"/>
          <w:szCs w:val="32"/>
          <w:rtl w:val="0"/>
          <w:lang w:val="zh-CN" w:eastAsia="zh-CN"/>
        </w:rPr>
        <w:t>%</w:t>
      </w:r>
      <w:r>
        <w:rPr>
          <w:rFonts w:hint="eastAsia" w:ascii="Times New Roman" w:hAnsi="Times New Roman" w:eastAsia="仿宋_GB2312" w:cs="Times New Roman"/>
          <w:color w:val="auto"/>
          <w:kern w:val="2"/>
          <w:sz w:val="32"/>
          <w:szCs w:val="32"/>
          <w:rtl w:val="0"/>
          <w:lang w:val="en-US" w:eastAsia="zh-CN"/>
        </w:rPr>
        <w:t>，主要是按照市财政统一安排，2022年度部分支出列入2023年度预算，因此2023年度支出增加。</w:t>
      </w:r>
    </w:p>
    <w:p>
      <w:pPr>
        <w:adjustRightInd w:val="0"/>
        <w:snapToGrid w:val="0"/>
        <w:spacing w:line="240" w:lineRule="auto"/>
        <w:jc w:val="center"/>
        <w:rPr>
          <w:rFonts w:hint="eastAsia" w:ascii="仿宋_GB2312" w:hAnsi="Times New Roman" w:eastAsia="仿宋_GB2312" w:cs="DengXian-Regular"/>
          <w:sz w:val="32"/>
          <w:szCs w:val="32"/>
          <w:lang w:eastAsia="zh-CN"/>
        </w:rPr>
      </w:pPr>
      <w:r>
        <w:rPr>
          <w:rFonts w:ascii="Times New Roman" w:hAnsi="Times New Roman" w:eastAsia="仿宋_GB2312"/>
          <w:sz w:val="32"/>
          <w:szCs w:val="32"/>
        </w:rPr>
        <w:drawing>
          <wp:inline distT="0" distB="0" distL="114300" distR="114300">
            <wp:extent cx="5256530" cy="2988310"/>
            <wp:effectExtent l="5080" t="4445" r="15240" b="17145"/>
            <wp:docPr id="30" name="图表 30"/>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pPr>
        <w:snapToGrid w:val="0"/>
        <w:spacing w:line="580" w:lineRule="exact"/>
        <w:ind w:firstLine="643" w:firstLineChars="200"/>
        <w:outlineLvl w:val="2"/>
        <w:rPr>
          <w:rFonts w:ascii="仿宋_GB2312" w:hAnsi="Times New Roman" w:eastAsia="仿宋_GB2312" w:cs="DengXian-Bold"/>
          <w:b/>
          <w:bCs/>
          <w:sz w:val="32"/>
          <w:szCs w:val="32"/>
        </w:rPr>
      </w:pPr>
      <w:r>
        <w:rPr>
          <w:rFonts w:hint="eastAsia" w:ascii="楷体_GB2312" w:hAnsi="Times New Roman" w:eastAsia="楷体_GB2312" w:cs="DengXian-Bold"/>
          <w:b/>
          <w:bCs/>
          <w:sz w:val="32"/>
          <w:szCs w:val="32"/>
        </w:rPr>
        <w:t>（二）财政拨款收支与年初预算数对比情况</w:t>
      </w:r>
    </w:p>
    <w:p>
      <w:pPr>
        <w:autoSpaceDE w:val="0"/>
        <w:autoSpaceDN w:val="0"/>
        <w:adjustRightInd w:val="0"/>
        <w:spacing w:line="580" w:lineRule="exact"/>
        <w:ind w:firstLine="600"/>
        <w:jc w:val="left"/>
        <w:rPr>
          <w:rFonts w:hint="eastAsia" w:ascii="Times New Roman" w:hAnsi="Times New Roman" w:eastAsia="仿宋_GB2312" w:cs="Times New Roman"/>
          <w:color w:val="auto"/>
          <w:kern w:val="2"/>
          <w:sz w:val="32"/>
          <w:szCs w:val="32"/>
          <w:rtl w:val="0"/>
          <w:lang w:val="en-US" w:eastAsia="zh-CN"/>
        </w:rPr>
      </w:pPr>
      <w:r>
        <w:rPr>
          <w:rFonts w:hint="eastAsia" w:ascii="Times New Roman" w:hAnsi="Times New Roman" w:eastAsia="仿宋_GB2312" w:cs="Times New Roman"/>
          <w:color w:val="auto"/>
          <w:kern w:val="2"/>
          <w:sz w:val="32"/>
          <w:szCs w:val="32"/>
          <w:rtl w:val="0"/>
          <w:lang w:val="zh-CN" w:eastAsia="zh-CN"/>
        </w:rPr>
        <w:t>本部门2023年度</w:t>
      </w:r>
      <w:r>
        <w:rPr>
          <w:rFonts w:hint="eastAsia" w:ascii="Times New Roman" w:hAnsi="Times New Roman" w:eastAsia="仿宋_GB2312" w:cs="Times New Roman"/>
          <w:color w:val="auto"/>
          <w:kern w:val="2"/>
          <w:sz w:val="32"/>
          <w:szCs w:val="32"/>
          <w:rtl w:val="0"/>
          <w:lang w:val="en-US" w:eastAsia="zh-CN"/>
        </w:rPr>
        <w:t>形成的财政拨款收支均为一般公共预算财政拨款，</w:t>
      </w:r>
      <w:r>
        <w:rPr>
          <w:rFonts w:hint="eastAsia" w:ascii="Times New Roman" w:hAnsi="Times New Roman" w:eastAsia="仿宋_GB2312" w:cs="Times New Roman"/>
          <w:color w:val="auto"/>
          <w:kern w:val="2"/>
          <w:sz w:val="32"/>
          <w:szCs w:val="32"/>
          <w:rtl w:val="0"/>
          <w:lang w:val="zh-CN" w:eastAsia="zh-CN"/>
        </w:rPr>
        <w:t>本年度收入</w:t>
      </w:r>
      <w:r>
        <w:rPr>
          <w:rFonts w:hint="default" w:ascii="Times New Roman" w:hAnsi="Times New Roman" w:eastAsia="仿宋_GB2312" w:cs="Times New Roman"/>
          <w:color w:val="auto"/>
          <w:kern w:val="2"/>
          <w:sz w:val="32"/>
          <w:szCs w:val="32"/>
          <w:rtl w:val="0"/>
          <w:lang w:val="zh-CN" w:eastAsia="zh-CN"/>
        </w:rPr>
        <w:t>57,284.61</w:t>
      </w:r>
      <w:r>
        <w:rPr>
          <w:rFonts w:hint="eastAsia" w:ascii="Times New Roman" w:hAnsi="Times New Roman" w:eastAsia="仿宋_GB2312" w:cs="Times New Roman"/>
          <w:color w:val="auto"/>
          <w:kern w:val="2"/>
          <w:sz w:val="32"/>
          <w:szCs w:val="32"/>
          <w:rtl w:val="0"/>
          <w:lang w:val="zh-CN" w:eastAsia="zh-CN"/>
        </w:rPr>
        <w:t>万元，</w:t>
      </w:r>
      <w:r>
        <w:rPr>
          <w:rFonts w:hint="default" w:ascii="Times New Roman" w:hAnsi="Times New Roman" w:eastAsia="仿宋_GB2312" w:cs="Times New Roman"/>
          <w:color w:val="auto"/>
          <w:kern w:val="2"/>
          <w:sz w:val="32"/>
          <w:szCs w:val="32"/>
          <w:rtl w:val="0"/>
          <w:lang w:val="zh-CN" w:eastAsia="zh-CN"/>
        </w:rPr>
        <w:t>完成年初预算的87.</w:t>
      </w:r>
      <w:r>
        <w:rPr>
          <w:rFonts w:hint="eastAsia" w:ascii="Times New Roman" w:hAnsi="Times New Roman" w:eastAsia="仿宋_GB2312" w:cs="Times New Roman"/>
          <w:color w:val="auto"/>
          <w:kern w:val="2"/>
          <w:sz w:val="32"/>
          <w:szCs w:val="32"/>
          <w:rtl w:val="0"/>
          <w:lang w:val="en-US" w:eastAsia="zh-CN"/>
        </w:rPr>
        <w:t>4</w:t>
      </w:r>
      <w:r>
        <w:rPr>
          <w:rFonts w:hint="default" w:ascii="Times New Roman" w:hAnsi="Times New Roman" w:eastAsia="仿宋_GB2312" w:cs="Times New Roman"/>
          <w:color w:val="auto"/>
          <w:kern w:val="2"/>
          <w:sz w:val="32"/>
          <w:szCs w:val="32"/>
          <w:rtl w:val="0"/>
          <w:lang w:val="zh-CN" w:eastAsia="zh-CN"/>
        </w:rPr>
        <w:t>%，比年初预算</w:t>
      </w:r>
      <w:r>
        <w:rPr>
          <w:rFonts w:hint="eastAsia" w:ascii="Times New Roman" w:hAnsi="Times New Roman" w:eastAsia="仿宋_GB2312" w:cs="Times New Roman"/>
          <w:color w:val="auto"/>
          <w:kern w:val="2"/>
          <w:sz w:val="32"/>
          <w:szCs w:val="32"/>
          <w:rtl w:val="0"/>
          <w:lang w:val="zh-CN" w:eastAsia="zh-CN"/>
        </w:rPr>
        <w:t>减少8,274.77万元</w:t>
      </w:r>
      <w:r>
        <w:rPr>
          <w:rFonts w:hint="default" w:ascii="Times New Roman" w:hAnsi="Times New Roman" w:eastAsia="仿宋_GB2312" w:cs="Times New Roman"/>
          <w:color w:val="auto"/>
          <w:kern w:val="2"/>
          <w:sz w:val="32"/>
          <w:szCs w:val="32"/>
          <w:rtl w:val="0"/>
          <w:lang w:val="zh-CN" w:eastAsia="zh-CN"/>
        </w:rPr>
        <w:t>，决算数小于预算数主要原因是</w:t>
      </w:r>
      <w:r>
        <w:rPr>
          <w:rFonts w:hint="eastAsia" w:ascii="Times New Roman" w:hAnsi="Times New Roman" w:eastAsia="仿宋_GB2312" w:cs="Times New Roman"/>
          <w:color w:val="auto"/>
          <w:kern w:val="2"/>
          <w:sz w:val="32"/>
          <w:szCs w:val="32"/>
          <w:rtl w:val="0"/>
          <w:lang w:val="zh-CN" w:eastAsia="zh-CN"/>
        </w:rPr>
        <w:t>人员经费及预算项目调整；本年度</w:t>
      </w:r>
      <w:r>
        <w:rPr>
          <w:rFonts w:hint="default" w:ascii="Times New Roman" w:hAnsi="Times New Roman" w:eastAsia="仿宋_GB2312" w:cs="Times New Roman"/>
          <w:color w:val="auto"/>
          <w:kern w:val="2"/>
          <w:sz w:val="32"/>
          <w:szCs w:val="32"/>
          <w:rtl w:val="0"/>
          <w:lang w:val="zh-CN" w:eastAsia="zh-CN"/>
        </w:rPr>
        <w:t>支出57,345.42万元，完成年初预算的87.</w:t>
      </w:r>
      <w:r>
        <w:rPr>
          <w:rFonts w:hint="eastAsia" w:ascii="Times New Roman" w:hAnsi="Times New Roman" w:eastAsia="仿宋_GB2312" w:cs="Times New Roman"/>
          <w:color w:val="auto"/>
          <w:kern w:val="2"/>
          <w:sz w:val="32"/>
          <w:szCs w:val="32"/>
          <w:rtl w:val="0"/>
          <w:lang w:val="en-US" w:eastAsia="zh-CN"/>
        </w:rPr>
        <w:t>5</w:t>
      </w:r>
      <w:r>
        <w:rPr>
          <w:rFonts w:hint="default" w:ascii="Times New Roman" w:hAnsi="Times New Roman" w:eastAsia="仿宋_GB2312" w:cs="Times New Roman"/>
          <w:color w:val="auto"/>
          <w:kern w:val="2"/>
          <w:sz w:val="32"/>
          <w:szCs w:val="32"/>
          <w:rtl w:val="0"/>
          <w:lang w:val="zh-CN" w:eastAsia="zh-CN"/>
        </w:rPr>
        <w:t>%，比年初预算</w:t>
      </w:r>
      <w:r>
        <w:rPr>
          <w:rFonts w:hint="eastAsia" w:ascii="Times New Roman" w:hAnsi="Times New Roman" w:eastAsia="仿宋_GB2312" w:cs="Times New Roman"/>
          <w:color w:val="auto"/>
          <w:kern w:val="2"/>
          <w:sz w:val="32"/>
          <w:szCs w:val="32"/>
          <w:rtl w:val="0"/>
          <w:lang w:val="zh-CN" w:eastAsia="zh-CN"/>
        </w:rPr>
        <w:t>减少8,213.96万元</w:t>
      </w:r>
      <w:r>
        <w:rPr>
          <w:rFonts w:hint="default" w:ascii="Times New Roman" w:hAnsi="Times New Roman" w:eastAsia="仿宋_GB2312" w:cs="Times New Roman"/>
          <w:color w:val="auto"/>
          <w:kern w:val="2"/>
          <w:sz w:val="32"/>
          <w:szCs w:val="32"/>
          <w:rtl w:val="0"/>
          <w:lang w:val="zh-CN" w:eastAsia="zh-CN"/>
        </w:rPr>
        <w:t>，决算数小于预算数主要原因是</w:t>
      </w:r>
      <w:r>
        <w:rPr>
          <w:rFonts w:hint="eastAsia" w:ascii="Times New Roman" w:hAnsi="Times New Roman" w:eastAsia="仿宋_GB2312" w:cs="Times New Roman"/>
          <w:color w:val="auto"/>
          <w:kern w:val="2"/>
          <w:sz w:val="32"/>
          <w:szCs w:val="32"/>
          <w:rtl w:val="0"/>
          <w:lang w:val="zh-CN" w:eastAsia="zh-CN"/>
        </w:rPr>
        <w:t>人员经费及预算项目调整。</w:t>
      </w:r>
    </w:p>
    <w:p>
      <w:pPr>
        <w:adjustRightInd w:val="0"/>
        <w:snapToGrid w:val="0"/>
        <w:spacing w:line="240" w:lineRule="auto"/>
        <w:jc w:val="center"/>
        <w:rPr>
          <w:rFonts w:hint="eastAsia" w:ascii="仿宋_GB2312" w:hAnsi="Times New Roman" w:eastAsia="仿宋_GB2312" w:cs="DengXian-Regular"/>
          <w:sz w:val="32"/>
          <w:szCs w:val="32"/>
          <w:highlight w:val="none"/>
          <w:lang w:eastAsia="zh-CN"/>
        </w:rPr>
      </w:pPr>
      <w:r>
        <w:rPr>
          <w:rFonts w:ascii="Times New Roman" w:hAnsi="Times New Roman" w:eastAsia="仿宋_GB2312"/>
          <w:sz w:val="32"/>
          <w:szCs w:val="32"/>
          <w:highlight w:val="none"/>
        </w:rPr>
        <w:drawing>
          <wp:inline distT="0" distB="0" distL="114300" distR="114300">
            <wp:extent cx="5256530" cy="2988310"/>
            <wp:effectExtent l="5080" t="4445" r="15240" b="17145"/>
            <wp:docPr id="32" name="图表 32"/>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pPr>
        <w:numPr>
          <w:ilvl w:val="0"/>
          <w:numId w:val="1"/>
        </w:numPr>
        <w:adjustRightInd w:val="0"/>
        <w:snapToGrid w:val="0"/>
        <w:spacing w:line="580" w:lineRule="exact"/>
        <w:ind w:left="420" w:left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财政拨款支出决算结构情况</w:t>
      </w:r>
    </w:p>
    <w:p>
      <w:pPr>
        <w:autoSpaceDE w:val="0"/>
        <w:autoSpaceDN w:val="0"/>
        <w:adjustRightInd w:val="0"/>
        <w:spacing w:line="580" w:lineRule="exact"/>
        <w:ind w:firstLine="600"/>
        <w:jc w:val="left"/>
        <w:rPr>
          <w:rFonts w:hint="eastAsia" w:ascii="Times New Roman" w:hAnsi="Times New Roman" w:eastAsia="仿宋_GB2312" w:cs="Times New Roman"/>
          <w:color w:val="auto"/>
          <w:kern w:val="2"/>
          <w:sz w:val="32"/>
          <w:szCs w:val="32"/>
          <w:rtl w:val="0"/>
          <w:lang w:val="zh-CN" w:eastAsia="zh-CN"/>
        </w:rPr>
      </w:pPr>
      <w:r>
        <w:rPr>
          <w:rFonts w:hint="eastAsia" w:ascii="Times New Roman" w:hAnsi="Times New Roman" w:eastAsia="仿宋_GB2312" w:cs="Times New Roman"/>
          <w:color w:val="auto"/>
          <w:kern w:val="2"/>
          <w:sz w:val="32"/>
          <w:szCs w:val="32"/>
          <w:rtl w:val="0"/>
          <w:lang w:val="zh-CN" w:eastAsia="zh-CN"/>
        </w:rPr>
        <w:t>2023年度财政拨款支出</w:t>
      </w:r>
      <w:r>
        <w:rPr>
          <w:rFonts w:hint="eastAsia" w:ascii="Times New Roman" w:hAnsi="Times New Roman" w:eastAsia="仿宋_GB2312" w:cs="Times New Roman"/>
          <w:color w:val="auto"/>
          <w:kern w:val="2"/>
          <w:sz w:val="32"/>
          <w:szCs w:val="32"/>
          <w:rtl w:val="0"/>
          <w:lang w:val="en-US" w:eastAsia="zh-CN"/>
        </w:rPr>
        <w:t>57345.42</w:t>
      </w:r>
      <w:r>
        <w:rPr>
          <w:rFonts w:hint="eastAsia" w:ascii="Times New Roman" w:hAnsi="Times New Roman" w:eastAsia="仿宋_GB2312" w:cs="Times New Roman"/>
          <w:color w:val="auto"/>
          <w:kern w:val="2"/>
          <w:sz w:val="32"/>
          <w:szCs w:val="32"/>
          <w:rtl w:val="0"/>
          <w:lang w:val="zh-CN" w:eastAsia="zh-CN"/>
        </w:rPr>
        <w:t>万元，主要用于以下方面：</w:t>
      </w:r>
    </w:p>
    <w:p>
      <w:pPr>
        <w:autoSpaceDE w:val="0"/>
        <w:autoSpaceDN w:val="0"/>
        <w:adjustRightInd w:val="0"/>
        <w:spacing w:line="580" w:lineRule="exact"/>
        <w:ind w:firstLine="600"/>
        <w:jc w:val="left"/>
        <w:rPr>
          <w:rFonts w:hint="eastAsia" w:ascii="Times New Roman" w:hAnsi="Times New Roman" w:eastAsia="仿宋_GB2312" w:cs="Times New Roman"/>
          <w:color w:val="auto"/>
          <w:kern w:val="2"/>
          <w:sz w:val="32"/>
          <w:szCs w:val="32"/>
          <w:rtl w:val="0"/>
          <w:lang w:val="zh-CN" w:eastAsia="zh-CN"/>
        </w:rPr>
      </w:pPr>
      <w:r>
        <w:rPr>
          <w:rFonts w:hint="default" w:ascii="Times New Roman" w:hAnsi="Times New Roman" w:eastAsia="仿宋_GB2312" w:cs="Times New Roman"/>
          <w:color w:val="auto"/>
          <w:kern w:val="2"/>
          <w:sz w:val="32"/>
          <w:szCs w:val="32"/>
          <w:rtl w:val="0"/>
          <w:lang w:val="zh-CN" w:eastAsia="zh-CN"/>
        </w:rPr>
        <w:t>一般公共服务（类）支出1,315.74万元，占2.</w:t>
      </w:r>
      <w:r>
        <w:rPr>
          <w:rFonts w:hint="eastAsia" w:ascii="Times New Roman" w:hAnsi="Times New Roman" w:eastAsia="仿宋_GB2312" w:cs="Times New Roman"/>
          <w:color w:val="auto"/>
          <w:kern w:val="2"/>
          <w:sz w:val="32"/>
          <w:szCs w:val="32"/>
          <w:rtl w:val="0"/>
          <w:lang w:val="en-US" w:eastAsia="zh-CN"/>
        </w:rPr>
        <w:t>3</w:t>
      </w:r>
      <w:r>
        <w:rPr>
          <w:rFonts w:hint="default" w:ascii="Times New Roman" w:hAnsi="Times New Roman" w:eastAsia="仿宋_GB2312" w:cs="Times New Roman"/>
          <w:color w:val="auto"/>
          <w:kern w:val="2"/>
          <w:sz w:val="32"/>
          <w:szCs w:val="32"/>
          <w:rtl w:val="0"/>
          <w:lang w:val="zh-CN" w:eastAsia="zh-CN"/>
        </w:rPr>
        <w:t>%；社会保障和就业 （类）支出120.66万元，占0.2%；卫生健康（类）支出70.96万元，占0.1%；资源勘探信息等（类）支出55,528.82万元，占96.8%；住房保障（类）支出99.6万元，占0.</w:t>
      </w:r>
      <w:r>
        <w:rPr>
          <w:rFonts w:hint="eastAsia" w:ascii="Times New Roman" w:hAnsi="Times New Roman" w:eastAsia="仿宋_GB2312" w:cs="Times New Roman"/>
          <w:color w:val="auto"/>
          <w:kern w:val="2"/>
          <w:sz w:val="32"/>
          <w:szCs w:val="32"/>
          <w:rtl w:val="0"/>
          <w:lang w:val="en-US" w:eastAsia="zh-CN"/>
        </w:rPr>
        <w:t>2</w:t>
      </w:r>
      <w:r>
        <w:rPr>
          <w:rFonts w:hint="default" w:ascii="Times New Roman" w:hAnsi="Times New Roman" w:eastAsia="仿宋_GB2312" w:cs="Times New Roman"/>
          <w:color w:val="auto"/>
          <w:kern w:val="2"/>
          <w:sz w:val="32"/>
          <w:szCs w:val="32"/>
          <w:rtl w:val="0"/>
          <w:lang w:val="zh-CN" w:eastAsia="zh-CN"/>
        </w:rPr>
        <w:t>%；其他（类）支出209.64万元，占0.</w:t>
      </w:r>
      <w:r>
        <w:rPr>
          <w:rFonts w:hint="eastAsia" w:ascii="Times New Roman" w:hAnsi="Times New Roman" w:eastAsia="仿宋_GB2312" w:cs="Times New Roman"/>
          <w:color w:val="auto"/>
          <w:kern w:val="2"/>
          <w:sz w:val="32"/>
          <w:szCs w:val="32"/>
          <w:rtl w:val="0"/>
          <w:lang w:val="en-US" w:eastAsia="zh-CN"/>
        </w:rPr>
        <w:t>4</w:t>
      </w:r>
      <w:r>
        <w:rPr>
          <w:rFonts w:hint="default" w:ascii="Times New Roman" w:hAnsi="Times New Roman" w:eastAsia="仿宋_GB2312" w:cs="Times New Roman"/>
          <w:color w:val="auto"/>
          <w:kern w:val="2"/>
          <w:sz w:val="32"/>
          <w:szCs w:val="32"/>
          <w:rtl w:val="0"/>
          <w:lang w:val="zh-CN" w:eastAsia="zh-CN"/>
        </w:rPr>
        <w:t>%</w:t>
      </w:r>
      <w:r>
        <w:rPr>
          <w:rFonts w:hint="eastAsia" w:ascii="Times New Roman" w:hAnsi="Times New Roman" w:eastAsia="仿宋_GB2312" w:cs="Times New Roman"/>
          <w:color w:val="auto"/>
          <w:kern w:val="2"/>
          <w:sz w:val="32"/>
          <w:szCs w:val="32"/>
          <w:rtl w:val="0"/>
          <w:lang w:val="zh-CN" w:eastAsia="zh-CN"/>
        </w:rPr>
        <w:t>。</w:t>
      </w:r>
    </w:p>
    <w:p>
      <w:pPr>
        <w:adjustRightInd w:val="0"/>
        <w:snapToGrid w:val="0"/>
        <w:spacing w:line="240" w:lineRule="auto"/>
        <w:jc w:val="center"/>
        <w:rPr>
          <w:rFonts w:hint="eastAsia" w:ascii="仿宋_GB2312" w:hAnsi="Times New Roman" w:eastAsia="仿宋_GB2312" w:cs="DengXian-Regular"/>
          <w:sz w:val="32"/>
          <w:szCs w:val="32"/>
          <w:lang w:val="zh-CN" w:eastAsia="zh-CN"/>
        </w:rPr>
      </w:pPr>
      <w:r>
        <w:rPr>
          <w:rFonts w:ascii="Times New Roman" w:hAnsi="Times New Roman" w:eastAsia="仿宋_GB2312"/>
          <w:kern w:val="2"/>
          <w:sz w:val="32"/>
          <w:szCs w:val="32"/>
          <w:lang w:val="zh-CN"/>
        </w:rPr>
        <w:drawing>
          <wp:inline distT="0" distB="0" distL="114300" distR="114300">
            <wp:extent cx="5256530" cy="2749550"/>
            <wp:effectExtent l="4445" t="4445" r="15875" b="8255"/>
            <wp:docPr id="35" name="图表 35"/>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pPr>
        <w:adjustRightInd w:val="0"/>
        <w:snapToGrid w:val="0"/>
        <w:spacing w:line="580" w:lineRule="exact"/>
        <w:ind w:left="420" w:left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（四）一般公共预算基本支出决算情况说明</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firstLine="640" w:firstLineChars="200"/>
        <w:jc w:val="left"/>
        <w:textAlignment w:val="auto"/>
        <w:rPr>
          <w:rFonts w:hint="default" w:ascii="Times New Roman" w:hAnsi="Times New Roman" w:eastAsia="仿宋_GB2312" w:cs="Times New Roman"/>
          <w:color w:val="auto"/>
          <w:kern w:val="2"/>
          <w:sz w:val="32"/>
          <w:szCs w:val="32"/>
          <w:lang w:val="zh-CN" w:eastAsia="zh-CN" w:bidi="ar-SA"/>
        </w:rPr>
      </w:pPr>
      <w:r>
        <w:rPr>
          <w:rFonts w:hint="eastAsia" w:ascii="Times New Roman" w:hAnsi="Times New Roman" w:eastAsia="仿宋_GB2312" w:cs="Times New Roman"/>
          <w:color w:val="auto"/>
          <w:kern w:val="2"/>
          <w:sz w:val="32"/>
          <w:szCs w:val="32"/>
          <w:lang w:val="zh-CN" w:eastAsia="zh-CN" w:bidi="ar-SA"/>
        </w:rPr>
        <w:t>2023年度财政拨款基本支出</w:t>
      </w:r>
      <w:r>
        <w:rPr>
          <w:rFonts w:hint="default" w:ascii="Times New Roman" w:hAnsi="Times New Roman" w:eastAsia="仿宋_GB2312" w:cs="Times New Roman"/>
          <w:color w:val="auto"/>
          <w:kern w:val="2"/>
          <w:sz w:val="32"/>
          <w:szCs w:val="32"/>
          <w:lang w:val="zh-CN" w:eastAsia="zh-CN" w:bidi="ar-SA"/>
        </w:rPr>
        <w:t>1,301.82</w:t>
      </w:r>
      <w:r>
        <w:rPr>
          <w:rFonts w:hint="eastAsia" w:ascii="Times New Roman" w:hAnsi="Times New Roman" w:eastAsia="仿宋_GB2312" w:cs="Times New Roman"/>
          <w:color w:val="auto"/>
          <w:kern w:val="2"/>
          <w:sz w:val="32"/>
          <w:szCs w:val="32"/>
          <w:lang w:val="zh-CN" w:eastAsia="zh-CN" w:bidi="ar-SA"/>
        </w:rPr>
        <w:t>万元，其中：</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firstLine="640" w:firstLineChars="200"/>
        <w:jc w:val="left"/>
        <w:textAlignment w:val="auto"/>
        <w:rPr>
          <w:rFonts w:hint="default" w:ascii="Times New Roman" w:hAnsi="Times New Roman" w:eastAsia="仿宋_GB2312" w:cs="Times New Roman"/>
          <w:color w:val="auto"/>
          <w:kern w:val="2"/>
          <w:sz w:val="32"/>
          <w:szCs w:val="32"/>
          <w:lang w:val="zh-CN" w:eastAsia="zh-CN" w:bidi="ar-SA"/>
        </w:rPr>
      </w:pPr>
      <w:r>
        <w:rPr>
          <w:rFonts w:hint="eastAsia" w:ascii="Times New Roman" w:hAnsi="Times New Roman" w:eastAsia="仿宋_GB2312" w:cs="Times New Roman"/>
          <w:color w:val="auto"/>
          <w:kern w:val="2"/>
          <w:sz w:val="32"/>
          <w:szCs w:val="32"/>
          <w:lang w:val="zh-CN" w:eastAsia="zh-CN" w:bidi="ar-SA"/>
        </w:rPr>
        <w:t>人员经费</w:t>
      </w:r>
      <w:r>
        <w:rPr>
          <w:rFonts w:hint="default" w:ascii="Times New Roman" w:hAnsi="Times New Roman" w:eastAsia="仿宋_GB2312" w:cs="Times New Roman"/>
          <w:color w:val="auto"/>
          <w:kern w:val="2"/>
          <w:sz w:val="32"/>
          <w:szCs w:val="32"/>
          <w:lang w:val="zh-CN" w:eastAsia="zh-CN" w:bidi="ar-SA"/>
        </w:rPr>
        <w:t>1,184.86</w:t>
      </w:r>
      <w:r>
        <w:rPr>
          <w:rFonts w:hint="eastAsia" w:ascii="Times New Roman" w:hAnsi="Times New Roman" w:eastAsia="仿宋_GB2312" w:cs="Times New Roman"/>
          <w:color w:val="auto"/>
          <w:kern w:val="2"/>
          <w:sz w:val="32"/>
          <w:szCs w:val="32"/>
          <w:lang w:val="zh-CN" w:eastAsia="zh-CN" w:bidi="ar-SA"/>
        </w:rPr>
        <w:t>万元，主要包括基本工资、津贴补贴、奖金、绩效工资、机关事业单位基本养老保险缴费、职工基本医疗保险缴费、公务员医疗补助缴费、住房公积金、其他社会保障缴费、其他工资福利支出、退休费、奖励金、其他对个人和家庭的补助支出。</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firstLine="640" w:firstLineChars="200"/>
        <w:jc w:val="left"/>
        <w:textAlignment w:val="auto"/>
        <w:rPr>
          <w:rFonts w:hint="default" w:ascii="Times New Roman" w:hAnsi="Times New Roman" w:eastAsia="仿宋_GB2312" w:cs="Times New Roman"/>
          <w:color w:val="auto"/>
          <w:kern w:val="2"/>
          <w:sz w:val="32"/>
          <w:szCs w:val="32"/>
          <w:lang w:val="zh-CN" w:eastAsia="zh-CN" w:bidi="ar-SA"/>
        </w:rPr>
      </w:pPr>
      <w:r>
        <w:rPr>
          <w:rFonts w:hint="eastAsia" w:ascii="Times New Roman" w:hAnsi="Times New Roman" w:eastAsia="仿宋_GB2312" w:cs="Times New Roman"/>
          <w:color w:val="auto"/>
          <w:kern w:val="2"/>
          <w:sz w:val="32"/>
          <w:szCs w:val="32"/>
          <w:lang w:val="zh-CN" w:eastAsia="zh-CN" w:bidi="ar-SA"/>
        </w:rPr>
        <w:t>公用经费</w:t>
      </w:r>
      <w:r>
        <w:rPr>
          <w:rFonts w:hint="default" w:ascii="Times New Roman" w:hAnsi="Times New Roman" w:eastAsia="仿宋_GB2312" w:cs="Times New Roman"/>
          <w:color w:val="auto"/>
          <w:kern w:val="2"/>
          <w:sz w:val="32"/>
          <w:szCs w:val="32"/>
          <w:lang w:val="zh-CN" w:eastAsia="zh-CN" w:bidi="ar-SA"/>
        </w:rPr>
        <w:t>116.96</w:t>
      </w:r>
      <w:r>
        <w:rPr>
          <w:rFonts w:hint="eastAsia" w:ascii="Times New Roman" w:hAnsi="Times New Roman" w:eastAsia="仿宋_GB2312" w:cs="Times New Roman"/>
          <w:color w:val="auto"/>
          <w:kern w:val="2"/>
          <w:sz w:val="32"/>
          <w:szCs w:val="32"/>
          <w:lang w:val="zh-CN" w:eastAsia="zh-CN" w:bidi="ar-SA"/>
        </w:rPr>
        <w:t>万元，主要包括办公费、邮电费、差旅费、维修（护）费、培训费、工会经费、福利费、公务用车运行维护费、其他交通费用、其他商品和服务支出。</w:t>
      </w:r>
    </w:p>
    <w:p>
      <w:pPr>
        <w:keepNext/>
        <w:keepLines/>
        <w:snapToGrid w:val="0"/>
        <w:spacing w:line="580" w:lineRule="exact"/>
        <w:ind w:firstLine="640" w:firstLineChars="200"/>
        <w:outlineLvl w:val="1"/>
        <w:rPr>
          <w:rFonts w:ascii="黑体" w:hAnsi="Calibri" w:eastAsia="黑体" w:cs="Times New Roman"/>
          <w:color w:val="auto"/>
          <w:sz w:val="32"/>
          <w:szCs w:val="32"/>
        </w:rPr>
      </w:pPr>
      <w:r>
        <w:rPr>
          <w:rFonts w:hint="eastAsia" w:ascii="黑体" w:hAnsi="Calibri" w:eastAsia="黑体" w:cs="Times New Roman"/>
          <w:color w:val="auto"/>
          <w:sz w:val="32"/>
          <w:szCs w:val="32"/>
        </w:rPr>
        <w:t>五、财政拨款“三公” 经费支出决算情况说明</w:t>
      </w:r>
    </w:p>
    <w:p>
      <w:pPr>
        <w:adjustRightInd w:val="0"/>
        <w:snapToGrid w:val="0"/>
        <w:spacing w:line="580" w:lineRule="exact"/>
        <w:ind w:firstLine="643" w:firstLineChars="200"/>
        <w:outlineLvl w:val="2"/>
        <w:rPr>
          <w:rFonts w:ascii="楷体_GB2312" w:hAnsi="Times New Roman" w:eastAsia="楷体_GB2312" w:cs="DengXian-Bold"/>
          <w:b/>
          <w:bCs/>
          <w:color w:val="auto"/>
          <w:sz w:val="32"/>
          <w:szCs w:val="32"/>
        </w:rPr>
      </w:pPr>
      <w:r>
        <w:rPr>
          <w:rFonts w:hint="eastAsia" w:ascii="楷体_GB2312" w:hAnsi="Times New Roman" w:eastAsia="楷体_GB2312" w:cs="DengXian-Bold"/>
          <w:b/>
          <w:bCs/>
          <w:color w:val="auto"/>
          <w:sz w:val="32"/>
          <w:szCs w:val="32"/>
        </w:rPr>
        <w:t>（一）“三公”经费财政拨款支出决算总体情况说明</w:t>
      </w:r>
    </w:p>
    <w:p>
      <w:pPr>
        <w:adjustRightInd w:val="0"/>
        <w:snapToGrid w:val="0"/>
        <w:spacing w:line="580" w:lineRule="exact"/>
        <w:ind w:firstLine="660" w:firstLineChars="200"/>
        <w:rPr>
          <w:rFonts w:hint="eastAsia" w:ascii="Times New Roman" w:hAnsi="Times New Roman" w:eastAsia="仿宋_GB2312" w:cs="Times New Roman"/>
          <w:i w:val="0"/>
          <w:iCs w:val="0"/>
          <w:caps w:val="0"/>
          <w:color w:val="auto"/>
          <w:spacing w:val="0"/>
          <w:kern w:val="0"/>
          <w:sz w:val="33"/>
          <w:szCs w:val="33"/>
          <w:highlight w:val="none"/>
          <w:shd w:val="clear" w:fill="FFFFFF"/>
          <w:lang w:val="zh-CN" w:eastAsia="zh-CN" w:bidi="ar"/>
        </w:rPr>
      </w:pPr>
      <w:r>
        <w:rPr>
          <w:rFonts w:hint="eastAsia" w:ascii="Times New Roman" w:hAnsi="Times New Roman" w:eastAsia="仿宋_GB2312" w:cs="Times New Roman"/>
          <w:i w:val="0"/>
          <w:iCs w:val="0"/>
          <w:caps w:val="0"/>
          <w:color w:val="auto"/>
          <w:spacing w:val="0"/>
          <w:kern w:val="0"/>
          <w:sz w:val="33"/>
          <w:szCs w:val="33"/>
          <w:highlight w:val="none"/>
          <w:shd w:val="clear" w:fill="FFFFFF"/>
          <w:lang w:val="zh-CN" w:eastAsia="zh-CN" w:bidi="ar"/>
        </w:rPr>
        <w:t>本部门2023年度“三公”经费财政拨款支出预算为</w:t>
      </w:r>
      <w:r>
        <w:rPr>
          <w:rFonts w:hint="eastAsia" w:ascii="Times New Roman" w:hAnsi="Times New Roman" w:eastAsia="仿宋_GB2312" w:cs="Times New Roman"/>
          <w:i w:val="0"/>
          <w:iCs w:val="0"/>
          <w:caps w:val="0"/>
          <w:color w:val="auto"/>
          <w:spacing w:val="0"/>
          <w:kern w:val="0"/>
          <w:sz w:val="33"/>
          <w:szCs w:val="33"/>
          <w:highlight w:val="none"/>
          <w:shd w:val="clear" w:fill="FFFFFF"/>
          <w:lang w:val="en-US" w:eastAsia="zh-CN" w:bidi="ar"/>
        </w:rPr>
        <w:t>6.53</w:t>
      </w:r>
      <w:r>
        <w:rPr>
          <w:rFonts w:hint="eastAsia" w:ascii="Times New Roman" w:hAnsi="Times New Roman" w:eastAsia="仿宋_GB2312" w:cs="Times New Roman"/>
          <w:i w:val="0"/>
          <w:iCs w:val="0"/>
          <w:caps w:val="0"/>
          <w:color w:val="auto"/>
          <w:spacing w:val="0"/>
          <w:kern w:val="0"/>
          <w:sz w:val="33"/>
          <w:szCs w:val="33"/>
          <w:highlight w:val="none"/>
          <w:shd w:val="clear" w:fill="FFFFFF"/>
          <w:lang w:val="zh-CN" w:eastAsia="zh-CN" w:bidi="ar"/>
        </w:rPr>
        <w:t>万元，支出决算为</w:t>
      </w:r>
      <w:r>
        <w:rPr>
          <w:rFonts w:hint="eastAsia" w:ascii="Times New Roman" w:hAnsi="Times New Roman" w:eastAsia="仿宋_GB2312" w:cs="Times New Roman"/>
          <w:i w:val="0"/>
          <w:iCs w:val="0"/>
          <w:caps w:val="0"/>
          <w:color w:val="auto"/>
          <w:spacing w:val="0"/>
          <w:kern w:val="0"/>
          <w:sz w:val="33"/>
          <w:szCs w:val="33"/>
          <w:highlight w:val="none"/>
          <w:shd w:val="clear" w:fill="FFFFFF"/>
          <w:lang w:val="en-US" w:eastAsia="zh-CN" w:bidi="ar"/>
        </w:rPr>
        <w:t>3.65</w:t>
      </w:r>
      <w:r>
        <w:rPr>
          <w:rFonts w:hint="eastAsia" w:ascii="Times New Roman" w:hAnsi="Times New Roman" w:eastAsia="仿宋_GB2312" w:cs="Times New Roman"/>
          <w:i w:val="0"/>
          <w:iCs w:val="0"/>
          <w:caps w:val="0"/>
          <w:color w:val="auto"/>
          <w:spacing w:val="0"/>
          <w:kern w:val="0"/>
          <w:sz w:val="33"/>
          <w:szCs w:val="33"/>
          <w:highlight w:val="none"/>
          <w:shd w:val="clear" w:fill="FFFFFF"/>
          <w:lang w:val="zh-CN" w:eastAsia="zh-CN" w:bidi="ar"/>
        </w:rPr>
        <w:t>万元，完成预算的</w:t>
      </w:r>
      <w:r>
        <w:rPr>
          <w:rFonts w:hint="eastAsia" w:ascii="Times New Roman" w:hAnsi="Times New Roman" w:eastAsia="仿宋_GB2312" w:cs="Times New Roman"/>
          <w:i w:val="0"/>
          <w:iCs w:val="0"/>
          <w:caps w:val="0"/>
          <w:color w:val="auto"/>
          <w:spacing w:val="0"/>
          <w:kern w:val="0"/>
          <w:sz w:val="33"/>
          <w:szCs w:val="33"/>
          <w:highlight w:val="none"/>
          <w:shd w:val="clear" w:fill="FFFFFF"/>
          <w:lang w:val="en-US" w:eastAsia="zh-CN" w:bidi="ar"/>
        </w:rPr>
        <w:t>55.9</w:t>
      </w:r>
      <w:r>
        <w:rPr>
          <w:rFonts w:hint="eastAsia" w:ascii="Times New Roman" w:hAnsi="Times New Roman" w:eastAsia="仿宋_GB2312" w:cs="Times New Roman"/>
          <w:i w:val="0"/>
          <w:iCs w:val="0"/>
          <w:caps w:val="0"/>
          <w:color w:val="auto"/>
          <w:spacing w:val="0"/>
          <w:kern w:val="0"/>
          <w:sz w:val="33"/>
          <w:szCs w:val="33"/>
          <w:highlight w:val="none"/>
          <w:shd w:val="clear" w:fill="FFFFFF"/>
          <w:lang w:val="zh-CN" w:eastAsia="zh-CN" w:bidi="ar"/>
        </w:rPr>
        <w:t>%,</w:t>
      </w:r>
      <w:r>
        <w:rPr>
          <w:rFonts w:hint="default" w:ascii="Times New Roman" w:hAnsi="Times New Roman" w:eastAsia="仿宋_GB2312" w:cs="Times New Roman"/>
          <w:i w:val="0"/>
          <w:iCs w:val="0"/>
          <w:caps w:val="0"/>
          <w:color w:val="auto"/>
          <w:spacing w:val="0"/>
          <w:kern w:val="0"/>
          <w:sz w:val="33"/>
          <w:szCs w:val="33"/>
          <w:highlight w:val="none"/>
          <w:shd w:val="clear" w:fill="FFFFFF"/>
          <w:lang w:val="zh-CN" w:eastAsia="zh-CN" w:bidi="ar"/>
        </w:rPr>
        <w:t>较预算</w:t>
      </w:r>
      <w:r>
        <w:rPr>
          <w:rFonts w:hint="eastAsia" w:ascii="Times New Roman" w:hAnsi="Times New Roman" w:eastAsia="仿宋_GB2312" w:cs="Times New Roman"/>
          <w:i w:val="0"/>
          <w:iCs w:val="0"/>
          <w:caps w:val="0"/>
          <w:color w:val="auto"/>
          <w:spacing w:val="0"/>
          <w:kern w:val="0"/>
          <w:sz w:val="33"/>
          <w:szCs w:val="33"/>
          <w:highlight w:val="none"/>
          <w:shd w:val="clear" w:fill="FFFFFF"/>
          <w:lang w:val="zh-CN" w:eastAsia="zh-CN" w:bidi="ar"/>
        </w:rPr>
        <w:t>减少2.88万元，降低44.</w:t>
      </w:r>
      <w:r>
        <w:rPr>
          <w:rFonts w:hint="eastAsia" w:ascii="Times New Roman" w:hAnsi="Times New Roman" w:eastAsia="仿宋_GB2312" w:cs="Times New Roman"/>
          <w:i w:val="0"/>
          <w:iCs w:val="0"/>
          <w:caps w:val="0"/>
          <w:color w:val="auto"/>
          <w:spacing w:val="0"/>
          <w:kern w:val="0"/>
          <w:sz w:val="33"/>
          <w:szCs w:val="33"/>
          <w:highlight w:val="none"/>
          <w:shd w:val="clear" w:fill="FFFFFF"/>
          <w:lang w:val="en-US" w:eastAsia="zh-CN" w:bidi="ar"/>
        </w:rPr>
        <w:t>1</w:t>
      </w:r>
      <w:r>
        <w:rPr>
          <w:rFonts w:hint="eastAsia" w:ascii="Times New Roman" w:hAnsi="Times New Roman" w:eastAsia="仿宋_GB2312" w:cs="Times New Roman"/>
          <w:i w:val="0"/>
          <w:iCs w:val="0"/>
          <w:caps w:val="0"/>
          <w:color w:val="auto"/>
          <w:spacing w:val="0"/>
          <w:kern w:val="0"/>
          <w:sz w:val="33"/>
          <w:szCs w:val="33"/>
          <w:highlight w:val="none"/>
          <w:shd w:val="clear" w:fill="FFFFFF"/>
          <w:lang w:val="zh-CN" w:eastAsia="zh-CN" w:bidi="ar"/>
        </w:rPr>
        <w:t>%，主要是</w:t>
      </w:r>
      <w:r>
        <w:rPr>
          <w:rFonts w:hint="eastAsia" w:ascii="Times New Roman" w:hAnsi="Times New Roman" w:eastAsia="仿宋_GB2312" w:cs="Times New Roman"/>
          <w:i w:val="0"/>
          <w:iCs w:val="0"/>
          <w:caps w:val="0"/>
          <w:color w:val="auto"/>
          <w:spacing w:val="0"/>
          <w:kern w:val="0"/>
          <w:sz w:val="33"/>
          <w:szCs w:val="33"/>
          <w:highlight w:val="none"/>
          <w:shd w:val="clear" w:fill="FFFFFF"/>
          <w:rtl w:val="0"/>
          <w:lang w:val="en-US" w:eastAsia="zh-CN" w:bidi="ar"/>
        </w:rPr>
        <w:t>我单位认真贯彻落实关于厉行节约的各项要求，采取有力措施，严格控制“三公”经费支出</w:t>
      </w:r>
      <w:r>
        <w:rPr>
          <w:rFonts w:hint="eastAsia" w:ascii="Times New Roman" w:hAnsi="Times New Roman" w:eastAsia="仿宋_GB2312" w:cs="Times New Roman"/>
          <w:i w:val="0"/>
          <w:iCs w:val="0"/>
          <w:caps w:val="0"/>
          <w:color w:val="auto"/>
          <w:spacing w:val="0"/>
          <w:kern w:val="0"/>
          <w:sz w:val="33"/>
          <w:szCs w:val="33"/>
          <w:highlight w:val="none"/>
          <w:shd w:val="clear" w:fill="FFFFFF"/>
          <w:lang w:val="zh-CN" w:eastAsia="zh-CN" w:bidi="ar"/>
        </w:rPr>
        <w:t>；</w:t>
      </w:r>
      <w:r>
        <w:rPr>
          <w:rFonts w:hint="default" w:ascii="Times New Roman" w:hAnsi="Times New Roman" w:eastAsia="仿宋_GB2312" w:cs="Times New Roman"/>
          <w:i w:val="0"/>
          <w:iCs w:val="0"/>
          <w:caps w:val="0"/>
          <w:color w:val="auto"/>
          <w:spacing w:val="0"/>
          <w:kern w:val="0"/>
          <w:sz w:val="33"/>
          <w:szCs w:val="33"/>
          <w:highlight w:val="none"/>
          <w:shd w:val="clear" w:fill="FFFFFF"/>
          <w:lang w:val="zh-CN" w:eastAsia="zh-CN" w:bidi="ar"/>
        </w:rPr>
        <w:t>较2022年度决算</w:t>
      </w:r>
      <w:r>
        <w:rPr>
          <w:rFonts w:hint="eastAsia" w:ascii="Times New Roman" w:hAnsi="Times New Roman" w:eastAsia="仿宋_GB2312" w:cs="Times New Roman"/>
          <w:i w:val="0"/>
          <w:iCs w:val="0"/>
          <w:caps w:val="0"/>
          <w:color w:val="auto"/>
          <w:spacing w:val="0"/>
          <w:kern w:val="0"/>
          <w:sz w:val="33"/>
          <w:szCs w:val="33"/>
          <w:highlight w:val="none"/>
          <w:shd w:val="clear" w:fill="FFFFFF"/>
          <w:lang w:val="zh-CN" w:eastAsia="zh-CN" w:bidi="ar"/>
        </w:rPr>
        <w:t>减少4.22万元，降低53.6%，主要是</w:t>
      </w:r>
      <w:r>
        <w:rPr>
          <w:rFonts w:hint="eastAsia" w:ascii="Times New Roman" w:hAnsi="Times New Roman" w:eastAsia="仿宋_GB2312" w:cs="Times New Roman"/>
          <w:i w:val="0"/>
          <w:iCs w:val="0"/>
          <w:caps w:val="0"/>
          <w:color w:val="auto"/>
          <w:spacing w:val="0"/>
          <w:kern w:val="0"/>
          <w:sz w:val="33"/>
          <w:szCs w:val="33"/>
          <w:highlight w:val="none"/>
          <w:shd w:val="clear" w:fill="FFFFFF"/>
          <w:rtl w:val="0"/>
          <w:lang w:val="en-US" w:eastAsia="zh-CN" w:bidi="ar"/>
        </w:rPr>
        <w:t>我单位认真贯彻落实关于厉行节约的各项要求，采取有力措施，严格控制“三公”经费支出</w:t>
      </w:r>
      <w:r>
        <w:rPr>
          <w:rFonts w:hint="eastAsia" w:ascii="Times New Roman" w:hAnsi="Times New Roman" w:eastAsia="仿宋_GB2312" w:cs="Times New Roman"/>
          <w:i w:val="0"/>
          <w:iCs w:val="0"/>
          <w:caps w:val="0"/>
          <w:color w:val="auto"/>
          <w:spacing w:val="0"/>
          <w:kern w:val="0"/>
          <w:sz w:val="33"/>
          <w:szCs w:val="33"/>
          <w:highlight w:val="none"/>
          <w:shd w:val="clear" w:fill="FFFFFF"/>
          <w:lang w:val="zh-CN" w:eastAsia="zh-CN" w:bidi="ar"/>
        </w:rPr>
        <w:t>。</w:t>
      </w:r>
    </w:p>
    <w:p>
      <w:pPr>
        <w:adjustRightInd w:val="0"/>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（二）“三公”经费财政拨款支出决算具体情况说明</w:t>
      </w:r>
    </w:p>
    <w:p>
      <w:pPr>
        <w:adjustRightInd w:val="0"/>
        <w:snapToGrid w:val="0"/>
        <w:spacing w:line="580" w:lineRule="exact"/>
        <w:ind w:firstLine="643" w:firstLineChars="200"/>
        <w:rPr>
          <w:rFonts w:hint="default" w:ascii="Times New Roman" w:hAnsi="Times New Roman" w:eastAsia="仿宋_GB2312" w:cs="Times New Roman"/>
          <w:color w:val="auto"/>
          <w:kern w:val="2"/>
          <w:sz w:val="32"/>
          <w:szCs w:val="32"/>
          <w:lang w:val="zh-CN" w:eastAsia="zh-CN" w:bidi="ar-SA"/>
        </w:rPr>
      </w:pPr>
      <w:r>
        <w:rPr>
          <w:rFonts w:hint="eastAsia" w:ascii="楷体_GB2312" w:hAnsi="Times New Roman" w:eastAsia="楷体_GB2312" w:cs="DengXian-Bold"/>
          <w:b/>
          <w:bCs/>
          <w:sz w:val="32"/>
          <w:szCs w:val="32"/>
        </w:rPr>
        <w:t>1.因公出国（境）费支出情况。</w:t>
      </w:r>
      <w:r>
        <w:rPr>
          <w:rFonts w:hint="eastAsia" w:ascii="Times New Roman" w:hAnsi="Times New Roman" w:eastAsia="仿宋_GB2312" w:cs="Times New Roman"/>
          <w:i w:val="0"/>
          <w:iCs w:val="0"/>
          <w:caps w:val="0"/>
          <w:color w:val="auto"/>
          <w:spacing w:val="0"/>
          <w:kern w:val="0"/>
          <w:sz w:val="33"/>
          <w:szCs w:val="33"/>
          <w:highlight w:val="none"/>
          <w:shd w:val="clear" w:fill="FFFFFF"/>
          <w:lang w:val="zh-CN" w:eastAsia="zh-CN" w:bidi="ar"/>
        </w:rPr>
        <w:t>本部门2023年度因公出国（境）费支出预算为</w:t>
      </w:r>
      <w:r>
        <w:rPr>
          <w:rFonts w:hint="eastAsia" w:ascii="Times New Roman" w:hAnsi="Times New Roman" w:eastAsia="仿宋_GB2312" w:cs="Times New Roman"/>
          <w:i w:val="0"/>
          <w:iCs w:val="0"/>
          <w:caps w:val="0"/>
          <w:color w:val="auto"/>
          <w:spacing w:val="0"/>
          <w:kern w:val="0"/>
          <w:sz w:val="33"/>
          <w:szCs w:val="33"/>
          <w:highlight w:val="none"/>
          <w:shd w:val="clear" w:fill="FFFFFF"/>
          <w:lang w:val="en-US" w:eastAsia="zh-CN" w:bidi="ar"/>
        </w:rPr>
        <w:t>0</w:t>
      </w:r>
      <w:r>
        <w:rPr>
          <w:rFonts w:hint="eastAsia" w:ascii="Times New Roman" w:hAnsi="Times New Roman" w:eastAsia="仿宋_GB2312" w:cs="Times New Roman"/>
          <w:i w:val="0"/>
          <w:iCs w:val="0"/>
          <w:caps w:val="0"/>
          <w:color w:val="auto"/>
          <w:spacing w:val="0"/>
          <w:kern w:val="0"/>
          <w:sz w:val="33"/>
          <w:szCs w:val="33"/>
          <w:highlight w:val="none"/>
          <w:shd w:val="clear" w:fill="FFFFFF"/>
          <w:lang w:val="zh-CN" w:eastAsia="zh-CN" w:bidi="ar"/>
        </w:rPr>
        <w:t>万元，支出决算</w:t>
      </w:r>
      <w:r>
        <w:rPr>
          <w:rFonts w:hint="eastAsia" w:ascii="Times New Roman" w:hAnsi="Times New Roman" w:eastAsia="仿宋_GB2312" w:cs="Times New Roman"/>
          <w:i w:val="0"/>
          <w:iCs w:val="0"/>
          <w:caps w:val="0"/>
          <w:color w:val="auto"/>
          <w:spacing w:val="0"/>
          <w:kern w:val="0"/>
          <w:sz w:val="33"/>
          <w:szCs w:val="33"/>
          <w:highlight w:val="none"/>
          <w:shd w:val="clear" w:fill="FFFFFF"/>
          <w:lang w:val="en-US" w:eastAsia="zh-CN" w:bidi="ar"/>
        </w:rPr>
        <w:t>0</w:t>
      </w:r>
      <w:r>
        <w:rPr>
          <w:rFonts w:hint="eastAsia" w:ascii="Times New Roman" w:hAnsi="Times New Roman" w:eastAsia="仿宋_GB2312" w:cs="Times New Roman"/>
          <w:i w:val="0"/>
          <w:iCs w:val="0"/>
          <w:caps w:val="0"/>
          <w:color w:val="auto"/>
          <w:spacing w:val="0"/>
          <w:kern w:val="0"/>
          <w:sz w:val="33"/>
          <w:szCs w:val="33"/>
          <w:highlight w:val="none"/>
          <w:shd w:val="clear" w:fill="FFFFFF"/>
          <w:lang w:val="zh-CN" w:eastAsia="zh-CN" w:bidi="ar"/>
        </w:rPr>
        <w:t>万元，完成预算的</w:t>
      </w:r>
      <w:r>
        <w:rPr>
          <w:rFonts w:hint="eastAsia" w:ascii="Times New Roman" w:hAnsi="Times New Roman" w:eastAsia="仿宋_GB2312" w:cs="Times New Roman"/>
          <w:i w:val="0"/>
          <w:iCs w:val="0"/>
          <w:caps w:val="0"/>
          <w:color w:val="auto"/>
          <w:spacing w:val="0"/>
          <w:kern w:val="0"/>
          <w:sz w:val="33"/>
          <w:szCs w:val="33"/>
          <w:highlight w:val="none"/>
          <w:shd w:val="clear" w:fill="FFFFFF"/>
          <w:lang w:val="en-US" w:eastAsia="zh-CN" w:bidi="ar"/>
        </w:rPr>
        <w:t>100</w:t>
      </w:r>
      <w:r>
        <w:rPr>
          <w:rFonts w:hint="eastAsia" w:ascii="Times New Roman" w:hAnsi="Times New Roman" w:eastAsia="仿宋_GB2312" w:cs="Times New Roman"/>
          <w:i w:val="0"/>
          <w:iCs w:val="0"/>
          <w:caps w:val="0"/>
          <w:color w:val="auto"/>
          <w:spacing w:val="0"/>
          <w:kern w:val="0"/>
          <w:sz w:val="33"/>
          <w:szCs w:val="33"/>
          <w:highlight w:val="none"/>
          <w:shd w:val="clear" w:fill="FFFFFF"/>
          <w:lang w:val="zh-CN" w:eastAsia="zh-CN" w:bidi="ar"/>
        </w:rPr>
        <w:t>%。因公出国（境）费支出较预算持平；</w:t>
      </w:r>
      <w:r>
        <w:rPr>
          <w:rFonts w:hint="default" w:ascii="Times New Roman" w:hAnsi="Times New Roman" w:eastAsia="仿宋_GB2312" w:cs="Times New Roman"/>
          <w:i w:val="0"/>
          <w:iCs w:val="0"/>
          <w:caps w:val="0"/>
          <w:color w:val="auto"/>
          <w:spacing w:val="0"/>
          <w:kern w:val="0"/>
          <w:sz w:val="33"/>
          <w:szCs w:val="33"/>
          <w:highlight w:val="none"/>
          <w:shd w:val="clear" w:fill="FFFFFF"/>
          <w:lang w:val="en-US" w:eastAsia="zh-CN" w:bidi="ar"/>
        </w:rPr>
        <w:t>较上年</w:t>
      </w:r>
      <w:r>
        <w:rPr>
          <w:rFonts w:hint="eastAsia" w:ascii="Times New Roman" w:hAnsi="Times New Roman" w:eastAsia="仿宋_GB2312" w:cs="Times New Roman"/>
          <w:i w:val="0"/>
          <w:iCs w:val="0"/>
          <w:caps w:val="0"/>
          <w:color w:val="auto"/>
          <w:spacing w:val="0"/>
          <w:kern w:val="0"/>
          <w:sz w:val="33"/>
          <w:szCs w:val="33"/>
          <w:highlight w:val="none"/>
          <w:shd w:val="clear" w:fill="FFFFFF"/>
          <w:lang w:val="en-US" w:eastAsia="zh-CN" w:bidi="ar"/>
        </w:rPr>
        <w:t>度</w:t>
      </w:r>
      <w:r>
        <w:rPr>
          <w:rFonts w:hint="eastAsia" w:ascii="Times New Roman" w:hAnsi="Times New Roman" w:eastAsia="仿宋_GB2312" w:cs="Times New Roman"/>
          <w:i w:val="0"/>
          <w:iCs w:val="0"/>
          <w:caps w:val="0"/>
          <w:color w:val="auto"/>
          <w:spacing w:val="0"/>
          <w:kern w:val="0"/>
          <w:sz w:val="33"/>
          <w:szCs w:val="33"/>
          <w:highlight w:val="none"/>
          <w:shd w:val="clear" w:fill="FFFFFF"/>
          <w:lang w:val="zh-CN" w:eastAsia="zh-CN" w:bidi="ar"/>
        </w:rPr>
        <w:t>持平。</w:t>
      </w:r>
      <w:r>
        <w:rPr>
          <w:rFonts w:hint="default" w:ascii="Times New Roman" w:hAnsi="Times New Roman" w:eastAsia="仿宋_GB2312" w:cs="Times New Roman"/>
          <w:color w:val="auto"/>
          <w:kern w:val="2"/>
          <w:sz w:val="32"/>
          <w:szCs w:val="32"/>
          <w:lang w:val="zh-CN" w:eastAsia="zh-CN" w:bidi="ar-SA"/>
        </w:rPr>
        <w:t>本年度共发生公务接待</w:t>
      </w:r>
      <w:r>
        <w:rPr>
          <w:rFonts w:hint="eastAsia" w:ascii="Times New Roman" w:hAnsi="Times New Roman" w:eastAsia="仿宋_GB2312" w:cs="Times New Roman"/>
          <w:color w:val="auto"/>
          <w:kern w:val="2"/>
          <w:sz w:val="32"/>
          <w:szCs w:val="32"/>
          <w:lang w:val="en-US" w:eastAsia="zh-CN" w:bidi="ar-SA"/>
        </w:rPr>
        <w:t>0</w:t>
      </w:r>
      <w:r>
        <w:rPr>
          <w:rFonts w:hint="default" w:ascii="Times New Roman" w:hAnsi="Times New Roman" w:eastAsia="仿宋_GB2312" w:cs="Times New Roman"/>
          <w:color w:val="auto"/>
          <w:kern w:val="2"/>
          <w:sz w:val="32"/>
          <w:szCs w:val="32"/>
          <w:lang w:val="zh-CN" w:eastAsia="zh-CN" w:bidi="ar-SA"/>
        </w:rPr>
        <w:t>批次、</w:t>
      </w:r>
      <w:r>
        <w:rPr>
          <w:rFonts w:hint="eastAsia" w:ascii="Times New Roman" w:hAnsi="Times New Roman" w:eastAsia="仿宋_GB2312" w:cs="Times New Roman"/>
          <w:color w:val="auto"/>
          <w:kern w:val="2"/>
          <w:sz w:val="32"/>
          <w:szCs w:val="32"/>
          <w:lang w:val="en-US" w:eastAsia="zh-CN" w:bidi="ar-SA"/>
        </w:rPr>
        <w:t>0</w:t>
      </w:r>
      <w:r>
        <w:rPr>
          <w:rFonts w:hint="default" w:ascii="Times New Roman" w:hAnsi="Times New Roman" w:eastAsia="仿宋_GB2312" w:cs="Times New Roman"/>
          <w:color w:val="auto"/>
          <w:kern w:val="2"/>
          <w:sz w:val="32"/>
          <w:szCs w:val="32"/>
          <w:lang w:val="zh-CN" w:eastAsia="zh-CN" w:bidi="ar-SA"/>
        </w:rPr>
        <w:t>人次。</w:t>
      </w:r>
    </w:p>
    <w:p>
      <w:pPr>
        <w:adjustRightInd w:val="0"/>
        <w:snapToGrid w:val="0"/>
        <w:spacing w:line="580" w:lineRule="exact"/>
        <w:ind w:firstLine="643" w:firstLineChars="200"/>
        <w:rPr>
          <w:rFonts w:hint="eastAsia" w:ascii="Times New Roman" w:hAnsi="Times New Roman" w:eastAsia="仿宋_GB2312" w:cs="Times New Roman"/>
          <w:i w:val="0"/>
          <w:iCs w:val="0"/>
          <w:caps w:val="0"/>
          <w:color w:val="auto"/>
          <w:spacing w:val="0"/>
          <w:kern w:val="0"/>
          <w:sz w:val="33"/>
          <w:szCs w:val="33"/>
          <w:highlight w:val="none"/>
          <w:shd w:val="clear" w:fill="FFFFFF"/>
          <w:lang w:val="zh-CN" w:eastAsia="zh-CN" w:bidi="ar"/>
        </w:rPr>
      </w:pPr>
      <w:r>
        <w:rPr>
          <w:rFonts w:hint="eastAsia" w:ascii="楷体_GB2312" w:hAnsi="Times New Roman" w:eastAsia="楷体_GB2312" w:cs="DengXian-Bold"/>
          <w:b/>
          <w:bCs/>
          <w:sz w:val="32"/>
          <w:szCs w:val="32"/>
        </w:rPr>
        <w:t>2.公务用车购置及运行维护费支出情况。</w:t>
      </w:r>
      <w:r>
        <w:rPr>
          <w:rFonts w:hint="eastAsia" w:ascii="Times New Roman" w:hAnsi="Times New Roman" w:eastAsia="仿宋_GB2312" w:cs="Times New Roman"/>
          <w:i w:val="0"/>
          <w:iCs w:val="0"/>
          <w:caps w:val="0"/>
          <w:color w:val="auto"/>
          <w:spacing w:val="0"/>
          <w:kern w:val="0"/>
          <w:sz w:val="33"/>
          <w:szCs w:val="33"/>
          <w:highlight w:val="none"/>
          <w:shd w:val="clear" w:fill="FFFFFF"/>
          <w:lang w:val="zh-CN" w:eastAsia="zh-CN" w:bidi="ar"/>
        </w:rPr>
        <w:t>本部门2023年度公务用车购置及运行维护费预算为</w:t>
      </w:r>
      <w:r>
        <w:rPr>
          <w:rFonts w:hint="eastAsia" w:ascii="Times New Roman" w:hAnsi="Times New Roman" w:eastAsia="仿宋_GB2312" w:cs="Times New Roman"/>
          <w:i w:val="0"/>
          <w:iCs w:val="0"/>
          <w:caps w:val="0"/>
          <w:color w:val="auto"/>
          <w:spacing w:val="0"/>
          <w:kern w:val="0"/>
          <w:sz w:val="33"/>
          <w:szCs w:val="33"/>
          <w:highlight w:val="none"/>
          <w:shd w:val="clear" w:fill="FFFFFF"/>
          <w:lang w:val="en-US" w:eastAsia="zh-CN" w:bidi="ar"/>
        </w:rPr>
        <w:t>5.8</w:t>
      </w:r>
      <w:r>
        <w:rPr>
          <w:rFonts w:hint="eastAsia" w:ascii="Times New Roman" w:hAnsi="Times New Roman" w:eastAsia="仿宋_GB2312" w:cs="Times New Roman"/>
          <w:i w:val="0"/>
          <w:iCs w:val="0"/>
          <w:caps w:val="0"/>
          <w:color w:val="auto"/>
          <w:spacing w:val="0"/>
          <w:kern w:val="0"/>
          <w:sz w:val="33"/>
          <w:szCs w:val="33"/>
          <w:highlight w:val="none"/>
          <w:shd w:val="clear" w:fill="FFFFFF"/>
          <w:lang w:val="zh-CN" w:eastAsia="zh-CN" w:bidi="ar"/>
        </w:rPr>
        <w:t>万元，支出决算</w:t>
      </w:r>
      <w:r>
        <w:rPr>
          <w:rFonts w:hint="eastAsia" w:ascii="Times New Roman" w:hAnsi="Times New Roman" w:eastAsia="仿宋_GB2312" w:cs="Times New Roman"/>
          <w:i w:val="0"/>
          <w:iCs w:val="0"/>
          <w:caps w:val="0"/>
          <w:color w:val="auto"/>
          <w:spacing w:val="0"/>
          <w:kern w:val="0"/>
          <w:sz w:val="33"/>
          <w:szCs w:val="33"/>
          <w:highlight w:val="none"/>
          <w:shd w:val="clear" w:fill="FFFFFF"/>
          <w:lang w:val="en-US" w:eastAsia="zh-CN" w:bidi="ar"/>
        </w:rPr>
        <w:t>3.65</w:t>
      </w:r>
      <w:r>
        <w:rPr>
          <w:rFonts w:hint="eastAsia" w:ascii="Times New Roman" w:hAnsi="Times New Roman" w:eastAsia="仿宋_GB2312" w:cs="Times New Roman"/>
          <w:i w:val="0"/>
          <w:iCs w:val="0"/>
          <w:caps w:val="0"/>
          <w:color w:val="auto"/>
          <w:spacing w:val="0"/>
          <w:kern w:val="0"/>
          <w:sz w:val="33"/>
          <w:szCs w:val="33"/>
          <w:highlight w:val="none"/>
          <w:shd w:val="clear" w:fill="FFFFFF"/>
          <w:lang w:val="zh-CN" w:eastAsia="zh-CN" w:bidi="ar"/>
        </w:rPr>
        <w:t>万元，完成预算的</w:t>
      </w:r>
      <w:r>
        <w:rPr>
          <w:rFonts w:hint="eastAsia" w:ascii="Times New Roman" w:hAnsi="Times New Roman" w:eastAsia="仿宋_GB2312" w:cs="Times New Roman"/>
          <w:i w:val="0"/>
          <w:iCs w:val="0"/>
          <w:caps w:val="0"/>
          <w:color w:val="auto"/>
          <w:spacing w:val="0"/>
          <w:kern w:val="0"/>
          <w:sz w:val="33"/>
          <w:szCs w:val="33"/>
          <w:highlight w:val="none"/>
          <w:shd w:val="clear" w:fill="FFFFFF"/>
          <w:lang w:val="en-US" w:eastAsia="zh-CN" w:bidi="ar"/>
        </w:rPr>
        <w:t>63</w:t>
      </w:r>
      <w:r>
        <w:rPr>
          <w:rFonts w:hint="eastAsia" w:ascii="Times New Roman" w:hAnsi="Times New Roman" w:eastAsia="仿宋_GB2312" w:cs="Times New Roman"/>
          <w:i w:val="0"/>
          <w:iCs w:val="0"/>
          <w:caps w:val="0"/>
          <w:color w:val="auto"/>
          <w:spacing w:val="0"/>
          <w:kern w:val="0"/>
          <w:sz w:val="33"/>
          <w:szCs w:val="33"/>
          <w:highlight w:val="none"/>
          <w:shd w:val="clear" w:fill="FFFFFF"/>
          <w:lang w:val="zh-CN" w:eastAsia="zh-CN" w:bidi="ar"/>
        </w:rPr>
        <w:t>%。</w:t>
      </w:r>
      <w:r>
        <w:rPr>
          <w:rFonts w:hint="default" w:ascii="Times New Roman" w:hAnsi="Times New Roman" w:eastAsia="仿宋_GB2312" w:cs="Times New Roman"/>
          <w:i w:val="0"/>
          <w:iCs w:val="0"/>
          <w:caps w:val="0"/>
          <w:color w:val="auto"/>
          <w:spacing w:val="0"/>
          <w:kern w:val="0"/>
          <w:sz w:val="33"/>
          <w:szCs w:val="33"/>
          <w:highlight w:val="none"/>
          <w:shd w:val="clear" w:fill="FFFFFF"/>
          <w:lang w:val="zh-CN" w:eastAsia="zh-CN" w:bidi="ar"/>
        </w:rPr>
        <w:t>较预算</w:t>
      </w:r>
      <w:r>
        <w:rPr>
          <w:rFonts w:hint="eastAsia" w:ascii="Times New Roman" w:hAnsi="Times New Roman" w:eastAsia="仿宋_GB2312" w:cs="Times New Roman"/>
          <w:i w:val="0"/>
          <w:iCs w:val="0"/>
          <w:caps w:val="0"/>
          <w:color w:val="auto"/>
          <w:spacing w:val="0"/>
          <w:kern w:val="0"/>
          <w:sz w:val="33"/>
          <w:szCs w:val="33"/>
          <w:highlight w:val="none"/>
          <w:shd w:val="clear" w:fill="FFFFFF"/>
          <w:lang w:val="zh-CN" w:eastAsia="zh-CN" w:bidi="ar"/>
        </w:rPr>
        <w:t>减少2.15万元，降低37.</w:t>
      </w:r>
      <w:r>
        <w:rPr>
          <w:rFonts w:hint="eastAsia" w:ascii="Times New Roman" w:hAnsi="Times New Roman" w:eastAsia="仿宋_GB2312" w:cs="Times New Roman"/>
          <w:i w:val="0"/>
          <w:iCs w:val="0"/>
          <w:caps w:val="0"/>
          <w:color w:val="auto"/>
          <w:spacing w:val="0"/>
          <w:kern w:val="0"/>
          <w:sz w:val="33"/>
          <w:szCs w:val="33"/>
          <w:highlight w:val="none"/>
          <w:shd w:val="clear" w:fill="FFFFFF"/>
          <w:lang w:val="en-US" w:eastAsia="zh-CN" w:bidi="ar"/>
        </w:rPr>
        <w:t>1</w:t>
      </w:r>
      <w:r>
        <w:rPr>
          <w:rFonts w:hint="eastAsia" w:ascii="Times New Roman" w:hAnsi="Times New Roman" w:eastAsia="仿宋_GB2312" w:cs="Times New Roman"/>
          <w:i w:val="0"/>
          <w:iCs w:val="0"/>
          <w:caps w:val="0"/>
          <w:color w:val="auto"/>
          <w:spacing w:val="0"/>
          <w:kern w:val="0"/>
          <w:sz w:val="33"/>
          <w:szCs w:val="33"/>
          <w:highlight w:val="none"/>
          <w:shd w:val="clear" w:fill="FFFFFF"/>
          <w:lang w:val="zh-CN" w:eastAsia="zh-CN" w:bidi="ar"/>
        </w:rPr>
        <w:t>%,主要是</w:t>
      </w:r>
      <w:r>
        <w:rPr>
          <w:rFonts w:hint="eastAsia" w:ascii="Times New Roman" w:hAnsi="Times New Roman" w:eastAsia="仿宋_GB2312" w:cs="Times New Roman"/>
          <w:i w:val="0"/>
          <w:iCs w:val="0"/>
          <w:caps w:val="0"/>
          <w:color w:val="auto"/>
          <w:spacing w:val="0"/>
          <w:kern w:val="0"/>
          <w:sz w:val="33"/>
          <w:szCs w:val="33"/>
          <w:highlight w:val="none"/>
          <w:shd w:val="clear" w:fill="FFFFFF"/>
          <w:rtl w:val="0"/>
          <w:lang w:val="en-US" w:eastAsia="zh-CN" w:bidi="ar"/>
        </w:rPr>
        <w:t>我单位认真贯彻落实关于厉行节约的各项要求，采取有力措施，严格控制“三公”经费支出</w:t>
      </w:r>
      <w:r>
        <w:rPr>
          <w:rFonts w:hint="eastAsia" w:ascii="Times New Roman" w:hAnsi="Times New Roman" w:eastAsia="仿宋_GB2312" w:cs="Times New Roman"/>
          <w:i w:val="0"/>
          <w:iCs w:val="0"/>
          <w:caps w:val="0"/>
          <w:color w:val="auto"/>
          <w:spacing w:val="0"/>
          <w:kern w:val="0"/>
          <w:sz w:val="33"/>
          <w:szCs w:val="33"/>
          <w:highlight w:val="none"/>
          <w:shd w:val="clear" w:fill="FFFFFF"/>
          <w:lang w:val="zh-CN" w:eastAsia="zh-CN" w:bidi="ar"/>
        </w:rPr>
        <w:t>；较上年度减少4.22万元</w:t>
      </w:r>
      <w:r>
        <w:rPr>
          <w:rFonts w:hint="default" w:ascii="Times New Roman" w:hAnsi="Times New Roman" w:eastAsia="仿宋_GB2312" w:cs="Times New Roman"/>
          <w:i w:val="0"/>
          <w:iCs w:val="0"/>
          <w:caps w:val="0"/>
          <w:color w:val="auto"/>
          <w:spacing w:val="0"/>
          <w:kern w:val="0"/>
          <w:sz w:val="33"/>
          <w:szCs w:val="33"/>
          <w:highlight w:val="none"/>
          <w:shd w:val="clear" w:fill="FFFFFF"/>
          <w:lang w:val="zh-CN" w:eastAsia="zh-CN" w:bidi="ar"/>
        </w:rPr>
        <w:t>，</w:t>
      </w:r>
      <w:r>
        <w:rPr>
          <w:rFonts w:hint="eastAsia" w:ascii="Times New Roman" w:hAnsi="Times New Roman" w:eastAsia="仿宋_GB2312" w:cs="Times New Roman"/>
          <w:i w:val="0"/>
          <w:iCs w:val="0"/>
          <w:caps w:val="0"/>
          <w:color w:val="auto"/>
          <w:spacing w:val="0"/>
          <w:kern w:val="0"/>
          <w:sz w:val="33"/>
          <w:szCs w:val="33"/>
          <w:highlight w:val="none"/>
          <w:shd w:val="clear" w:fill="FFFFFF"/>
          <w:lang w:val="zh-CN" w:eastAsia="zh-CN" w:bidi="ar"/>
        </w:rPr>
        <w:t>降低53.6%，主要是</w:t>
      </w:r>
      <w:r>
        <w:rPr>
          <w:rFonts w:hint="eastAsia" w:ascii="Times New Roman" w:hAnsi="Times New Roman" w:eastAsia="仿宋_GB2312" w:cs="Times New Roman"/>
          <w:i w:val="0"/>
          <w:iCs w:val="0"/>
          <w:caps w:val="0"/>
          <w:color w:val="auto"/>
          <w:spacing w:val="0"/>
          <w:kern w:val="0"/>
          <w:sz w:val="33"/>
          <w:szCs w:val="33"/>
          <w:highlight w:val="none"/>
          <w:shd w:val="clear" w:fill="FFFFFF"/>
          <w:rtl w:val="0"/>
          <w:lang w:val="en-US" w:eastAsia="zh-CN" w:bidi="ar"/>
        </w:rPr>
        <w:t>我单位认真贯彻落实关于厉行节约的各项要求，采取有力措施，严格控制“三公”经费支出</w:t>
      </w:r>
      <w:r>
        <w:rPr>
          <w:rFonts w:hint="eastAsia" w:ascii="Times New Roman" w:hAnsi="Times New Roman" w:eastAsia="仿宋_GB2312" w:cs="Times New Roman"/>
          <w:i w:val="0"/>
          <w:iCs w:val="0"/>
          <w:caps w:val="0"/>
          <w:color w:val="auto"/>
          <w:spacing w:val="0"/>
          <w:kern w:val="0"/>
          <w:sz w:val="33"/>
          <w:szCs w:val="33"/>
          <w:highlight w:val="none"/>
          <w:shd w:val="clear" w:fill="FFFFFF"/>
          <w:lang w:val="zh-CN" w:eastAsia="zh-CN" w:bidi="ar"/>
        </w:rPr>
        <w:t>。其中：</w:t>
      </w:r>
    </w:p>
    <w:p>
      <w:pPr>
        <w:adjustRightInd w:val="0"/>
        <w:snapToGrid w:val="0"/>
        <w:spacing w:line="580" w:lineRule="exact"/>
        <w:ind w:firstLine="643" w:firstLineChars="200"/>
        <w:rPr>
          <w:rFonts w:hint="eastAsia" w:ascii="Times New Roman" w:hAnsi="Times New Roman" w:eastAsia="仿宋_GB2312" w:cs="Times New Roman"/>
          <w:i w:val="0"/>
          <w:iCs w:val="0"/>
          <w:caps w:val="0"/>
          <w:color w:val="auto"/>
          <w:spacing w:val="0"/>
          <w:kern w:val="0"/>
          <w:sz w:val="33"/>
          <w:szCs w:val="33"/>
          <w:highlight w:val="none"/>
          <w:shd w:val="clear" w:fill="FFFFFF"/>
          <w:lang w:val="zh-CN" w:eastAsia="zh-CN" w:bidi="ar"/>
        </w:rPr>
      </w:pPr>
      <w:r>
        <w:rPr>
          <w:rFonts w:hint="eastAsia" w:ascii="仿宋_GB2312" w:hAnsi="Times New Roman" w:eastAsia="仿宋_GB2312" w:cs="DengXian-Regular"/>
          <w:b/>
          <w:sz w:val="32"/>
          <w:szCs w:val="32"/>
        </w:rPr>
        <w:t>公务用车购置费支出</w:t>
      </w:r>
      <w:r>
        <w:rPr>
          <w:rFonts w:hint="eastAsia" w:ascii="楷体_GB2312" w:hAnsi="Times New Roman" w:eastAsia="楷体_GB2312" w:cs="DengXian-Bold"/>
          <w:b/>
          <w:bCs/>
          <w:sz w:val="32"/>
          <w:szCs w:val="32"/>
          <w:lang w:val="en-US" w:eastAsia="zh-CN"/>
        </w:rPr>
        <w:t>0</w:t>
      </w:r>
      <w:r>
        <w:rPr>
          <w:rFonts w:hint="eastAsia" w:ascii="楷体_GB2312" w:hAnsi="Times New Roman" w:eastAsia="楷体_GB2312" w:cs="DengXian-Bold"/>
          <w:b/>
          <w:bCs/>
          <w:sz w:val="32"/>
          <w:szCs w:val="32"/>
        </w:rPr>
        <w:t>万元</w:t>
      </w:r>
      <w:r>
        <w:rPr>
          <w:rFonts w:hint="eastAsia" w:ascii="仿宋_GB2312" w:hAnsi="Times New Roman" w:eastAsia="仿宋_GB2312" w:cs="DengXian-Regular"/>
          <w:b/>
          <w:sz w:val="32"/>
          <w:szCs w:val="32"/>
        </w:rPr>
        <w:t>：</w:t>
      </w:r>
      <w:r>
        <w:rPr>
          <w:rFonts w:hint="eastAsia" w:ascii="Times New Roman" w:hAnsi="Times New Roman" w:eastAsia="仿宋_GB2312" w:cs="Times New Roman"/>
          <w:i w:val="0"/>
          <w:iCs w:val="0"/>
          <w:caps w:val="0"/>
          <w:color w:val="auto"/>
          <w:spacing w:val="0"/>
          <w:kern w:val="0"/>
          <w:sz w:val="33"/>
          <w:szCs w:val="33"/>
          <w:highlight w:val="none"/>
          <w:shd w:val="clear" w:fill="FFFFFF"/>
          <w:lang w:val="zh-CN" w:eastAsia="zh-CN" w:bidi="ar"/>
        </w:rPr>
        <w:t>本部门2023年度公务用车购置量</w:t>
      </w:r>
      <w:r>
        <w:rPr>
          <w:rFonts w:hint="eastAsia" w:ascii="Times New Roman" w:hAnsi="Times New Roman" w:eastAsia="仿宋_GB2312" w:cs="Times New Roman"/>
          <w:i w:val="0"/>
          <w:iCs w:val="0"/>
          <w:caps w:val="0"/>
          <w:color w:val="auto"/>
          <w:spacing w:val="0"/>
          <w:kern w:val="0"/>
          <w:sz w:val="33"/>
          <w:szCs w:val="33"/>
          <w:highlight w:val="none"/>
          <w:shd w:val="clear" w:fill="FFFFFF"/>
          <w:lang w:val="en-US" w:eastAsia="zh-CN" w:bidi="ar"/>
        </w:rPr>
        <w:t>0</w:t>
      </w:r>
      <w:r>
        <w:rPr>
          <w:rFonts w:hint="eastAsia" w:ascii="Times New Roman" w:hAnsi="Times New Roman" w:eastAsia="仿宋_GB2312" w:cs="Times New Roman"/>
          <w:i w:val="0"/>
          <w:iCs w:val="0"/>
          <w:caps w:val="0"/>
          <w:color w:val="auto"/>
          <w:spacing w:val="0"/>
          <w:kern w:val="0"/>
          <w:sz w:val="33"/>
          <w:szCs w:val="33"/>
          <w:highlight w:val="none"/>
          <w:shd w:val="clear" w:fill="FFFFFF"/>
          <w:lang w:val="zh-CN" w:eastAsia="zh-CN" w:bidi="ar"/>
        </w:rPr>
        <w:t>辆，发生公务用车购置经费支出</w:t>
      </w:r>
      <w:r>
        <w:rPr>
          <w:rFonts w:hint="eastAsia" w:ascii="Times New Roman" w:hAnsi="Times New Roman" w:eastAsia="仿宋_GB2312" w:cs="Times New Roman"/>
          <w:i w:val="0"/>
          <w:iCs w:val="0"/>
          <w:caps w:val="0"/>
          <w:color w:val="auto"/>
          <w:spacing w:val="0"/>
          <w:kern w:val="0"/>
          <w:sz w:val="33"/>
          <w:szCs w:val="33"/>
          <w:highlight w:val="none"/>
          <w:shd w:val="clear" w:fill="FFFFFF"/>
          <w:lang w:val="en-US" w:eastAsia="zh-CN" w:bidi="ar"/>
        </w:rPr>
        <w:t>0</w:t>
      </w:r>
      <w:r>
        <w:rPr>
          <w:rFonts w:hint="eastAsia" w:ascii="Times New Roman" w:hAnsi="Times New Roman" w:eastAsia="仿宋_GB2312" w:cs="Times New Roman"/>
          <w:i w:val="0"/>
          <w:iCs w:val="0"/>
          <w:caps w:val="0"/>
          <w:color w:val="auto"/>
          <w:spacing w:val="0"/>
          <w:kern w:val="0"/>
          <w:sz w:val="33"/>
          <w:szCs w:val="33"/>
          <w:highlight w:val="none"/>
          <w:shd w:val="clear" w:fill="FFFFFF"/>
          <w:lang w:val="zh-CN" w:eastAsia="zh-CN" w:bidi="ar"/>
        </w:rPr>
        <w:t>万元。公务用车购置费支出</w:t>
      </w:r>
      <w:r>
        <w:rPr>
          <w:rFonts w:hint="default" w:ascii="Times New Roman" w:hAnsi="Times New Roman" w:eastAsia="仿宋_GB2312" w:cs="Times New Roman"/>
          <w:i w:val="0"/>
          <w:iCs w:val="0"/>
          <w:caps w:val="0"/>
          <w:color w:val="auto"/>
          <w:spacing w:val="0"/>
          <w:kern w:val="0"/>
          <w:sz w:val="33"/>
          <w:szCs w:val="33"/>
          <w:highlight w:val="none"/>
          <w:shd w:val="clear" w:fill="FFFFFF"/>
          <w:lang w:val="zh-CN" w:eastAsia="zh-CN" w:bidi="ar"/>
        </w:rPr>
        <w:t>较预算</w:t>
      </w:r>
      <w:r>
        <w:rPr>
          <w:rFonts w:hint="eastAsia" w:ascii="Times New Roman" w:hAnsi="Times New Roman" w:eastAsia="仿宋_GB2312" w:cs="Times New Roman"/>
          <w:i w:val="0"/>
          <w:iCs w:val="0"/>
          <w:caps w:val="0"/>
          <w:color w:val="auto"/>
          <w:spacing w:val="0"/>
          <w:kern w:val="0"/>
          <w:sz w:val="33"/>
          <w:szCs w:val="33"/>
          <w:highlight w:val="none"/>
          <w:shd w:val="clear" w:fill="FFFFFF"/>
          <w:lang w:val="zh-CN" w:eastAsia="zh-CN" w:bidi="ar"/>
        </w:rPr>
        <w:t>持平；较上年度减少6.2万元</w:t>
      </w:r>
      <w:r>
        <w:rPr>
          <w:rFonts w:hint="default" w:ascii="Times New Roman" w:hAnsi="Times New Roman" w:eastAsia="仿宋_GB2312" w:cs="Times New Roman"/>
          <w:i w:val="0"/>
          <w:iCs w:val="0"/>
          <w:caps w:val="0"/>
          <w:color w:val="auto"/>
          <w:spacing w:val="0"/>
          <w:kern w:val="0"/>
          <w:sz w:val="33"/>
          <w:szCs w:val="33"/>
          <w:highlight w:val="none"/>
          <w:shd w:val="clear" w:fill="FFFFFF"/>
          <w:lang w:val="zh-CN" w:eastAsia="zh-CN" w:bidi="ar"/>
        </w:rPr>
        <w:t>，</w:t>
      </w:r>
      <w:r>
        <w:rPr>
          <w:rFonts w:hint="eastAsia" w:ascii="Times New Roman" w:hAnsi="Times New Roman" w:eastAsia="仿宋_GB2312" w:cs="Times New Roman"/>
          <w:i w:val="0"/>
          <w:iCs w:val="0"/>
          <w:caps w:val="0"/>
          <w:color w:val="auto"/>
          <w:spacing w:val="0"/>
          <w:kern w:val="0"/>
          <w:sz w:val="33"/>
          <w:szCs w:val="33"/>
          <w:highlight w:val="none"/>
          <w:shd w:val="clear" w:fill="FFFFFF"/>
          <w:lang w:val="zh-CN" w:eastAsia="zh-CN" w:bidi="ar"/>
        </w:rPr>
        <w:t>降低100%，</w:t>
      </w:r>
      <w:r>
        <w:rPr>
          <w:rFonts w:hint="default" w:ascii="Times New Roman" w:hAnsi="Times New Roman" w:eastAsia="仿宋_GB2312" w:cs="Times New Roman"/>
          <w:i w:val="0"/>
          <w:iCs w:val="0"/>
          <w:caps w:val="0"/>
          <w:color w:val="auto"/>
          <w:spacing w:val="0"/>
          <w:kern w:val="0"/>
          <w:sz w:val="33"/>
          <w:szCs w:val="33"/>
          <w:highlight w:val="none"/>
          <w:shd w:val="clear" w:fill="FFFFFF"/>
          <w:lang w:val="zh-CN" w:eastAsia="zh-CN" w:bidi="ar"/>
        </w:rPr>
        <w:t>主要是</w:t>
      </w:r>
      <w:r>
        <w:rPr>
          <w:rFonts w:hint="eastAsia" w:ascii="Times New Roman" w:hAnsi="Times New Roman" w:eastAsia="仿宋_GB2312" w:cs="Times New Roman"/>
          <w:i w:val="0"/>
          <w:iCs w:val="0"/>
          <w:caps w:val="0"/>
          <w:color w:val="auto"/>
          <w:spacing w:val="0"/>
          <w:kern w:val="0"/>
          <w:sz w:val="33"/>
          <w:szCs w:val="33"/>
          <w:highlight w:val="none"/>
          <w:shd w:val="clear" w:fill="FFFFFF"/>
          <w:lang w:val="zh-CN" w:eastAsia="zh-CN" w:bidi="ar"/>
        </w:rPr>
        <w:t>本年度无新购公务用车。</w:t>
      </w:r>
    </w:p>
    <w:p>
      <w:pPr>
        <w:adjustRightInd w:val="0"/>
        <w:snapToGrid w:val="0"/>
        <w:spacing w:line="580" w:lineRule="exact"/>
        <w:ind w:firstLine="643" w:firstLineChars="200"/>
        <w:rPr>
          <w:rFonts w:hint="eastAsia" w:ascii="Times New Roman" w:hAnsi="Times New Roman" w:eastAsia="仿宋_GB2312" w:cs="Times New Roman"/>
          <w:i w:val="0"/>
          <w:iCs w:val="0"/>
          <w:caps w:val="0"/>
          <w:color w:val="auto"/>
          <w:spacing w:val="0"/>
          <w:kern w:val="0"/>
          <w:sz w:val="33"/>
          <w:szCs w:val="33"/>
          <w:highlight w:val="none"/>
          <w:shd w:val="clear" w:fill="FFFFFF"/>
          <w:lang w:val="zh-CN" w:eastAsia="zh-CN" w:bidi="ar"/>
        </w:rPr>
      </w:pPr>
      <w:r>
        <w:rPr>
          <w:rFonts w:hint="eastAsia" w:ascii="仿宋_GB2312" w:hAnsi="Times New Roman" w:eastAsia="仿宋_GB2312" w:cs="DengXian-Regular"/>
          <w:b/>
          <w:sz w:val="32"/>
          <w:szCs w:val="32"/>
        </w:rPr>
        <w:t>公务用车运行维护费支出</w:t>
      </w:r>
      <w:r>
        <w:rPr>
          <w:rFonts w:hint="eastAsia" w:ascii="仿宋_GB2312" w:hAnsi="Times New Roman" w:eastAsia="仿宋_GB2312" w:cs="DengXian-Regular"/>
          <w:b/>
          <w:sz w:val="32"/>
          <w:szCs w:val="32"/>
          <w:lang w:val="en-US" w:eastAsia="zh-CN"/>
        </w:rPr>
        <w:t>3.65</w:t>
      </w:r>
      <w:r>
        <w:rPr>
          <w:rFonts w:hint="eastAsia" w:ascii="楷体_GB2312" w:hAnsi="Times New Roman" w:eastAsia="楷体_GB2312" w:cs="DengXian-Bold"/>
          <w:b/>
          <w:bCs/>
          <w:sz w:val="32"/>
          <w:szCs w:val="32"/>
        </w:rPr>
        <w:t>万元</w:t>
      </w:r>
      <w:r>
        <w:rPr>
          <w:rFonts w:hint="eastAsia" w:ascii="仿宋_GB2312" w:hAnsi="Times New Roman" w:eastAsia="仿宋_GB2312" w:cs="DengXian-Regular"/>
          <w:b/>
          <w:sz w:val="32"/>
          <w:szCs w:val="32"/>
        </w:rPr>
        <w:t>：</w:t>
      </w:r>
      <w:r>
        <w:rPr>
          <w:rFonts w:hint="eastAsia" w:ascii="Times New Roman" w:hAnsi="Times New Roman" w:eastAsia="仿宋_GB2312" w:cs="Times New Roman"/>
          <w:i w:val="0"/>
          <w:iCs w:val="0"/>
          <w:caps w:val="0"/>
          <w:color w:val="auto"/>
          <w:spacing w:val="0"/>
          <w:kern w:val="0"/>
          <w:sz w:val="33"/>
          <w:szCs w:val="33"/>
          <w:highlight w:val="none"/>
          <w:shd w:val="clear" w:fill="FFFFFF"/>
          <w:lang w:val="zh-CN" w:eastAsia="zh-CN" w:bidi="ar"/>
        </w:rPr>
        <w:t>本部门2023年度单位财政开支公务用车保有量</w:t>
      </w:r>
      <w:r>
        <w:rPr>
          <w:rFonts w:hint="eastAsia" w:ascii="Times New Roman" w:hAnsi="Times New Roman" w:eastAsia="仿宋_GB2312" w:cs="Times New Roman"/>
          <w:i w:val="0"/>
          <w:iCs w:val="0"/>
          <w:caps w:val="0"/>
          <w:color w:val="auto"/>
          <w:spacing w:val="0"/>
          <w:kern w:val="0"/>
          <w:sz w:val="33"/>
          <w:szCs w:val="33"/>
          <w:highlight w:val="none"/>
          <w:shd w:val="clear" w:fill="FFFFFF"/>
          <w:lang w:val="en-US" w:eastAsia="zh-CN" w:bidi="ar"/>
        </w:rPr>
        <w:t>2</w:t>
      </w:r>
      <w:r>
        <w:rPr>
          <w:rFonts w:hint="eastAsia" w:ascii="Times New Roman" w:hAnsi="Times New Roman" w:eastAsia="仿宋_GB2312" w:cs="Times New Roman"/>
          <w:i w:val="0"/>
          <w:iCs w:val="0"/>
          <w:caps w:val="0"/>
          <w:color w:val="auto"/>
          <w:spacing w:val="0"/>
          <w:kern w:val="0"/>
          <w:sz w:val="33"/>
          <w:szCs w:val="33"/>
          <w:highlight w:val="none"/>
          <w:shd w:val="clear" w:fill="FFFFFF"/>
          <w:lang w:val="zh-CN" w:eastAsia="zh-CN" w:bidi="ar"/>
        </w:rPr>
        <w:t>辆。公车运行维护费支出</w:t>
      </w:r>
      <w:r>
        <w:rPr>
          <w:rFonts w:hint="default" w:ascii="Times New Roman" w:hAnsi="Times New Roman" w:eastAsia="仿宋_GB2312" w:cs="Times New Roman"/>
          <w:i w:val="0"/>
          <w:iCs w:val="0"/>
          <w:caps w:val="0"/>
          <w:color w:val="auto"/>
          <w:spacing w:val="0"/>
          <w:kern w:val="0"/>
          <w:sz w:val="33"/>
          <w:szCs w:val="33"/>
          <w:highlight w:val="none"/>
          <w:shd w:val="clear" w:fill="FFFFFF"/>
          <w:lang w:val="zh-CN" w:eastAsia="zh-CN" w:bidi="ar"/>
        </w:rPr>
        <w:t>较预算</w:t>
      </w:r>
      <w:r>
        <w:rPr>
          <w:rFonts w:hint="eastAsia" w:ascii="Times New Roman" w:hAnsi="Times New Roman" w:eastAsia="仿宋_GB2312" w:cs="Times New Roman"/>
          <w:i w:val="0"/>
          <w:iCs w:val="0"/>
          <w:caps w:val="0"/>
          <w:color w:val="auto"/>
          <w:spacing w:val="0"/>
          <w:kern w:val="0"/>
          <w:sz w:val="33"/>
          <w:szCs w:val="33"/>
          <w:highlight w:val="none"/>
          <w:shd w:val="clear" w:fill="FFFFFF"/>
          <w:lang w:val="zh-CN" w:eastAsia="zh-CN" w:bidi="ar"/>
        </w:rPr>
        <w:t>减少2.15万元</w:t>
      </w:r>
      <w:r>
        <w:rPr>
          <w:rFonts w:hint="default" w:ascii="Times New Roman" w:hAnsi="Times New Roman" w:eastAsia="仿宋_GB2312" w:cs="Times New Roman"/>
          <w:i w:val="0"/>
          <w:iCs w:val="0"/>
          <w:caps w:val="0"/>
          <w:color w:val="auto"/>
          <w:spacing w:val="0"/>
          <w:kern w:val="0"/>
          <w:sz w:val="33"/>
          <w:szCs w:val="33"/>
          <w:highlight w:val="none"/>
          <w:shd w:val="clear" w:fill="FFFFFF"/>
          <w:lang w:val="zh-CN" w:eastAsia="zh-CN" w:bidi="ar"/>
        </w:rPr>
        <w:t>，</w:t>
      </w:r>
      <w:r>
        <w:rPr>
          <w:rFonts w:hint="eastAsia" w:ascii="Times New Roman" w:hAnsi="Times New Roman" w:eastAsia="仿宋_GB2312" w:cs="Times New Roman"/>
          <w:i w:val="0"/>
          <w:iCs w:val="0"/>
          <w:caps w:val="0"/>
          <w:color w:val="auto"/>
          <w:spacing w:val="0"/>
          <w:kern w:val="0"/>
          <w:sz w:val="33"/>
          <w:szCs w:val="33"/>
          <w:highlight w:val="none"/>
          <w:shd w:val="clear" w:fill="FFFFFF"/>
          <w:lang w:val="zh-CN" w:eastAsia="zh-CN" w:bidi="ar"/>
        </w:rPr>
        <w:t>降低37.</w:t>
      </w:r>
      <w:r>
        <w:rPr>
          <w:rFonts w:hint="eastAsia" w:ascii="Times New Roman" w:hAnsi="Times New Roman" w:eastAsia="仿宋_GB2312" w:cs="Times New Roman"/>
          <w:i w:val="0"/>
          <w:iCs w:val="0"/>
          <w:caps w:val="0"/>
          <w:color w:val="auto"/>
          <w:spacing w:val="0"/>
          <w:kern w:val="0"/>
          <w:sz w:val="33"/>
          <w:szCs w:val="33"/>
          <w:highlight w:val="none"/>
          <w:shd w:val="clear" w:fill="FFFFFF"/>
          <w:lang w:val="en-US" w:eastAsia="zh-CN" w:bidi="ar"/>
        </w:rPr>
        <w:t>1</w:t>
      </w:r>
      <w:r>
        <w:rPr>
          <w:rFonts w:hint="eastAsia" w:ascii="Times New Roman" w:hAnsi="Times New Roman" w:eastAsia="仿宋_GB2312" w:cs="Times New Roman"/>
          <w:i w:val="0"/>
          <w:iCs w:val="0"/>
          <w:caps w:val="0"/>
          <w:color w:val="auto"/>
          <w:spacing w:val="0"/>
          <w:kern w:val="0"/>
          <w:sz w:val="33"/>
          <w:szCs w:val="33"/>
          <w:highlight w:val="none"/>
          <w:shd w:val="clear" w:fill="FFFFFF"/>
          <w:lang w:val="zh-CN" w:eastAsia="zh-CN" w:bidi="ar"/>
        </w:rPr>
        <w:t>%,主要是</w:t>
      </w:r>
      <w:r>
        <w:rPr>
          <w:rFonts w:hint="eastAsia" w:ascii="Times New Roman" w:hAnsi="Times New Roman" w:eastAsia="仿宋_GB2312" w:cs="Times New Roman"/>
          <w:i w:val="0"/>
          <w:iCs w:val="0"/>
          <w:caps w:val="0"/>
          <w:color w:val="auto"/>
          <w:spacing w:val="0"/>
          <w:kern w:val="0"/>
          <w:sz w:val="33"/>
          <w:szCs w:val="33"/>
          <w:highlight w:val="none"/>
          <w:shd w:val="clear" w:fill="FFFFFF"/>
          <w:rtl w:val="0"/>
          <w:lang w:val="en-US" w:eastAsia="zh-CN" w:bidi="ar"/>
        </w:rPr>
        <w:t>我单位认真贯彻落实关于厉行节约的各项要求，采取有力措施，严格控制“三公”经费支出</w:t>
      </w:r>
      <w:r>
        <w:rPr>
          <w:rFonts w:hint="eastAsia" w:ascii="Times New Roman" w:hAnsi="Times New Roman" w:eastAsia="仿宋_GB2312" w:cs="Times New Roman"/>
          <w:i w:val="0"/>
          <w:iCs w:val="0"/>
          <w:caps w:val="0"/>
          <w:color w:val="auto"/>
          <w:spacing w:val="0"/>
          <w:kern w:val="0"/>
          <w:sz w:val="33"/>
          <w:szCs w:val="33"/>
          <w:highlight w:val="none"/>
          <w:shd w:val="clear" w:fill="FFFFFF"/>
          <w:lang w:val="zh-CN" w:eastAsia="zh-CN" w:bidi="ar"/>
        </w:rPr>
        <w:t>；较上年增加1.98万元</w:t>
      </w:r>
      <w:r>
        <w:rPr>
          <w:rFonts w:hint="default" w:ascii="Times New Roman" w:hAnsi="Times New Roman" w:eastAsia="仿宋_GB2312" w:cs="Times New Roman"/>
          <w:i w:val="0"/>
          <w:iCs w:val="0"/>
          <w:caps w:val="0"/>
          <w:color w:val="auto"/>
          <w:spacing w:val="0"/>
          <w:kern w:val="0"/>
          <w:sz w:val="33"/>
          <w:szCs w:val="33"/>
          <w:highlight w:val="none"/>
          <w:shd w:val="clear" w:fill="FFFFFF"/>
          <w:lang w:val="zh-CN" w:eastAsia="zh-CN" w:bidi="ar"/>
        </w:rPr>
        <w:t>，</w:t>
      </w:r>
      <w:r>
        <w:rPr>
          <w:rFonts w:hint="eastAsia" w:ascii="Times New Roman" w:hAnsi="Times New Roman" w:eastAsia="仿宋_GB2312" w:cs="Times New Roman"/>
          <w:i w:val="0"/>
          <w:iCs w:val="0"/>
          <w:caps w:val="0"/>
          <w:color w:val="auto"/>
          <w:spacing w:val="0"/>
          <w:kern w:val="0"/>
          <w:sz w:val="33"/>
          <w:szCs w:val="33"/>
          <w:highlight w:val="none"/>
          <w:shd w:val="clear" w:fill="FFFFFF"/>
          <w:lang w:val="zh-CN" w:eastAsia="zh-CN" w:bidi="ar"/>
        </w:rPr>
        <w:t>增长118.2%，主要是公务用车修理支出增加。</w:t>
      </w:r>
    </w:p>
    <w:p>
      <w:pPr>
        <w:adjustRightInd w:val="0"/>
        <w:snapToGrid w:val="0"/>
        <w:spacing w:line="580" w:lineRule="exact"/>
        <w:ind w:firstLine="643" w:firstLineChars="200"/>
        <w:rPr>
          <w:rFonts w:hint="eastAsia" w:ascii="Times New Roman" w:hAnsi="Times New Roman" w:eastAsia="仿宋_GB2312" w:cs="Times New Roman"/>
          <w:i w:val="0"/>
          <w:iCs w:val="0"/>
          <w:caps w:val="0"/>
          <w:color w:val="auto"/>
          <w:spacing w:val="0"/>
          <w:kern w:val="0"/>
          <w:sz w:val="33"/>
          <w:szCs w:val="33"/>
          <w:highlight w:val="none"/>
          <w:shd w:val="clear" w:fill="FFFFFF"/>
          <w:lang w:val="zh-CN" w:eastAsia="zh-CN" w:bidi="ar"/>
        </w:rPr>
      </w:pPr>
      <w:r>
        <w:rPr>
          <w:rFonts w:hint="eastAsia" w:ascii="楷体_GB2312" w:hAnsi="Times New Roman" w:eastAsia="楷体_GB2312" w:cs="DengXian-Bold"/>
          <w:b/>
          <w:bCs/>
          <w:sz w:val="32"/>
          <w:szCs w:val="32"/>
        </w:rPr>
        <w:t>3.公务接待费支出情况。</w:t>
      </w:r>
      <w:r>
        <w:rPr>
          <w:rFonts w:hint="eastAsia" w:ascii="Times New Roman" w:hAnsi="Times New Roman" w:eastAsia="仿宋_GB2312" w:cs="Times New Roman"/>
          <w:i w:val="0"/>
          <w:iCs w:val="0"/>
          <w:caps w:val="0"/>
          <w:color w:val="auto"/>
          <w:spacing w:val="0"/>
          <w:kern w:val="0"/>
          <w:sz w:val="33"/>
          <w:szCs w:val="33"/>
          <w:highlight w:val="none"/>
          <w:shd w:val="clear" w:fill="FFFFFF"/>
          <w:lang w:val="zh-CN" w:eastAsia="zh-CN" w:bidi="ar"/>
        </w:rPr>
        <w:t>本部门2023年度公务接待费支出预算为</w:t>
      </w:r>
      <w:r>
        <w:rPr>
          <w:rFonts w:hint="eastAsia" w:ascii="Times New Roman" w:hAnsi="Times New Roman" w:eastAsia="仿宋_GB2312" w:cs="Times New Roman"/>
          <w:i w:val="0"/>
          <w:iCs w:val="0"/>
          <w:caps w:val="0"/>
          <w:color w:val="auto"/>
          <w:spacing w:val="0"/>
          <w:kern w:val="0"/>
          <w:sz w:val="33"/>
          <w:szCs w:val="33"/>
          <w:highlight w:val="none"/>
          <w:shd w:val="clear" w:fill="FFFFFF"/>
          <w:lang w:val="en-US" w:eastAsia="zh-CN" w:bidi="ar"/>
        </w:rPr>
        <w:t>0.73</w:t>
      </w:r>
      <w:r>
        <w:rPr>
          <w:rFonts w:hint="eastAsia" w:ascii="Times New Roman" w:hAnsi="Times New Roman" w:eastAsia="仿宋_GB2312" w:cs="Times New Roman"/>
          <w:i w:val="0"/>
          <w:iCs w:val="0"/>
          <w:caps w:val="0"/>
          <w:color w:val="auto"/>
          <w:spacing w:val="0"/>
          <w:kern w:val="0"/>
          <w:sz w:val="33"/>
          <w:szCs w:val="33"/>
          <w:highlight w:val="none"/>
          <w:shd w:val="clear" w:fill="FFFFFF"/>
          <w:lang w:val="zh-CN" w:eastAsia="zh-CN" w:bidi="ar"/>
        </w:rPr>
        <w:t>万元，支出决算</w:t>
      </w:r>
      <w:r>
        <w:rPr>
          <w:rFonts w:hint="eastAsia" w:ascii="Times New Roman" w:hAnsi="Times New Roman" w:eastAsia="仿宋_GB2312" w:cs="Times New Roman"/>
          <w:i w:val="0"/>
          <w:iCs w:val="0"/>
          <w:caps w:val="0"/>
          <w:color w:val="auto"/>
          <w:spacing w:val="0"/>
          <w:kern w:val="0"/>
          <w:sz w:val="33"/>
          <w:szCs w:val="33"/>
          <w:highlight w:val="none"/>
          <w:shd w:val="clear" w:fill="FFFFFF"/>
          <w:lang w:val="en-US" w:eastAsia="zh-CN" w:bidi="ar"/>
        </w:rPr>
        <w:t>0</w:t>
      </w:r>
      <w:r>
        <w:rPr>
          <w:rFonts w:hint="eastAsia" w:ascii="Times New Roman" w:hAnsi="Times New Roman" w:eastAsia="仿宋_GB2312" w:cs="Times New Roman"/>
          <w:i w:val="0"/>
          <w:iCs w:val="0"/>
          <w:caps w:val="0"/>
          <w:color w:val="auto"/>
          <w:spacing w:val="0"/>
          <w:kern w:val="0"/>
          <w:sz w:val="33"/>
          <w:szCs w:val="33"/>
          <w:highlight w:val="none"/>
          <w:shd w:val="clear" w:fill="FFFFFF"/>
          <w:lang w:val="zh-CN" w:eastAsia="zh-CN" w:bidi="ar"/>
        </w:rPr>
        <w:t>万元，完成预算的</w:t>
      </w:r>
      <w:r>
        <w:rPr>
          <w:rFonts w:hint="eastAsia" w:ascii="Times New Roman" w:hAnsi="Times New Roman" w:eastAsia="仿宋_GB2312" w:cs="Times New Roman"/>
          <w:i w:val="0"/>
          <w:iCs w:val="0"/>
          <w:caps w:val="0"/>
          <w:color w:val="auto"/>
          <w:spacing w:val="0"/>
          <w:kern w:val="0"/>
          <w:sz w:val="33"/>
          <w:szCs w:val="33"/>
          <w:highlight w:val="none"/>
          <w:shd w:val="clear" w:fill="FFFFFF"/>
          <w:lang w:val="en-US" w:eastAsia="zh-CN" w:bidi="ar"/>
        </w:rPr>
        <w:t>0</w:t>
      </w:r>
      <w:r>
        <w:rPr>
          <w:rFonts w:hint="eastAsia" w:ascii="Times New Roman" w:hAnsi="Times New Roman" w:eastAsia="仿宋_GB2312" w:cs="Times New Roman"/>
          <w:i w:val="0"/>
          <w:iCs w:val="0"/>
          <w:caps w:val="0"/>
          <w:color w:val="auto"/>
          <w:spacing w:val="0"/>
          <w:kern w:val="0"/>
          <w:sz w:val="33"/>
          <w:szCs w:val="33"/>
          <w:highlight w:val="none"/>
          <w:shd w:val="clear" w:fill="FFFFFF"/>
          <w:lang w:val="zh-CN" w:eastAsia="zh-CN" w:bidi="ar"/>
        </w:rPr>
        <w:t>%。公务接待费支出</w:t>
      </w:r>
      <w:r>
        <w:rPr>
          <w:rFonts w:hint="default" w:ascii="Times New Roman" w:hAnsi="Times New Roman" w:eastAsia="仿宋_GB2312" w:cs="Times New Roman"/>
          <w:i w:val="0"/>
          <w:iCs w:val="0"/>
          <w:caps w:val="0"/>
          <w:color w:val="auto"/>
          <w:spacing w:val="0"/>
          <w:kern w:val="0"/>
          <w:sz w:val="33"/>
          <w:szCs w:val="33"/>
          <w:highlight w:val="none"/>
          <w:shd w:val="clear" w:fill="FFFFFF"/>
          <w:lang w:val="zh-CN" w:eastAsia="zh-CN" w:bidi="ar"/>
        </w:rPr>
        <w:t>较预算</w:t>
      </w:r>
      <w:r>
        <w:rPr>
          <w:rFonts w:hint="eastAsia" w:ascii="Times New Roman" w:hAnsi="Times New Roman" w:eastAsia="仿宋_GB2312" w:cs="Times New Roman"/>
          <w:i w:val="0"/>
          <w:iCs w:val="0"/>
          <w:caps w:val="0"/>
          <w:color w:val="auto"/>
          <w:spacing w:val="0"/>
          <w:kern w:val="0"/>
          <w:sz w:val="33"/>
          <w:szCs w:val="33"/>
          <w:highlight w:val="none"/>
          <w:shd w:val="clear" w:fill="FFFFFF"/>
          <w:lang w:val="zh-CN" w:eastAsia="zh-CN" w:bidi="ar"/>
        </w:rPr>
        <w:t>减少0.73万元，降低100</w:t>
      </w:r>
      <w:r>
        <w:rPr>
          <w:rFonts w:hint="eastAsia" w:ascii="Times New Roman" w:hAnsi="Times New Roman" w:eastAsia="仿宋_GB2312" w:cs="Times New Roman"/>
          <w:i w:val="0"/>
          <w:iCs w:val="0"/>
          <w:caps w:val="0"/>
          <w:color w:val="auto"/>
          <w:spacing w:val="0"/>
          <w:kern w:val="0"/>
          <w:sz w:val="33"/>
          <w:szCs w:val="33"/>
          <w:highlight w:val="none"/>
          <w:shd w:val="clear" w:fill="FFFFFF"/>
          <w:lang w:val="en-US" w:eastAsia="zh-CN" w:bidi="ar"/>
        </w:rPr>
        <w:t>%</w:t>
      </w:r>
      <w:r>
        <w:rPr>
          <w:rFonts w:hint="eastAsia" w:ascii="Times New Roman" w:hAnsi="Times New Roman" w:eastAsia="仿宋_GB2312" w:cs="Times New Roman"/>
          <w:i w:val="0"/>
          <w:iCs w:val="0"/>
          <w:caps w:val="0"/>
          <w:color w:val="auto"/>
          <w:spacing w:val="0"/>
          <w:kern w:val="0"/>
          <w:sz w:val="33"/>
          <w:szCs w:val="33"/>
          <w:highlight w:val="none"/>
          <w:shd w:val="clear" w:fill="FFFFFF"/>
          <w:lang w:val="zh-CN" w:eastAsia="zh-CN" w:bidi="ar"/>
        </w:rPr>
        <w:t>,主要是</w:t>
      </w:r>
      <w:r>
        <w:rPr>
          <w:rFonts w:hint="eastAsia" w:ascii="Times New Roman" w:hAnsi="Times New Roman" w:eastAsia="仿宋_GB2312" w:cs="Times New Roman"/>
          <w:i w:val="0"/>
          <w:iCs w:val="0"/>
          <w:caps w:val="0"/>
          <w:color w:val="auto"/>
          <w:spacing w:val="0"/>
          <w:kern w:val="0"/>
          <w:sz w:val="33"/>
          <w:szCs w:val="33"/>
          <w:highlight w:val="none"/>
          <w:shd w:val="clear" w:fill="FFFFFF"/>
          <w:rtl w:val="0"/>
          <w:lang w:val="en-US" w:eastAsia="zh-CN" w:bidi="ar"/>
        </w:rPr>
        <w:t>我单位认真贯彻落实关于厉行节约的各项要求，采取有力措施，严格控制“三公”经费支出</w:t>
      </w:r>
      <w:r>
        <w:rPr>
          <w:rFonts w:hint="eastAsia" w:ascii="Times New Roman" w:hAnsi="Times New Roman" w:eastAsia="仿宋_GB2312" w:cs="Times New Roman"/>
          <w:i w:val="0"/>
          <w:iCs w:val="0"/>
          <w:caps w:val="0"/>
          <w:color w:val="auto"/>
          <w:spacing w:val="0"/>
          <w:kern w:val="0"/>
          <w:sz w:val="33"/>
          <w:szCs w:val="33"/>
          <w:highlight w:val="none"/>
          <w:shd w:val="clear" w:fill="FFFFFF"/>
          <w:lang w:val="zh-CN" w:eastAsia="zh-CN" w:bidi="ar"/>
        </w:rPr>
        <w:t>；与上年度持平。本年度共发生公务接待</w:t>
      </w:r>
      <w:r>
        <w:rPr>
          <w:rFonts w:hint="eastAsia" w:ascii="Times New Roman" w:hAnsi="Times New Roman" w:eastAsia="仿宋_GB2312" w:cs="Times New Roman"/>
          <w:i w:val="0"/>
          <w:iCs w:val="0"/>
          <w:caps w:val="0"/>
          <w:color w:val="auto"/>
          <w:spacing w:val="0"/>
          <w:kern w:val="0"/>
          <w:sz w:val="33"/>
          <w:szCs w:val="33"/>
          <w:highlight w:val="none"/>
          <w:shd w:val="clear" w:fill="FFFFFF"/>
          <w:lang w:val="en-US" w:eastAsia="zh-CN" w:bidi="ar"/>
        </w:rPr>
        <w:t>0</w:t>
      </w:r>
      <w:r>
        <w:rPr>
          <w:rFonts w:hint="eastAsia" w:ascii="Times New Roman" w:hAnsi="Times New Roman" w:eastAsia="仿宋_GB2312" w:cs="Times New Roman"/>
          <w:i w:val="0"/>
          <w:iCs w:val="0"/>
          <w:caps w:val="0"/>
          <w:color w:val="auto"/>
          <w:spacing w:val="0"/>
          <w:kern w:val="0"/>
          <w:sz w:val="33"/>
          <w:szCs w:val="33"/>
          <w:highlight w:val="none"/>
          <w:shd w:val="clear" w:fill="FFFFFF"/>
          <w:lang w:val="zh-CN" w:eastAsia="zh-CN" w:bidi="ar"/>
        </w:rPr>
        <w:t>批次、</w:t>
      </w:r>
      <w:r>
        <w:rPr>
          <w:rFonts w:hint="eastAsia" w:ascii="Times New Roman" w:hAnsi="Times New Roman" w:eastAsia="仿宋_GB2312" w:cs="Times New Roman"/>
          <w:i w:val="0"/>
          <w:iCs w:val="0"/>
          <w:caps w:val="0"/>
          <w:color w:val="auto"/>
          <w:spacing w:val="0"/>
          <w:kern w:val="0"/>
          <w:sz w:val="33"/>
          <w:szCs w:val="33"/>
          <w:highlight w:val="none"/>
          <w:shd w:val="clear" w:fill="FFFFFF"/>
          <w:lang w:val="en-US" w:eastAsia="zh-CN" w:bidi="ar"/>
        </w:rPr>
        <w:t>0</w:t>
      </w:r>
      <w:r>
        <w:rPr>
          <w:rFonts w:hint="eastAsia" w:ascii="Times New Roman" w:hAnsi="Times New Roman" w:eastAsia="仿宋_GB2312" w:cs="Times New Roman"/>
          <w:i w:val="0"/>
          <w:iCs w:val="0"/>
          <w:caps w:val="0"/>
          <w:color w:val="auto"/>
          <w:spacing w:val="0"/>
          <w:kern w:val="0"/>
          <w:sz w:val="33"/>
          <w:szCs w:val="33"/>
          <w:highlight w:val="none"/>
          <w:shd w:val="clear" w:fill="FFFFFF"/>
          <w:lang w:val="zh-CN" w:eastAsia="zh-CN" w:bidi="ar"/>
        </w:rPr>
        <w:t>人次。</w:t>
      </w:r>
    </w:p>
    <w:p>
      <w:pPr>
        <w:adjustRightInd w:val="0"/>
        <w:snapToGrid w:val="0"/>
        <w:spacing w:line="580" w:lineRule="exact"/>
        <w:ind w:left="420" w:leftChars="200" w:firstLine="320" w:firstLineChars="100"/>
        <w:outlineLvl w:val="1"/>
        <w:rPr>
          <w:rFonts w:ascii="仿宋_GB2312" w:hAnsi="仿宋_GB2312" w:eastAsia="仿宋_GB2312" w:cs="仿宋_GB2312"/>
          <w:sz w:val="32"/>
          <w:szCs w:val="32"/>
        </w:rPr>
      </w:pPr>
      <w:r>
        <w:rPr>
          <w:rFonts w:hint="eastAsia" w:ascii="黑体" w:hAnsi="Calibri" w:eastAsia="黑体" w:cs="Times New Roman"/>
          <w:sz w:val="32"/>
          <w:szCs w:val="32"/>
        </w:rPr>
        <w:t>六、机关运行经费支出说明</w:t>
      </w:r>
    </w:p>
    <w:p>
      <w:pPr>
        <w:adjustRightInd w:val="0"/>
        <w:snapToGrid w:val="0"/>
        <w:spacing w:line="580" w:lineRule="exact"/>
        <w:ind w:firstLine="660" w:firstLineChars="200"/>
        <w:rPr>
          <w:rFonts w:hint="eastAsia" w:ascii="Times New Roman" w:hAnsi="Times New Roman" w:eastAsia="仿宋_GB2312" w:cs="Times New Roman"/>
          <w:i w:val="0"/>
          <w:iCs w:val="0"/>
          <w:caps w:val="0"/>
          <w:color w:val="auto"/>
          <w:spacing w:val="0"/>
          <w:kern w:val="0"/>
          <w:sz w:val="33"/>
          <w:szCs w:val="33"/>
          <w:highlight w:val="none"/>
          <w:shd w:val="clear" w:fill="FFFFFF"/>
          <w:lang w:val="zh-CN" w:eastAsia="zh-CN" w:bidi="ar"/>
        </w:rPr>
      </w:pPr>
      <w:r>
        <w:rPr>
          <w:rFonts w:hint="eastAsia" w:ascii="Times New Roman" w:hAnsi="Times New Roman" w:eastAsia="仿宋_GB2312" w:cs="Times New Roman"/>
          <w:i w:val="0"/>
          <w:iCs w:val="0"/>
          <w:caps w:val="0"/>
          <w:color w:val="auto"/>
          <w:spacing w:val="0"/>
          <w:kern w:val="0"/>
          <w:sz w:val="33"/>
          <w:szCs w:val="33"/>
          <w:highlight w:val="none"/>
          <w:shd w:val="clear" w:fill="FFFFFF"/>
          <w:rtl w:val="0"/>
          <w:lang w:val="en-US" w:eastAsia="zh-CN" w:bidi="ar"/>
        </w:rPr>
        <w:t>本部门2023年度机关运行经费支出</w:t>
      </w:r>
      <w:r>
        <w:rPr>
          <w:rFonts w:hint="default" w:ascii="Times New Roman" w:hAnsi="Times New Roman" w:eastAsia="仿宋_GB2312" w:cs="Times New Roman"/>
          <w:i w:val="0"/>
          <w:iCs w:val="0"/>
          <w:caps w:val="0"/>
          <w:color w:val="auto"/>
          <w:spacing w:val="0"/>
          <w:kern w:val="0"/>
          <w:sz w:val="33"/>
          <w:szCs w:val="33"/>
          <w:highlight w:val="none"/>
          <w:shd w:val="clear" w:fill="FFFFFF"/>
          <w:rtl w:val="0"/>
          <w:lang w:val="zh-CN" w:eastAsia="zh-CN" w:bidi="ar"/>
        </w:rPr>
        <w:t>61.87万元，较2022年度</w:t>
      </w:r>
      <w:r>
        <w:rPr>
          <w:rFonts w:hint="eastAsia" w:ascii="Times New Roman" w:hAnsi="Times New Roman" w:eastAsia="仿宋_GB2312" w:cs="Times New Roman"/>
          <w:i w:val="0"/>
          <w:iCs w:val="0"/>
          <w:caps w:val="0"/>
          <w:color w:val="auto"/>
          <w:spacing w:val="0"/>
          <w:kern w:val="0"/>
          <w:sz w:val="33"/>
          <w:szCs w:val="33"/>
          <w:highlight w:val="none"/>
          <w:shd w:val="clear" w:fill="FFFFFF"/>
          <w:rtl w:val="0"/>
          <w:lang w:val="zh-CN" w:eastAsia="zh-CN" w:bidi="ar"/>
        </w:rPr>
        <w:t>增加5.04万元，增长8.</w:t>
      </w:r>
      <w:r>
        <w:rPr>
          <w:rFonts w:hint="eastAsia" w:ascii="Times New Roman" w:hAnsi="Times New Roman" w:eastAsia="仿宋_GB2312" w:cs="Times New Roman"/>
          <w:i w:val="0"/>
          <w:iCs w:val="0"/>
          <w:caps w:val="0"/>
          <w:color w:val="auto"/>
          <w:spacing w:val="0"/>
          <w:kern w:val="0"/>
          <w:sz w:val="33"/>
          <w:szCs w:val="33"/>
          <w:highlight w:val="none"/>
          <w:shd w:val="clear" w:fill="FFFFFF"/>
          <w:rtl w:val="0"/>
          <w:lang w:val="en-US" w:eastAsia="zh-CN" w:bidi="ar"/>
        </w:rPr>
        <w:t>9</w:t>
      </w:r>
      <w:r>
        <w:rPr>
          <w:rFonts w:hint="eastAsia" w:ascii="Times New Roman" w:hAnsi="Times New Roman" w:eastAsia="仿宋_GB2312" w:cs="Times New Roman"/>
          <w:i w:val="0"/>
          <w:iCs w:val="0"/>
          <w:caps w:val="0"/>
          <w:color w:val="auto"/>
          <w:spacing w:val="0"/>
          <w:kern w:val="0"/>
          <w:sz w:val="33"/>
          <w:szCs w:val="33"/>
          <w:highlight w:val="none"/>
          <w:shd w:val="clear" w:fill="FFFFFF"/>
          <w:rtl w:val="0"/>
          <w:lang w:val="zh-CN" w:eastAsia="zh-CN" w:bidi="ar"/>
        </w:rPr>
        <w:t>%</w:t>
      </w:r>
      <w:r>
        <w:rPr>
          <w:rFonts w:hint="eastAsia" w:ascii="Times New Roman" w:hAnsi="Times New Roman" w:eastAsia="仿宋_GB2312" w:cs="Times New Roman"/>
          <w:i w:val="0"/>
          <w:iCs w:val="0"/>
          <w:caps w:val="0"/>
          <w:color w:val="auto"/>
          <w:spacing w:val="0"/>
          <w:kern w:val="0"/>
          <w:sz w:val="33"/>
          <w:szCs w:val="33"/>
          <w:highlight w:val="none"/>
          <w:shd w:val="clear" w:fill="FFFFFF"/>
          <w:rtl w:val="0"/>
          <w:lang w:val="en-US" w:eastAsia="zh-CN" w:bidi="ar"/>
        </w:rPr>
        <w:t>。主要原因是公用经费增加。</w:t>
      </w:r>
    </w:p>
    <w:p>
      <w:pPr>
        <w:adjustRightInd w:val="0"/>
        <w:snapToGrid w:val="0"/>
        <w:spacing w:line="580" w:lineRule="exact"/>
        <w:ind w:firstLine="640" w:firstLineChars="200"/>
        <w:outlineLvl w:val="1"/>
        <w:rPr>
          <w:rFonts w:ascii="仿宋_GB2312" w:hAnsi="Times New Roman" w:eastAsia="仿宋_GB2312" w:cs="DengXian-Regular"/>
          <w:sz w:val="32"/>
          <w:szCs w:val="32"/>
          <w:highlight w:val="yellow"/>
        </w:rPr>
      </w:pPr>
      <w:r>
        <w:rPr>
          <w:rFonts w:hint="eastAsia" w:ascii="黑体" w:hAnsi="Calibri" w:eastAsia="黑体" w:cs="Times New Roman"/>
          <w:sz w:val="32"/>
          <w:szCs w:val="32"/>
        </w:rPr>
        <w:t>七、政府采购支出说明</w:t>
      </w:r>
    </w:p>
    <w:p>
      <w:pPr>
        <w:adjustRightInd w:val="0"/>
        <w:snapToGrid w:val="0"/>
        <w:spacing w:line="580" w:lineRule="exact"/>
        <w:ind w:firstLine="660" w:firstLineChars="200"/>
        <w:rPr>
          <w:rFonts w:hint="eastAsia" w:ascii="Times New Roman" w:hAnsi="Times New Roman" w:eastAsia="仿宋_GB2312" w:cs="Times New Roman"/>
          <w:i w:val="0"/>
          <w:iCs w:val="0"/>
          <w:caps w:val="0"/>
          <w:color w:val="auto"/>
          <w:spacing w:val="0"/>
          <w:kern w:val="0"/>
          <w:sz w:val="33"/>
          <w:szCs w:val="33"/>
          <w:highlight w:val="none"/>
          <w:shd w:val="clear" w:fill="FFFFFF"/>
          <w:rtl w:val="0"/>
          <w:lang w:val="en-US" w:eastAsia="zh-CN" w:bidi="ar"/>
        </w:rPr>
      </w:pPr>
      <w:r>
        <w:rPr>
          <w:rFonts w:hint="eastAsia" w:ascii="Times New Roman" w:hAnsi="Times New Roman" w:eastAsia="仿宋_GB2312" w:cs="Times New Roman"/>
          <w:i w:val="0"/>
          <w:iCs w:val="0"/>
          <w:caps w:val="0"/>
          <w:color w:val="auto"/>
          <w:spacing w:val="0"/>
          <w:kern w:val="0"/>
          <w:sz w:val="33"/>
          <w:szCs w:val="33"/>
          <w:highlight w:val="none"/>
          <w:shd w:val="clear" w:fill="FFFFFF"/>
          <w:rtl w:val="0"/>
          <w:lang w:val="en-US" w:eastAsia="zh-CN" w:bidi="ar"/>
        </w:rPr>
        <w:t>本部门2023年度政府采购支出总额</w:t>
      </w:r>
      <w:r>
        <w:rPr>
          <w:rFonts w:hint="default" w:ascii="Times New Roman" w:hAnsi="Times New Roman" w:eastAsia="仿宋_GB2312" w:cs="Times New Roman"/>
          <w:i w:val="0"/>
          <w:iCs w:val="0"/>
          <w:caps w:val="0"/>
          <w:color w:val="auto"/>
          <w:spacing w:val="0"/>
          <w:kern w:val="0"/>
          <w:sz w:val="33"/>
          <w:szCs w:val="33"/>
          <w:highlight w:val="none"/>
          <w:shd w:val="clear" w:fill="FFFFFF"/>
          <w:rtl w:val="0"/>
          <w:lang w:val="zh-CN" w:eastAsia="zh-CN" w:bidi="ar"/>
        </w:rPr>
        <w:t>22,292.85</w:t>
      </w:r>
      <w:r>
        <w:rPr>
          <w:rFonts w:hint="eastAsia" w:ascii="Times New Roman" w:hAnsi="Times New Roman" w:eastAsia="仿宋_GB2312" w:cs="Times New Roman"/>
          <w:i w:val="0"/>
          <w:iCs w:val="0"/>
          <w:caps w:val="0"/>
          <w:color w:val="auto"/>
          <w:spacing w:val="0"/>
          <w:kern w:val="0"/>
          <w:sz w:val="33"/>
          <w:szCs w:val="33"/>
          <w:highlight w:val="none"/>
          <w:shd w:val="clear" w:fill="FFFFFF"/>
          <w:rtl w:val="0"/>
          <w:lang w:val="en-US" w:eastAsia="zh-CN" w:bidi="ar"/>
        </w:rPr>
        <w:t>万元，从采购类型来看，政府采购货物支出0万元、政府采购工程支出0万元、政府采购服务支出</w:t>
      </w:r>
      <w:r>
        <w:rPr>
          <w:rFonts w:hint="default" w:ascii="Times New Roman" w:hAnsi="Times New Roman" w:eastAsia="仿宋_GB2312" w:cs="Times New Roman"/>
          <w:i w:val="0"/>
          <w:iCs w:val="0"/>
          <w:caps w:val="0"/>
          <w:color w:val="auto"/>
          <w:spacing w:val="0"/>
          <w:kern w:val="0"/>
          <w:sz w:val="33"/>
          <w:szCs w:val="33"/>
          <w:highlight w:val="none"/>
          <w:shd w:val="clear" w:fill="FFFFFF"/>
          <w:rtl w:val="0"/>
          <w:lang w:val="zh-CN" w:eastAsia="zh-CN" w:bidi="ar"/>
        </w:rPr>
        <w:t>22,292.85</w:t>
      </w:r>
      <w:r>
        <w:rPr>
          <w:rFonts w:hint="eastAsia" w:ascii="Times New Roman" w:hAnsi="Times New Roman" w:eastAsia="仿宋_GB2312" w:cs="Times New Roman"/>
          <w:i w:val="0"/>
          <w:iCs w:val="0"/>
          <w:caps w:val="0"/>
          <w:color w:val="auto"/>
          <w:spacing w:val="0"/>
          <w:kern w:val="0"/>
          <w:sz w:val="33"/>
          <w:szCs w:val="33"/>
          <w:highlight w:val="none"/>
          <w:shd w:val="clear" w:fill="FFFFFF"/>
          <w:rtl w:val="0"/>
          <w:lang w:val="en-US" w:eastAsia="zh-CN" w:bidi="ar"/>
        </w:rPr>
        <w:t>万元。授予中小企业合同金额</w:t>
      </w:r>
      <w:r>
        <w:rPr>
          <w:rFonts w:hint="default" w:ascii="Times New Roman" w:hAnsi="Times New Roman" w:eastAsia="仿宋_GB2312" w:cs="Times New Roman"/>
          <w:i w:val="0"/>
          <w:iCs w:val="0"/>
          <w:caps w:val="0"/>
          <w:color w:val="auto"/>
          <w:spacing w:val="0"/>
          <w:kern w:val="0"/>
          <w:sz w:val="33"/>
          <w:szCs w:val="33"/>
          <w:highlight w:val="none"/>
          <w:shd w:val="clear" w:fill="FFFFFF"/>
          <w:rtl w:val="0"/>
          <w:lang w:val="zh-CN" w:eastAsia="zh-CN" w:bidi="ar"/>
        </w:rPr>
        <w:t>17,672.87</w:t>
      </w:r>
      <w:r>
        <w:rPr>
          <w:rFonts w:hint="eastAsia" w:ascii="Times New Roman" w:hAnsi="Times New Roman" w:eastAsia="仿宋_GB2312" w:cs="Times New Roman"/>
          <w:i w:val="0"/>
          <w:iCs w:val="0"/>
          <w:caps w:val="0"/>
          <w:color w:val="auto"/>
          <w:spacing w:val="0"/>
          <w:kern w:val="0"/>
          <w:sz w:val="33"/>
          <w:szCs w:val="33"/>
          <w:highlight w:val="none"/>
          <w:shd w:val="clear" w:fill="FFFFFF"/>
          <w:rtl w:val="0"/>
          <w:lang w:val="en-US" w:eastAsia="zh-CN" w:bidi="ar"/>
        </w:rPr>
        <w:t>万元，占政府采购支出总额的</w:t>
      </w:r>
      <w:r>
        <w:rPr>
          <w:rFonts w:hint="default" w:ascii="Times New Roman" w:hAnsi="Times New Roman" w:eastAsia="仿宋_GB2312" w:cs="Times New Roman"/>
          <w:i w:val="0"/>
          <w:iCs w:val="0"/>
          <w:caps w:val="0"/>
          <w:color w:val="auto"/>
          <w:spacing w:val="0"/>
          <w:kern w:val="0"/>
          <w:sz w:val="33"/>
          <w:szCs w:val="33"/>
          <w:highlight w:val="none"/>
          <w:shd w:val="clear" w:fill="FFFFFF"/>
          <w:rtl w:val="0"/>
          <w:lang w:val="zh-CN" w:eastAsia="zh-CN" w:bidi="ar"/>
        </w:rPr>
        <w:t>79.</w:t>
      </w:r>
      <w:r>
        <w:rPr>
          <w:rFonts w:hint="eastAsia" w:ascii="Times New Roman" w:hAnsi="Times New Roman" w:eastAsia="仿宋_GB2312" w:cs="Times New Roman"/>
          <w:i w:val="0"/>
          <w:iCs w:val="0"/>
          <w:caps w:val="0"/>
          <w:color w:val="auto"/>
          <w:spacing w:val="0"/>
          <w:kern w:val="0"/>
          <w:sz w:val="33"/>
          <w:szCs w:val="33"/>
          <w:highlight w:val="none"/>
          <w:shd w:val="clear" w:fill="FFFFFF"/>
          <w:rtl w:val="0"/>
          <w:lang w:val="en-US" w:eastAsia="zh-CN" w:bidi="ar"/>
        </w:rPr>
        <w:t>3%，其中授予小微企业合同金额</w:t>
      </w:r>
      <w:r>
        <w:rPr>
          <w:rFonts w:hint="default" w:ascii="Times New Roman" w:hAnsi="Times New Roman" w:eastAsia="仿宋_GB2312" w:cs="Times New Roman"/>
          <w:i w:val="0"/>
          <w:iCs w:val="0"/>
          <w:caps w:val="0"/>
          <w:color w:val="auto"/>
          <w:spacing w:val="0"/>
          <w:kern w:val="0"/>
          <w:sz w:val="33"/>
          <w:szCs w:val="33"/>
          <w:highlight w:val="none"/>
          <w:shd w:val="clear" w:fill="FFFFFF"/>
          <w:rtl w:val="0"/>
          <w:lang w:val="zh-CN" w:eastAsia="zh-CN" w:bidi="ar"/>
        </w:rPr>
        <w:t>14,865.76</w:t>
      </w:r>
      <w:r>
        <w:rPr>
          <w:rFonts w:hint="eastAsia" w:ascii="Times New Roman" w:hAnsi="Times New Roman" w:eastAsia="仿宋_GB2312" w:cs="Times New Roman"/>
          <w:i w:val="0"/>
          <w:iCs w:val="0"/>
          <w:caps w:val="0"/>
          <w:color w:val="auto"/>
          <w:spacing w:val="0"/>
          <w:kern w:val="0"/>
          <w:sz w:val="33"/>
          <w:szCs w:val="33"/>
          <w:highlight w:val="none"/>
          <w:shd w:val="clear" w:fill="FFFFFF"/>
          <w:rtl w:val="0"/>
          <w:lang w:val="en-US" w:eastAsia="zh-CN" w:bidi="ar"/>
        </w:rPr>
        <w:t>万元，占政府采购支出总额的</w:t>
      </w:r>
      <w:r>
        <w:rPr>
          <w:rFonts w:hint="default" w:ascii="Times New Roman" w:hAnsi="Times New Roman" w:eastAsia="仿宋_GB2312" w:cs="Times New Roman"/>
          <w:i w:val="0"/>
          <w:iCs w:val="0"/>
          <w:caps w:val="0"/>
          <w:color w:val="auto"/>
          <w:spacing w:val="0"/>
          <w:kern w:val="0"/>
          <w:sz w:val="33"/>
          <w:szCs w:val="33"/>
          <w:highlight w:val="none"/>
          <w:shd w:val="clear" w:fill="FFFFFF"/>
          <w:rtl w:val="0"/>
          <w:lang w:val="zh-CN" w:eastAsia="zh-CN" w:bidi="ar"/>
        </w:rPr>
        <w:t>66.</w:t>
      </w:r>
      <w:r>
        <w:rPr>
          <w:rFonts w:hint="eastAsia" w:ascii="Times New Roman" w:hAnsi="Times New Roman" w:eastAsia="仿宋_GB2312" w:cs="Times New Roman"/>
          <w:i w:val="0"/>
          <w:iCs w:val="0"/>
          <w:caps w:val="0"/>
          <w:color w:val="auto"/>
          <w:spacing w:val="0"/>
          <w:kern w:val="0"/>
          <w:sz w:val="33"/>
          <w:szCs w:val="33"/>
          <w:highlight w:val="none"/>
          <w:shd w:val="clear" w:fill="FFFFFF"/>
          <w:rtl w:val="0"/>
          <w:lang w:val="en-US" w:eastAsia="zh-CN" w:bidi="ar"/>
        </w:rPr>
        <w:t>7%。</w:t>
      </w:r>
    </w:p>
    <w:p>
      <w:pPr>
        <w:snapToGrid w:val="0"/>
        <w:spacing w:line="580" w:lineRule="exact"/>
        <w:ind w:firstLine="640" w:firstLineChars="200"/>
        <w:jc w:val="left"/>
        <w:outlineLvl w:val="1"/>
        <w:rPr>
          <w:rFonts w:ascii="仿宋_GB2312" w:hAnsi="Times New Roman" w:eastAsia="仿宋_GB2312" w:cs="DengXian-Regular"/>
          <w:sz w:val="32"/>
          <w:szCs w:val="32"/>
          <w:highlight w:val="yellow"/>
        </w:rPr>
      </w:pPr>
      <w:r>
        <w:rPr>
          <w:rFonts w:hint="eastAsia" w:ascii="黑体" w:hAnsi="Calibri" w:eastAsia="黑体" w:cs="Times New Roman"/>
          <w:sz w:val="32"/>
          <w:szCs w:val="32"/>
        </w:rPr>
        <w:t>八、国有资产占用情况说明</w:t>
      </w:r>
    </w:p>
    <w:p>
      <w:pPr>
        <w:adjustRightInd w:val="0"/>
        <w:snapToGrid w:val="0"/>
        <w:spacing w:line="580" w:lineRule="exact"/>
        <w:ind w:firstLine="660" w:firstLineChars="200"/>
        <w:rPr>
          <w:rFonts w:hint="eastAsia" w:ascii="Times New Roman" w:hAnsi="Times New Roman" w:eastAsia="仿宋_GB2312" w:cs="Times New Roman"/>
          <w:i w:val="0"/>
          <w:iCs w:val="0"/>
          <w:caps w:val="0"/>
          <w:color w:val="auto"/>
          <w:spacing w:val="0"/>
          <w:kern w:val="0"/>
          <w:sz w:val="33"/>
          <w:szCs w:val="33"/>
          <w:highlight w:val="none"/>
          <w:shd w:val="clear" w:fill="FFFFFF"/>
          <w:rtl w:val="0"/>
          <w:lang w:val="en-US" w:eastAsia="zh-CN" w:bidi="ar"/>
        </w:rPr>
      </w:pPr>
      <w:r>
        <w:rPr>
          <w:rFonts w:hint="eastAsia" w:ascii="Times New Roman" w:hAnsi="Times New Roman" w:eastAsia="仿宋_GB2312" w:cs="Times New Roman"/>
          <w:i w:val="0"/>
          <w:iCs w:val="0"/>
          <w:caps w:val="0"/>
          <w:color w:val="auto"/>
          <w:spacing w:val="0"/>
          <w:kern w:val="0"/>
          <w:sz w:val="33"/>
          <w:szCs w:val="33"/>
          <w:highlight w:val="none"/>
          <w:shd w:val="clear" w:fill="FFFFFF"/>
          <w:rtl w:val="0"/>
          <w:lang w:val="en-US" w:eastAsia="zh-CN" w:bidi="ar"/>
        </w:rPr>
        <w:t>截至2023年12月31日，本部门共有车辆1辆，与上年度持平。其中，副部（省）级及以上领导用车0辆，主要领导干部用车0辆，机要通信用车0辆，应急保障用车1辆，执法执勤用车0辆，特种专业技术用车0辆，离退休干部用车0辆，其他用车0辆；单位价值100万元以上设备（不含车辆）41台（套）。</w:t>
      </w:r>
    </w:p>
    <w:p>
      <w:pPr>
        <w:adjustRightInd w:val="0"/>
        <w:snapToGrid w:val="0"/>
        <w:spacing w:line="580" w:lineRule="exact"/>
        <w:ind w:firstLine="640" w:firstLineChars="200"/>
        <w:outlineLvl w:val="1"/>
        <w:rPr>
          <w:rFonts w:ascii="黑体" w:hAnsi="Times New Roman" w:eastAsia="黑体" w:cs="Times New Roman"/>
          <w:sz w:val="32"/>
          <w:szCs w:val="40"/>
        </w:rPr>
      </w:pPr>
      <w:r>
        <w:rPr>
          <w:rFonts w:hint="eastAsia" w:ascii="黑体" w:hAnsi="Times New Roman" w:eastAsia="黑体" w:cs="Times New Roman"/>
          <w:sz w:val="32"/>
          <w:szCs w:val="40"/>
        </w:rPr>
        <w:t>九、预算绩效情况说明</w:t>
      </w:r>
    </w:p>
    <w:p>
      <w:pPr>
        <w:adjustRightInd w:val="0"/>
        <w:snapToGrid w:val="0"/>
        <w:spacing w:line="580" w:lineRule="exact"/>
        <w:ind w:firstLine="643" w:firstLineChars="200"/>
        <w:outlineLvl w:val="2"/>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（一）预算绩效管理工作开展情况</w:t>
      </w:r>
    </w:p>
    <w:p>
      <w:pPr>
        <w:adjustRightInd w:val="0"/>
        <w:snapToGrid w:val="0"/>
        <w:spacing w:line="580" w:lineRule="exact"/>
        <w:ind w:firstLine="660" w:firstLineChars="200"/>
        <w:rPr>
          <w:rFonts w:hint="eastAsia" w:ascii="Times New Roman" w:hAnsi="Times New Roman" w:eastAsia="仿宋_GB2312" w:cs="Times New Roman"/>
          <w:i w:val="0"/>
          <w:iCs w:val="0"/>
          <w:caps w:val="0"/>
          <w:color w:val="auto"/>
          <w:spacing w:val="0"/>
          <w:kern w:val="0"/>
          <w:sz w:val="33"/>
          <w:szCs w:val="33"/>
          <w:highlight w:val="none"/>
          <w:shd w:val="clear" w:fill="FFFFFF"/>
          <w:rtl w:val="0"/>
          <w:lang w:val="en-US" w:eastAsia="zh-CN" w:bidi="ar"/>
        </w:rPr>
      </w:pPr>
      <w:r>
        <w:rPr>
          <w:rFonts w:hint="eastAsia" w:ascii="Times New Roman" w:hAnsi="Times New Roman" w:eastAsia="仿宋_GB2312" w:cs="Times New Roman"/>
          <w:i w:val="0"/>
          <w:iCs w:val="0"/>
          <w:caps w:val="0"/>
          <w:color w:val="auto"/>
          <w:spacing w:val="0"/>
          <w:kern w:val="0"/>
          <w:sz w:val="33"/>
          <w:szCs w:val="33"/>
          <w:highlight w:val="none"/>
          <w:shd w:val="clear" w:fill="FFFFFF"/>
          <w:rtl w:val="0"/>
          <w:lang w:val="en-US" w:eastAsia="zh-CN" w:bidi="ar"/>
        </w:rPr>
        <w:t>根据预算绩效管理要求，本部门组织对2023年度一般公共预算项目支出全面开展绩效自评，其中，一般公共预算项目18个，共涉及资金56765.89万元，占一般公共预算专项项目支出总额的100%；本部门无政府性基金预算项目。</w:t>
      </w:r>
    </w:p>
    <w:p>
      <w:pPr>
        <w:adjustRightInd w:val="0"/>
        <w:snapToGrid w:val="0"/>
        <w:spacing w:line="580" w:lineRule="exact"/>
        <w:ind w:left="420" w:leftChars="200" w:firstLine="321" w:firstLineChars="100"/>
        <w:outlineLvl w:val="2"/>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（二）部门决算中项目绩效自评结果</w:t>
      </w:r>
    </w:p>
    <w:p>
      <w:pPr>
        <w:adjustRightInd w:val="0"/>
        <w:snapToGrid w:val="0"/>
        <w:spacing w:line="580" w:lineRule="exact"/>
        <w:ind w:firstLine="660" w:firstLineChars="200"/>
        <w:rPr>
          <w:rFonts w:hint="default" w:ascii="Times New Roman" w:hAnsi="Times New Roman" w:eastAsia="仿宋_GB2312" w:cs="Times New Roman"/>
          <w:i w:val="0"/>
          <w:iCs w:val="0"/>
          <w:caps w:val="0"/>
          <w:color w:val="auto"/>
          <w:spacing w:val="0"/>
          <w:kern w:val="0"/>
          <w:sz w:val="33"/>
          <w:szCs w:val="33"/>
          <w:highlight w:val="none"/>
          <w:shd w:val="clear" w:fill="FFFFFF"/>
          <w:rtl w:val="0"/>
          <w:lang w:val="zh-CN" w:eastAsia="zh-CN" w:bidi="ar"/>
        </w:rPr>
      </w:pPr>
      <w:r>
        <w:rPr>
          <w:rFonts w:hint="default" w:ascii="Times New Roman" w:hAnsi="Times New Roman" w:eastAsia="仿宋_GB2312" w:cs="Times New Roman"/>
          <w:i w:val="0"/>
          <w:iCs w:val="0"/>
          <w:caps w:val="0"/>
          <w:color w:val="auto"/>
          <w:spacing w:val="0"/>
          <w:kern w:val="0"/>
          <w:sz w:val="33"/>
          <w:szCs w:val="33"/>
          <w:highlight w:val="none"/>
          <w:shd w:val="clear" w:fill="FFFFFF"/>
          <w:rtl w:val="0"/>
          <w:lang w:val="en-US" w:eastAsia="zh-CN" w:bidi="ar"/>
        </w:rPr>
        <w:t> </w:t>
      </w:r>
      <w:r>
        <w:rPr>
          <w:rFonts w:hint="default" w:ascii="Times New Roman" w:hAnsi="Times New Roman" w:eastAsia="仿宋_GB2312" w:cs="Times New Roman"/>
          <w:i w:val="0"/>
          <w:iCs w:val="0"/>
          <w:caps w:val="0"/>
          <w:color w:val="auto"/>
          <w:spacing w:val="0"/>
          <w:kern w:val="0"/>
          <w:sz w:val="33"/>
          <w:szCs w:val="33"/>
          <w:highlight w:val="none"/>
          <w:shd w:val="clear" w:fill="FFFFFF"/>
          <w:rtl w:val="0"/>
          <w:lang w:val="zh-CN" w:eastAsia="zh-CN" w:bidi="ar"/>
        </w:rPr>
        <w:t>本</w:t>
      </w:r>
      <w:r>
        <w:rPr>
          <w:rFonts w:hint="eastAsia" w:ascii="Times New Roman" w:hAnsi="Times New Roman" w:eastAsia="仿宋_GB2312" w:cs="Times New Roman"/>
          <w:i w:val="0"/>
          <w:iCs w:val="0"/>
          <w:caps w:val="0"/>
          <w:color w:val="auto"/>
          <w:spacing w:val="0"/>
          <w:kern w:val="0"/>
          <w:sz w:val="33"/>
          <w:szCs w:val="33"/>
          <w:highlight w:val="none"/>
          <w:shd w:val="clear" w:fill="FFFFFF"/>
          <w:rtl w:val="0"/>
          <w:lang w:val="zh-CN" w:eastAsia="zh-CN" w:bidi="ar"/>
        </w:rPr>
        <w:t>部门</w:t>
      </w:r>
      <w:r>
        <w:rPr>
          <w:rFonts w:hint="default" w:ascii="Times New Roman" w:hAnsi="Times New Roman" w:eastAsia="仿宋_GB2312" w:cs="Times New Roman"/>
          <w:i w:val="0"/>
          <w:iCs w:val="0"/>
          <w:caps w:val="0"/>
          <w:color w:val="auto"/>
          <w:spacing w:val="0"/>
          <w:kern w:val="0"/>
          <w:sz w:val="33"/>
          <w:szCs w:val="33"/>
          <w:highlight w:val="none"/>
          <w:shd w:val="clear" w:fill="FFFFFF"/>
          <w:rtl w:val="0"/>
          <w:lang w:val="zh-CN" w:eastAsia="zh-CN" w:bidi="ar"/>
        </w:rPr>
        <w:t>在今年</w:t>
      </w:r>
      <w:r>
        <w:rPr>
          <w:rFonts w:hint="eastAsia" w:ascii="Times New Roman" w:hAnsi="Times New Roman" w:eastAsia="仿宋_GB2312" w:cs="Times New Roman"/>
          <w:i w:val="0"/>
          <w:iCs w:val="0"/>
          <w:caps w:val="0"/>
          <w:color w:val="auto"/>
          <w:spacing w:val="0"/>
          <w:kern w:val="0"/>
          <w:sz w:val="33"/>
          <w:szCs w:val="33"/>
          <w:highlight w:val="none"/>
          <w:shd w:val="clear" w:fill="FFFFFF"/>
          <w:rtl w:val="0"/>
          <w:lang w:val="zh-CN" w:eastAsia="zh-CN" w:bidi="ar"/>
        </w:rPr>
        <w:t>单位</w:t>
      </w:r>
      <w:r>
        <w:rPr>
          <w:rFonts w:hint="default" w:ascii="Times New Roman" w:hAnsi="Times New Roman" w:eastAsia="仿宋_GB2312" w:cs="Times New Roman"/>
          <w:i w:val="0"/>
          <w:iCs w:val="0"/>
          <w:caps w:val="0"/>
          <w:color w:val="auto"/>
          <w:spacing w:val="0"/>
          <w:kern w:val="0"/>
          <w:sz w:val="33"/>
          <w:szCs w:val="33"/>
          <w:highlight w:val="none"/>
          <w:shd w:val="clear" w:fill="FFFFFF"/>
          <w:rtl w:val="0"/>
          <w:lang w:val="zh-CN" w:eastAsia="zh-CN" w:bidi="ar"/>
        </w:rPr>
        <w:t>决算公开中反映</w:t>
      </w:r>
      <w:r>
        <w:rPr>
          <w:rFonts w:hint="eastAsia" w:ascii="Times New Roman" w:hAnsi="Times New Roman" w:eastAsia="仿宋_GB2312" w:cs="Times New Roman"/>
          <w:i w:val="0"/>
          <w:iCs w:val="0"/>
          <w:caps w:val="0"/>
          <w:color w:val="auto"/>
          <w:spacing w:val="0"/>
          <w:kern w:val="0"/>
          <w:sz w:val="33"/>
          <w:szCs w:val="33"/>
          <w:highlight w:val="none"/>
          <w:shd w:val="clear" w:fill="FFFFFF"/>
          <w:rtl w:val="0"/>
          <w:lang w:val="zh-CN" w:eastAsia="zh-CN" w:bidi="ar"/>
        </w:rPr>
        <w:t>防入侵检测经费</w:t>
      </w:r>
      <w:r>
        <w:rPr>
          <w:rFonts w:hint="default" w:ascii="Times New Roman" w:hAnsi="Times New Roman" w:eastAsia="仿宋_GB2312" w:cs="Times New Roman"/>
          <w:i w:val="0"/>
          <w:iCs w:val="0"/>
          <w:caps w:val="0"/>
          <w:color w:val="auto"/>
          <w:spacing w:val="0"/>
          <w:kern w:val="0"/>
          <w:sz w:val="33"/>
          <w:szCs w:val="33"/>
          <w:highlight w:val="none"/>
          <w:shd w:val="clear" w:fill="FFFFFF"/>
          <w:rtl w:val="0"/>
          <w:lang w:val="zh-CN" w:eastAsia="zh-CN" w:bidi="ar"/>
        </w:rPr>
        <w:t>项目绩效自评结果。</w:t>
      </w:r>
    </w:p>
    <w:p>
      <w:pPr>
        <w:adjustRightInd w:val="0"/>
        <w:snapToGrid w:val="0"/>
        <w:spacing w:line="580" w:lineRule="exact"/>
        <w:ind w:firstLine="660" w:firstLineChars="200"/>
        <w:rPr>
          <w:rFonts w:hint="eastAsia" w:ascii="仿宋_GB2312" w:hAnsi="仿宋_GB2312" w:eastAsia="仿宋_GB2312" w:cs="仿宋_GB2312"/>
          <w:sz w:val="32"/>
          <w:szCs w:val="32"/>
          <w:lang w:eastAsia="zh-CN"/>
        </w:rPr>
      </w:pPr>
      <w:r>
        <w:rPr>
          <w:rFonts w:hint="eastAsia" w:ascii="Times New Roman" w:hAnsi="Times New Roman" w:eastAsia="仿宋_GB2312" w:cs="Times New Roman"/>
          <w:i w:val="0"/>
          <w:iCs w:val="0"/>
          <w:caps w:val="0"/>
          <w:color w:val="auto"/>
          <w:spacing w:val="0"/>
          <w:kern w:val="0"/>
          <w:sz w:val="33"/>
          <w:szCs w:val="33"/>
          <w:highlight w:val="none"/>
          <w:shd w:val="clear" w:fill="FFFFFF"/>
          <w:rtl w:val="0"/>
          <w:lang w:val="zh-CN" w:eastAsia="zh-CN" w:bidi="ar"/>
        </w:rPr>
        <w:t>防入侵检测经费</w:t>
      </w:r>
      <w:r>
        <w:rPr>
          <w:rFonts w:hint="default" w:ascii="Times New Roman" w:hAnsi="Times New Roman" w:eastAsia="仿宋_GB2312" w:cs="Times New Roman"/>
          <w:i w:val="0"/>
          <w:iCs w:val="0"/>
          <w:caps w:val="0"/>
          <w:color w:val="auto"/>
          <w:spacing w:val="0"/>
          <w:kern w:val="0"/>
          <w:sz w:val="33"/>
          <w:szCs w:val="33"/>
          <w:highlight w:val="none"/>
          <w:shd w:val="clear" w:fill="FFFFFF"/>
          <w:rtl w:val="0"/>
          <w:lang w:val="zh-CN" w:eastAsia="zh-CN" w:bidi="ar"/>
        </w:rPr>
        <w:t>项目绩效自评情况：根据年初设定的绩效目标，</w:t>
      </w:r>
      <w:r>
        <w:rPr>
          <w:rFonts w:hint="eastAsia" w:ascii="Times New Roman" w:hAnsi="Times New Roman" w:eastAsia="仿宋_GB2312" w:cs="Times New Roman"/>
          <w:i w:val="0"/>
          <w:iCs w:val="0"/>
          <w:caps w:val="0"/>
          <w:color w:val="auto"/>
          <w:spacing w:val="0"/>
          <w:kern w:val="0"/>
          <w:sz w:val="33"/>
          <w:szCs w:val="33"/>
          <w:highlight w:val="none"/>
          <w:shd w:val="clear" w:fill="FFFFFF"/>
          <w:rtl w:val="0"/>
          <w:lang w:val="zh-CN" w:eastAsia="zh-CN" w:bidi="ar"/>
        </w:rPr>
        <w:t>防入侵检测经费</w:t>
      </w:r>
      <w:r>
        <w:rPr>
          <w:rFonts w:hint="default" w:ascii="Times New Roman" w:hAnsi="Times New Roman" w:eastAsia="仿宋_GB2312" w:cs="Times New Roman"/>
          <w:i w:val="0"/>
          <w:iCs w:val="0"/>
          <w:caps w:val="0"/>
          <w:color w:val="auto"/>
          <w:spacing w:val="0"/>
          <w:kern w:val="0"/>
          <w:sz w:val="33"/>
          <w:szCs w:val="33"/>
          <w:highlight w:val="none"/>
          <w:shd w:val="clear" w:fill="FFFFFF"/>
          <w:rtl w:val="0"/>
          <w:lang w:val="zh-CN" w:eastAsia="zh-CN" w:bidi="ar"/>
        </w:rPr>
        <w:t>项目绩效自评得分为</w:t>
      </w:r>
      <w:r>
        <w:rPr>
          <w:rFonts w:hint="eastAsia" w:ascii="Times New Roman" w:hAnsi="Times New Roman" w:eastAsia="仿宋_GB2312" w:cs="Times New Roman"/>
          <w:i w:val="0"/>
          <w:iCs w:val="0"/>
          <w:caps w:val="0"/>
          <w:color w:val="auto"/>
          <w:spacing w:val="0"/>
          <w:kern w:val="0"/>
          <w:sz w:val="33"/>
          <w:szCs w:val="33"/>
          <w:highlight w:val="none"/>
          <w:shd w:val="clear" w:fill="FFFFFF"/>
          <w:rtl w:val="0"/>
          <w:lang w:val="en-US" w:eastAsia="zh-CN" w:bidi="ar"/>
        </w:rPr>
        <w:t>100</w:t>
      </w:r>
      <w:r>
        <w:rPr>
          <w:rFonts w:hint="default" w:ascii="Times New Roman" w:hAnsi="Times New Roman" w:eastAsia="仿宋_GB2312" w:cs="Times New Roman"/>
          <w:i w:val="0"/>
          <w:iCs w:val="0"/>
          <w:caps w:val="0"/>
          <w:color w:val="auto"/>
          <w:spacing w:val="0"/>
          <w:kern w:val="0"/>
          <w:sz w:val="33"/>
          <w:szCs w:val="33"/>
          <w:highlight w:val="none"/>
          <w:shd w:val="clear" w:fill="FFFFFF"/>
          <w:rtl w:val="0"/>
          <w:lang w:val="zh-CN" w:eastAsia="zh-CN" w:bidi="ar"/>
        </w:rPr>
        <w:t>分（绩效自评表附后）。全年预算数为</w:t>
      </w:r>
      <w:r>
        <w:rPr>
          <w:rFonts w:hint="eastAsia" w:ascii="Times New Roman" w:hAnsi="Times New Roman" w:eastAsia="仿宋_GB2312" w:cs="Times New Roman"/>
          <w:i w:val="0"/>
          <w:iCs w:val="0"/>
          <w:caps w:val="0"/>
          <w:color w:val="auto"/>
          <w:spacing w:val="0"/>
          <w:kern w:val="0"/>
          <w:sz w:val="33"/>
          <w:szCs w:val="33"/>
          <w:highlight w:val="none"/>
          <w:shd w:val="clear" w:fill="FFFFFF"/>
          <w:rtl w:val="0"/>
          <w:lang w:val="en-US" w:eastAsia="zh-CN" w:bidi="ar"/>
        </w:rPr>
        <w:t>20</w:t>
      </w:r>
      <w:r>
        <w:rPr>
          <w:rFonts w:hint="default" w:ascii="Times New Roman" w:hAnsi="Times New Roman" w:eastAsia="仿宋_GB2312" w:cs="Times New Roman"/>
          <w:i w:val="0"/>
          <w:iCs w:val="0"/>
          <w:caps w:val="0"/>
          <w:color w:val="auto"/>
          <w:spacing w:val="0"/>
          <w:kern w:val="0"/>
          <w:sz w:val="33"/>
          <w:szCs w:val="33"/>
          <w:highlight w:val="none"/>
          <w:shd w:val="clear" w:fill="FFFFFF"/>
          <w:rtl w:val="0"/>
          <w:lang w:val="zh-CN" w:eastAsia="zh-CN" w:bidi="ar"/>
        </w:rPr>
        <w:t>万元，执行数为</w:t>
      </w:r>
      <w:r>
        <w:rPr>
          <w:rFonts w:hint="eastAsia" w:ascii="Times New Roman" w:hAnsi="Times New Roman" w:eastAsia="仿宋_GB2312" w:cs="Times New Roman"/>
          <w:i w:val="0"/>
          <w:iCs w:val="0"/>
          <w:caps w:val="0"/>
          <w:color w:val="auto"/>
          <w:spacing w:val="0"/>
          <w:kern w:val="0"/>
          <w:sz w:val="33"/>
          <w:szCs w:val="33"/>
          <w:highlight w:val="none"/>
          <w:shd w:val="clear" w:fill="FFFFFF"/>
          <w:rtl w:val="0"/>
          <w:lang w:val="en-US" w:eastAsia="zh-CN" w:bidi="ar"/>
        </w:rPr>
        <w:t>20</w:t>
      </w:r>
      <w:r>
        <w:rPr>
          <w:rFonts w:hint="default" w:ascii="Times New Roman" w:hAnsi="Times New Roman" w:eastAsia="仿宋_GB2312" w:cs="Times New Roman"/>
          <w:i w:val="0"/>
          <w:iCs w:val="0"/>
          <w:caps w:val="0"/>
          <w:color w:val="auto"/>
          <w:spacing w:val="0"/>
          <w:kern w:val="0"/>
          <w:sz w:val="33"/>
          <w:szCs w:val="33"/>
          <w:highlight w:val="none"/>
          <w:shd w:val="clear" w:fill="FFFFFF"/>
          <w:rtl w:val="0"/>
          <w:lang w:val="zh-CN" w:eastAsia="zh-CN" w:bidi="ar"/>
        </w:rPr>
        <w:t>万元，完成预算的</w:t>
      </w:r>
      <w:r>
        <w:rPr>
          <w:rFonts w:hint="eastAsia" w:ascii="Times New Roman" w:hAnsi="Times New Roman" w:eastAsia="仿宋_GB2312" w:cs="Times New Roman"/>
          <w:i w:val="0"/>
          <w:iCs w:val="0"/>
          <w:caps w:val="0"/>
          <w:color w:val="auto"/>
          <w:spacing w:val="0"/>
          <w:kern w:val="0"/>
          <w:sz w:val="33"/>
          <w:szCs w:val="33"/>
          <w:highlight w:val="none"/>
          <w:shd w:val="clear" w:fill="FFFFFF"/>
          <w:rtl w:val="0"/>
          <w:lang w:val="en-US" w:eastAsia="zh-CN" w:bidi="ar"/>
        </w:rPr>
        <w:t>100</w:t>
      </w:r>
      <w:r>
        <w:rPr>
          <w:rFonts w:hint="default" w:ascii="Times New Roman" w:hAnsi="Times New Roman" w:eastAsia="仿宋_GB2312" w:cs="Times New Roman"/>
          <w:i w:val="0"/>
          <w:iCs w:val="0"/>
          <w:caps w:val="0"/>
          <w:color w:val="auto"/>
          <w:spacing w:val="0"/>
          <w:kern w:val="0"/>
          <w:sz w:val="33"/>
          <w:szCs w:val="33"/>
          <w:highlight w:val="none"/>
          <w:shd w:val="clear" w:fill="FFFFFF"/>
          <w:rtl w:val="0"/>
          <w:lang w:val="zh-CN" w:eastAsia="zh-CN" w:bidi="ar"/>
        </w:rPr>
        <w:t>%。项目绩效目标完成情况</w:t>
      </w:r>
      <w:r>
        <w:rPr>
          <w:rFonts w:hint="eastAsia" w:ascii="Times New Roman" w:hAnsi="Times New Roman" w:eastAsia="仿宋_GB2312" w:cs="Times New Roman"/>
          <w:i w:val="0"/>
          <w:iCs w:val="0"/>
          <w:caps w:val="0"/>
          <w:color w:val="auto"/>
          <w:spacing w:val="0"/>
          <w:kern w:val="0"/>
          <w:sz w:val="33"/>
          <w:szCs w:val="33"/>
          <w:highlight w:val="none"/>
          <w:shd w:val="clear" w:fill="FFFFFF"/>
          <w:rtl w:val="0"/>
          <w:lang w:val="en-US" w:eastAsia="zh-CN" w:bidi="ar"/>
        </w:rPr>
        <w:t>通过项目实施，完成了年初设定的各项绩效目标，完成了约定的全部内容，未发现问题。</w:t>
      </w:r>
    </w:p>
    <w:tbl>
      <w:tblPr>
        <w:tblStyle w:val="8"/>
        <w:tblW w:w="10181"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3096"/>
        <w:gridCol w:w="1040"/>
        <w:gridCol w:w="681"/>
        <w:gridCol w:w="932"/>
        <w:gridCol w:w="943"/>
        <w:gridCol w:w="903"/>
        <w:gridCol w:w="1110"/>
        <w:gridCol w:w="1476"/>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36" w:hRule="atLeast"/>
          <w:jc w:val="center"/>
        </w:trPr>
        <w:tc>
          <w:tcPr>
            <w:tcW w:w="10181" w:type="dxa"/>
            <w:gridSpan w:val="8"/>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40"/>
                <w:szCs w:val="40"/>
                <w:u w:val="none"/>
              </w:rPr>
            </w:pPr>
            <w:r>
              <w:rPr>
                <w:rFonts w:hint="eastAsia" w:asciiTheme="majorEastAsia" w:hAnsiTheme="majorEastAsia" w:eastAsiaTheme="majorEastAsia" w:cstheme="majorEastAsia"/>
                <w:i w:val="0"/>
                <w:iCs w:val="0"/>
                <w:color w:val="000000"/>
                <w:kern w:val="0"/>
                <w:sz w:val="40"/>
                <w:szCs w:val="40"/>
                <w:u w:val="none"/>
                <w:lang w:val="en-US" w:eastAsia="zh-CN" w:bidi="ar"/>
              </w:rPr>
              <w:t>市级</w:t>
            </w:r>
            <w:r>
              <w:rPr>
                <w:rFonts w:hint="eastAsia" w:asciiTheme="majorEastAsia" w:hAnsiTheme="majorEastAsia" w:eastAsiaTheme="majorEastAsia" w:cstheme="majorEastAsia"/>
                <w:b w:val="0"/>
                <w:bCs w:val="0"/>
                <w:i w:val="0"/>
                <w:iCs w:val="0"/>
                <w:color w:val="000000"/>
                <w:kern w:val="0"/>
                <w:sz w:val="40"/>
                <w:szCs w:val="40"/>
                <w:u w:val="none"/>
                <w:lang w:val="en-US" w:eastAsia="zh-CN" w:bidi="ar"/>
              </w:rPr>
              <w:t>部门</w:t>
            </w:r>
            <w:r>
              <w:rPr>
                <w:rFonts w:hint="eastAsia" w:asciiTheme="majorEastAsia" w:hAnsiTheme="majorEastAsia" w:eastAsiaTheme="majorEastAsia" w:cstheme="majorEastAsia"/>
                <w:i w:val="0"/>
                <w:iCs w:val="0"/>
                <w:color w:val="000000"/>
                <w:kern w:val="0"/>
                <w:sz w:val="40"/>
                <w:szCs w:val="40"/>
                <w:u w:val="none"/>
                <w:lang w:val="en-US" w:eastAsia="zh-CN" w:bidi="ar"/>
              </w:rPr>
              <w:t>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2" w:hRule="atLeast"/>
          <w:jc w:val="center"/>
        </w:trPr>
        <w:tc>
          <w:tcPr>
            <w:tcW w:w="10181" w:type="dxa"/>
            <w:gridSpan w:val="8"/>
            <w:tcBorders>
              <w:top w:val="nil"/>
              <w:left w:val="nil"/>
              <w:bottom w:val="nil"/>
              <w:right w:val="nil"/>
            </w:tcBorders>
            <w:shd w:val="clear" w:color="auto" w:fill="auto"/>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（2023年度）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8" w:hRule="atLeast"/>
          <w:jc w:val="center"/>
        </w:trPr>
        <w:tc>
          <w:tcPr>
            <w:tcW w:w="0" w:type="auto"/>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填报单位：石家庄市数据资源管理局</w:t>
            </w:r>
          </w:p>
        </w:tc>
        <w:tc>
          <w:tcPr>
            <w:tcW w:w="0" w:type="auto"/>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18"/>
                <w:szCs w:val="18"/>
                <w:u w:val="none"/>
              </w:rPr>
            </w:pPr>
          </w:p>
        </w:tc>
        <w:tc>
          <w:tcPr>
            <w:tcW w:w="903" w:type="dxa"/>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18"/>
                <w:szCs w:val="18"/>
                <w:u w:val="none"/>
              </w:rPr>
            </w:pPr>
          </w:p>
        </w:tc>
        <w:tc>
          <w:tcPr>
            <w:tcW w:w="1110" w:type="dxa"/>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18"/>
                <w:szCs w:val="18"/>
                <w:u w:val="none"/>
              </w:rPr>
            </w:pPr>
          </w:p>
        </w:tc>
        <w:tc>
          <w:tcPr>
            <w:tcW w:w="1476" w:type="dxa"/>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97" w:hRule="atLeast"/>
          <w:jc w:val="center"/>
        </w:trPr>
        <w:tc>
          <w:tcPr>
            <w:tcW w:w="3096"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w:t>
            </w:r>
            <w:r>
              <w:rPr>
                <w:rStyle w:val="20"/>
                <w:rFonts w:eastAsia="宋体"/>
                <w:lang w:val="en-US" w:eastAsia="zh-CN" w:bidi="ar"/>
              </w:rPr>
              <w:t xml:space="preserve"> </w:t>
            </w:r>
            <w:r>
              <w:rPr>
                <w:rStyle w:val="21"/>
                <w:lang w:val="en-US" w:eastAsia="zh-CN" w:bidi="ar"/>
              </w:rPr>
              <w:t>基本情况</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项目名称</w:t>
            </w:r>
          </w:p>
        </w:tc>
        <w:tc>
          <w:tcPr>
            <w:tcW w:w="161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防入侵检测经费</w:t>
            </w:r>
          </w:p>
        </w:tc>
        <w:tc>
          <w:tcPr>
            <w:tcW w:w="94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实施(主管）单位</w:t>
            </w:r>
          </w:p>
        </w:tc>
        <w:tc>
          <w:tcPr>
            <w:tcW w:w="3489"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石家庄市数据资源管理局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jc w:val="center"/>
        </w:trPr>
        <w:tc>
          <w:tcPr>
            <w:tcW w:w="309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二、预算执行情况</w:t>
            </w:r>
          </w:p>
        </w:tc>
        <w:tc>
          <w:tcPr>
            <w:tcW w:w="172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预算安排情况（调整后）</w:t>
            </w:r>
          </w:p>
        </w:tc>
        <w:tc>
          <w:tcPr>
            <w:tcW w:w="187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资金到位情况</w:t>
            </w:r>
          </w:p>
        </w:tc>
        <w:tc>
          <w:tcPr>
            <w:tcW w:w="201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资金执行情况</w:t>
            </w:r>
          </w:p>
        </w:tc>
        <w:tc>
          <w:tcPr>
            <w:tcW w:w="14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jc w:val="center"/>
        </w:trPr>
        <w:tc>
          <w:tcPr>
            <w:tcW w:w="309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预算数：</w:t>
            </w:r>
          </w:p>
        </w:tc>
        <w:tc>
          <w:tcPr>
            <w:tcW w:w="68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宋体" w:hAnsi="宋体" w:eastAsia="宋体" w:cs="宋体"/>
                <w:i w:val="0"/>
                <w:iCs w:val="0"/>
                <w:color w:val="000000"/>
                <w:sz w:val="18"/>
                <w:szCs w:val="18"/>
                <w:u w:val="none"/>
                <w:lang w:val="en-US"/>
              </w:rPr>
            </w:pPr>
            <w:r>
              <w:rPr>
                <w:rFonts w:hint="eastAsia" w:ascii="宋体" w:hAnsi="宋体" w:eastAsia="宋体" w:cs="宋体"/>
                <w:i w:val="0"/>
                <w:iCs w:val="0"/>
                <w:color w:val="000000"/>
                <w:kern w:val="0"/>
                <w:sz w:val="18"/>
                <w:szCs w:val="18"/>
                <w:u w:val="none"/>
                <w:lang w:val="en-US" w:eastAsia="zh-CN" w:bidi="ar"/>
              </w:rPr>
              <w:t>20</w:t>
            </w:r>
          </w:p>
        </w:tc>
        <w:tc>
          <w:tcPr>
            <w:tcW w:w="93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到位数：</w:t>
            </w:r>
          </w:p>
        </w:tc>
        <w:tc>
          <w:tcPr>
            <w:tcW w:w="94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宋体" w:hAnsi="宋体" w:eastAsia="宋体" w:cs="宋体"/>
                <w:i w:val="0"/>
                <w:iCs w:val="0"/>
                <w:color w:val="000000"/>
                <w:sz w:val="18"/>
                <w:szCs w:val="18"/>
                <w:u w:val="none"/>
                <w:lang w:val="en-US"/>
              </w:rPr>
            </w:pPr>
            <w:r>
              <w:rPr>
                <w:rFonts w:hint="eastAsia" w:ascii="宋体" w:hAnsi="宋体" w:eastAsia="宋体" w:cs="宋体"/>
                <w:i w:val="0"/>
                <w:iCs w:val="0"/>
                <w:color w:val="000000"/>
                <w:kern w:val="0"/>
                <w:sz w:val="18"/>
                <w:szCs w:val="18"/>
                <w:u w:val="none"/>
                <w:lang w:val="en-US" w:eastAsia="zh-CN" w:bidi="ar"/>
              </w:rPr>
              <w:t>20</w:t>
            </w:r>
          </w:p>
        </w:tc>
        <w:tc>
          <w:tcPr>
            <w:tcW w:w="9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执行数：</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宋体" w:hAnsi="宋体" w:eastAsia="宋体" w:cs="宋体"/>
                <w:i w:val="0"/>
                <w:iCs w:val="0"/>
                <w:color w:val="000000"/>
                <w:sz w:val="18"/>
                <w:szCs w:val="18"/>
                <w:u w:val="none"/>
                <w:lang w:val="en-US"/>
              </w:rPr>
            </w:pPr>
            <w:r>
              <w:rPr>
                <w:rFonts w:hint="eastAsia" w:ascii="宋体" w:hAnsi="宋体" w:eastAsia="宋体" w:cs="宋体"/>
                <w:i w:val="0"/>
                <w:iCs w:val="0"/>
                <w:color w:val="000000"/>
                <w:kern w:val="0"/>
                <w:sz w:val="18"/>
                <w:szCs w:val="18"/>
                <w:u w:val="none"/>
                <w:lang w:val="en-US" w:eastAsia="zh-CN" w:bidi="ar"/>
              </w:rPr>
              <w:t>20</w:t>
            </w:r>
          </w:p>
        </w:tc>
        <w:tc>
          <w:tcPr>
            <w:tcW w:w="147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jc w:val="center"/>
        </w:trPr>
        <w:tc>
          <w:tcPr>
            <w:tcW w:w="309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其中：                 财政资金</w:t>
            </w:r>
          </w:p>
        </w:tc>
        <w:tc>
          <w:tcPr>
            <w:tcW w:w="68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宋体" w:hAnsi="宋体" w:eastAsia="宋体" w:cs="宋体"/>
                <w:i w:val="0"/>
                <w:iCs w:val="0"/>
                <w:color w:val="000000"/>
                <w:sz w:val="18"/>
                <w:szCs w:val="18"/>
                <w:u w:val="none"/>
                <w:lang w:val="en-US"/>
              </w:rPr>
            </w:pPr>
            <w:r>
              <w:rPr>
                <w:rFonts w:hint="eastAsia" w:ascii="宋体" w:hAnsi="宋体" w:eastAsia="宋体" w:cs="宋体"/>
                <w:i w:val="0"/>
                <w:iCs w:val="0"/>
                <w:color w:val="000000"/>
                <w:kern w:val="0"/>
                <w:sz w:val="18"/>
                <w:szCs w:val="18"/>
                <w:u w:val="none"/>
                <w:lang w:val="en-US" w:eastAsia="zh-CN" w:bidi="ar"/>
              </w:rPr>
              <w:t>20</w:t>
            </w:r>
          </w:p>
        </w:tc>
        <w:tc>
          <w:tcPr>
            <w:tcW w:w="93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其中：                      财政资金</w:t>
            </w:r>
          </w:p>
        </w:tc>
        <w:tc>
          <w:tcPr>
            <w:tcW w:w="94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宋体" w:hAnsi="宋体" w:eastAsia="宋体" w:cs="宋体"/>
                <w:i w:val="0"/>
                <w:iCs w:val="0"/>
                <w:color w:val="000000"/>
                <w:sz w:val="18"/>
                <w:szCs w:val="18"/>
                <w:u w:val="none"/>
                <w:lang w:val="en-US"/>
              </w:rPr>
            </w:pPr>
            <w:r>
              <w:rPr>
                <w:rFonts w:hint="eastAsia" w:ascii="宋体" w:hAnsi="宋体" w:eastAsia="宋体" w:cs="宋体"/>
                <w:i w:val="0"/>
                <w:iCs w:val="0"/>
                <w:color w:val="000000"/>
                <w:kern w:val="0"/>
                <w:sz w:val="18"/>
                <w:szCs w:val="18"/>
                <w:u w:val="none"/>
                <w:lang w:val="en-US" w:eastAsia="zh-CN" w:bidi="ar"/>
              </w:rPr>
              <w:t>20</w:t>
            </w:r>
          </w:p>
        </w:tc>
        <w:tc>
          <w:tcPr>
            <w:tcW w:w="9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其中：                     财政资金</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宋体" w:hAnsi="宋体" w:eastAsia="宋体" w:cs="宋体"/>
                <w:i w:val="0"/>
                <w:iCs w:val="0"/>
                <w:color w:val="000000"/>
                <w:sz w:val="18"/>
                <w:szCs w:val="18"/>
                <w:u w:val="none"/>
                <w:lang w:val="en-US"/>
              </w:rPr>
            </w:pPr>
            <w:r>
              <w:rPr>
                <w:rFonts w:hint="eastAsia" w:ascii="宋体" w:hAnsi="宋体" w:eastAsia="宋体" w:cs="宋体"/>
                <w:i w:val="0"/>
                <w:iCs w:val="0"/>
                <w:color w:val="000000"/>
                <w:kern w:val="0"/>
                <w:sz w:val="18"/>
                <w:szCs w:val="18"/>
                <w:u w:val="none"/>
                <w:lang w:val="en-US" w:eastAsia="zh-CN" w:bidi="ar"/>
              </w:rPr>
              <w:t>20</w:t>
            </w:r>
          </w:p>
        </w:tc>
        <w:tc>
          <w:tcPr>
            <w:tcW w:w="147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5" w:hRule="atLeast"/>
          <w:jc w:val="center"/>
        </w:trPr>
        <w:tc>
          <w:tcPr>
            <w:tcW w:w="309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其他</w:t>
            </w:r>
          </w:p>
        </w:tc>
        <w:tc>
          <w:tcPr>
            <w:tcW w:w="68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default" w:ascii="Calibri" w:hAnsi="Calibri" w:eastAsia="宋体" w:cs="Calibri"/>
                <w:i w:val="0"/>
                <w:iCs w:val="0"/>
                <w:color w:val="000000"/>
                <w:sz w:val="18"/>
                <w:szCs w:val="18"/>
                <w:u w:val="none"/>
              </w:rPr>
            </w:pPr>
          </w:p>
        </w:tc>
        <w:tc>
          <w:tcPr>
            <w:tcW w:w="93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其他</w:t>
            </w:r>
          </w:p>
        </w:tc>
        <w:tc>
          <w:tcPr>
            <w:tcW w:w="94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18"/>
                <w:szCs w:val="18"/>
                <w:u w:val="none"/>
              </w:rPr>
            </w:pPr>
          </w:p>
        </w:tc>
        <w:tc>
          <w:tcPr>
            <w:tcW w:w="9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其他</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18"/>
                <w:szCs w:val="18"/>
                <w:u w:val="none"/>
              </w:rPr>
            </w:pPr>
          </w:p>
        </w:tc>
        <w:tc>
          <w:tcPr>
            <w:tcW w:w="147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5" w:hRule="atLeast"/>
          <w:jc w:val="center"/>
        </w:trPr>
        <w:tc>
          <w:tcPr>
            <w:tcW w:w="309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三、目标完成情况</w:t>
            </w:r>
          </w:p>
        </w:tc>
        <w:tc>
          <w:tcPr>
            <w:tcW w:w="2653"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年度预期目标</w:t>
            </w:r>
          </w:p>
        </w:tc>
        <w:tc>
          <w:tcPr>
            <w:tcW w:w="295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具体完成情况</w:t>
            </w:r>
          </w:p>
        </w:tc>
        <w:tc>
          <w:tcPr>
            <w:tcW w:w="14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0" w:hRule="atLeast"/>
          <w:jc w:val="center"/>
        </w:trPr>
        <w:tc>
          <w:tcPr>
            <w:tcW w:w="309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2653"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通过防入侵监测、防渗透测试,提升我局安全保障能力和水平，确保网络不被攻击,保障网络生态环境安全</w:t>
            </w:r>
            <w:r>
              <w:rPr>
                <w:rFonts w:hint="eastAsia" w:ascii="宋体" w:hAnsi="宋体" w:eastAsia="宋体" w:cs="宋体"/>
                <w:i w:val="0"/>
                <w:iCs w:val="0"/>
                <w:color w:val="000000"/>
                <w:kern w:val="0"/>
                <w:sz w:val="18"/>
                <w:szCs w:val="18"/>
                <w:u w:val="none"/>
                <w:lang w:val="en-US" w:eastAsia="zh-CN" w:bidi="ar"/>
              </w:rPr>
              <w:tab/>
            </w:r>
            <w:r>
              <w:rPr>
                <w:rFonts w:hint="eastAsia" w:ascii="宋体" w:hAnsi="宋体" w:eastAsia="宋体" w:cs="宋体"/>
                <w:i w:val="0"/>
                <w:iCs w:val="0"/>
                <w:color w:val="000000"/>
                <w:kern w:val="0"/>
                <w:sz w:val="18"/>
                <w:szCs w:val="18"/>
                <w:u w:val="none"/>
                <w:lang w:val="en-US" w:eastAsia="zh-CN" w:bidi="ar"/>
              </w:rPr>
              <w:tab/>
            </w:r>
            <w:r>
              <w:rPr>
                <w:rFonts w:hint="eastAsia" w:ascii="宋体" w:hAnsi="宋体" w:eastAsia="宋体" w:cs="宋体"/>
                <w:i w:val="0"/>
                <w:iCs w:val="0"/>
                <w:color w:val="000000"/>
                <w:kern w:val="0"/>
                <w:sz w:val="18"/>
                <w:szCs w:val="18"/>
                <w:u w:val="none"/>
                <w:lang w:val="en-US" w:eastAsia="zh-CN" w:bidi="ar"/>
              </w:rPr>
              <w:tab/>
            </w:r>
          </w:p>
        </w:tc>
        <w:tc>
          <w:tcPr>
            <w:tcW w:w="2956"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委托国内不同的权威安全机构对我市政务云平台、政府网站云平台内运行的61个政府网站、党政协同办公平台、掌上石家庄·石i民APP 等重要信息系统开展了四次安全渗透测试。共发现468个安全漏洞问题，督促有关单位对发现的问题进行了全部整改，消除了密码明文传输、个人信息泄露等安全风险问题，进一步提高了网络数据和信息系统安全防护水平。</w:t>
            </w:r>
          </w:p>
        </w:tc>
        <w:tc>
          <w:tcPr>
            <w:tcW w:w="147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10" w:hRule="atLeast"/>
          <w:jc w:val="center"/>
        </w:trPr>
        <w:tc>
          <w:tcPr>
            <w:tcW w:w="309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2653"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2956"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47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20" w:hRule="atLeast"/>
          <w:jc w:val="center"/>
        </w:trPr>
        <w:tc>
          <w:tcPr>
            <w:tcW w:w="309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2653"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2956"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47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jc w:val="center"/>
        </w:trPr>
        <w:tc>
          <w:tcPr>
            <w:tcW w:w="3096" w:type="dxa"/>
            <w:vMerge w:val="restart"/>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四、</w:t>
            </w:r>
            <w:r>
              <w:rPr>
                <w:rStyle w:val="20"/>
                <w:rFonts w:eastAsia="宋体"/>
                <w:lang w:val="en-US" w:eastAsia="zh-CN" w:bidi="ar"/>
              </w:rPr>
              <w:t xml:space="preserve"> </w:t>
            </w:r>
            <w:r>
              <w:rPr>
                <w:rStyle w:val="21"/>
                <w:lang w:val="en-US" w:eastAsia="zh-CN" w:bidi="ar"/>
              </w:rPr>
              <w:t>年度绩效指标完成情况</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一级指标</w:t>
            </w:r>
          </w:p>
        </w:tc>
        <w:tc>
          <w:tcPr>
            <w:tcW w:w="68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二级指标</w:t>
            </w:r>
          </w:p>
        </w:tc>
        <w:tc>
          <w:tcPr>
            <w:tcW w:w="187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三级指标</w:t>
            </w:r>
          </w:p>
        </w:tc>
        <w:tc>
          <w:tcPr>
            <w:tcW w:w="9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预期指标值</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实际完成值</w:t>
            </w:r>
          </w:p>
        </w:tc>
        <w:tc>
          <w:tcPr>
            <w:tcW w:w="14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40" w:hRule="atLeast"/>
          <w:jc w:val="center"/>
        </w:trPr>
        <w:tc>
          <w:tcPr>
            <w:tcW w:w="3096"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4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产出指标（50分）</w:t>
            </w:r>
          </w:p>
        </w:tc>
        <w:tc>
          <w:tcPr>
            <w:tcW w:w="681"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数量指标</w:t>
            </w:r>
          </w:p>
        </w:tc>
        <w:tc>
          <w:tcPr>
            <w:tcW w:w="187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default" w:ascii="宋体" w:hAnsi="宋体" w:eastAsia="宋体" w:cs="宋体"/>
                <w:i w:val="0"/>
                <w:iCs w:val="0"/>
                <w:color w:val="000000"/>
                <w:kern w:val="0"/>
                <w:sz w:val="18"/>
                <w:szCs w:val="18"/>
                <w:u w:val="none"/>
                <w:lang w:val="en-US" w:eastAsia="zh-CN" w:bidi="ar"/>
              </w:rPr>
              <w:t>完成防入侵检测次数</w:t>
            </w:r>
          </w:p>
        </w:tc>
        <w:tc>
          <w:tcPr>
            <w:tcW w:w="9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sz w:val="18"/>
                <w:szCs w:val="18"/>
                <w:u w:val="none"/>
                <w:lang w:val="en-US"/>
              </w:rPr>
            </w:pPr>
            <w:r>
              <w:rPr>
                <w:rFonts w:hint="eastAsia" w:ascii="宋体" w:hAnsi="宋体" w:eastAsia="宋体" w:cs="宋体"/>
                <w:i w:val="0"/>
                <w:iCs w:val="0"/>
                <w:color w:val="000000"/>
                <w:kern w:val="0"/>
                <w:sz w:val="18"/>
                <w:szCs w:val="18"/>
                <w:u w:val="none"/>
                <w:lang w:val="en-US" w:eastAsia="zh-CN" w:bidi="ar"/>
              </w:rPr>
              <w:t>≥4</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lang w:val="en-US" w:eastAsia="zh-CN"/>
              </w:rPr>
            </w:pPr>
            <w:r>
              <w:rPr>
                <w:rFonts w:hint="eastAsia" w:ascii="宋体" w:hAnsi="宋体" w:eastAsia="宋体" w:cs="宋体"/>
                <w:i w:val="0"/>
                <w:iCs w:val="0"/>
                <w:color w:val="000000"/>
                <w:sz w:val="18"/>
                <w:szCs w:val="18"/>
                <w:u w:val="none"/>
                <w:lang w:val="en-US" w:eastAsia="zh-CN"/>
              </w:rPr>
              <w:t>4</w:t>
            </w:r>
          </w:p>
        </w:tc>
        <w:tc>
          <w:tcPr>
            <w:tcW w:w="14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lang w:val="en-US" w:eastAsia="zh-CN"/>
              </w:rPr>
            </w:pPr>
            <w:r>
              <w:rPr>
                <w:rFonts w:hint="default" w:ascii="宋体" w:hAnsi="宋体" w:eastAsia="宋体" w:cs="宋体"/>
                <w:i w:val="0"/>
                <w:iCs w:val="0"/>
                <w:color w:val="000000"/>
                <w:sz w:val="18"/>
                <w:szCs w:val="18"/>
                <w:u w:val="none"/>
                <w:lang w:val="en-US" w:eastAsia="zh-CN"/>
              </w:rPr>
              <w:t>30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80" w:hRule="atLeast"/>
          <w:jc w:val="center"/>
        </w:trPr>
        <w:tc>
          <w:tcPr>
            <w:tcW w:w="3096"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4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68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top"/>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质量指标</w:t>
            </w:r>
          </w:p>
        </w:tc>
        <w:tc>
          <w:tcPr>
            <w:tcW w:w="187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top"/>
              <w:rPr>
                <w:rFonts w:hint="eastAsia" w:ascii="宋体" w:hAnsi="宋体" w:eastAsia="宋体" w:cs="宋体"/>
                <w:i w:val="0"/>
                <w:iCs w:val="0"/>
                <w:color w:val="000000"/>
                <w:kern w:val="0"/>
                <w:sz w:val="18"/>
                <w:szCs w:val="18"/>
                <w:u w:val="none"/>
                <w:lang w:val="en-US" w:eastAsia="zh-CN" w:bidi="ar"/>
              </w:rPr>
            </w:pPr>
            <w:r>
              <w:rPr>
                <w:rFonts w:hint="default" w:ascii="宋体" w:hAnsi="宋体" w:eastAsia="宋体" w:cs="宋体"/>
                <w:i w:val="0"/>
                <w:iCs w:val="0"/>
                <w:color w:val="000000"/>
                <w:kern w:val="0"/>
                <w:sz w:val="18"/>
                <w:szCs w:val="18"/>
                <w:u w:val="none"/>
                <w:lang w:val="en-US" w:eastAsia="zh-CN" w:bidi="ar"/>
              </w:rPr>
              <w:t>针对检测中发现的问题整改比例</w:t>
            </w:r>
          </w:p>
        </w:tc>
        <w:tc>
          <w:tcPr>
            <w:tcW w:w="9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sz w:val="18"/>
                <w:szCs w:val="18"/>
                <w:u w:val="none"/>
                <w:lang w:val="en-US"/>
              </w:rPr>
            </w:pPr>
            <w:r>
              <w:rPr>
                <w:rFonts w:hint="eastAsia" w:ascii="宋体" w:hAnsi="宋体" w:eastAsia="宋体" w:cs="宋体"/>
                <w:i w:val="0"/>
                <w:iCs w:val="0"/>
                <w:color w:val="000000"/>
                <w:kern w:val="0"/>
                <w:sz w:val="18"/>
                <w:szCs w:val="18"/>
                <w:u w:val="none"/>
                <w:lang w:val="en-US" w:eastAsia="zh-CN" w:bidi="ar"/>
              </w:rPr>
              <w:t>≥90%</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top"/>
              <w:rPr>
                <w:rFonts w:hint="eastAsia" w:ascii="Calibri" w:hAnsi="Calibri" w:eastAsia="宋体" w:cs="Calibri"/>
                <w:i w:val="0"/>
                <w:iCs w:val="0"/>
                <w:color w:val="000000"/>
                <w:kern w:val="0"/>
                <w:sz w:val="22"/>
                <w:szCs w:val="22"/>
                <w:u w:val="none"/>
                <w:lang w:val="en-US" w:eastAsia="zh-CN" w:bidi="ar-SA"/>
              </w:rPr>
            </w:pPr>
            <w:r>
              <w:rPr>
                <w:rFonts w:hint="default" w:ascii="宋体" w:hAnsi="宋体" w:eastAsia="宋体" w:cs="宋体"/>
                <w:i w:val="0"/>
                <w:iCs w:val="0"/>
                <w:color w:val="000000"/>
                <w:sz w:val="18"/>
                <w:szCs w:val="18"/>
                <w:u w:val="none"/>
                <w:lang w:val="en-US" w:eastAsia="zh-CN"/>
              </w:rPr>
              <w:t>100%</w:t>
            </w:r>
          </w:p>
        </w:tc>
        <w:tc>
          <w:tcPr>
            <w:tcW w:w="14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top"/>
              <w:rPr>
                <w:rFonts w:hint="eastAsia" w:ascii="宋体" w:hAnsi="宋体" w:eastAsia="宋体" w:cs="宋体"/>
                <w:i w:val="0"/>
                <w:iCs w:val="0"/>
                <w:color w:val="000000"/>
                <w:sz w:val="16"/>
                <w:szCs w:val="16"/>
                <w:u w:val="none"/>
              </w:rPr>
            </w:pPr>
            <w:r>
              <w:rPr>
                <w:rFonts w:hint="default" w:ascii="宋体" w:hAnsi="宋体" w:eastAsia="宋体" w:cs="宋体"/>
                <w:i w:val="0"/>
                <w:iCs w:val="0"/>
                <w:color w:val="000000"/>
                <w:sz w:val="18"/>
                <w:szCs w:val="18"/>
                <w:u w:val="none"/>
                <w:lang w:val="en-US" w:eastAsia="zh-CN"/>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28" w:hRule="atLeast"/>
          <w:jc w:val="center"/>
        </w:trPr>
        <w:tc>
          <w:tcPr>
            <w:tcW w:w="3096"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4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68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时效指标</w:t>
            </w:r>
          </w:p>
        </w:tc>
        <w:tc>
          <w:tcPr>
            <w:tcW w:w="187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top"/>
              <w:rPr>
                <w:rFonts w:hint="eastAsia" w:ascii="宋体" w:hAnsi="宋体" w:eastAsia="宋体" w:cs="宋体"/>
                <w:i w:val="0"/>
                <w:iCs w:val="0"/>
                <w:color w:val="000000"/>
                <w:kern w:val="0"/>
                <w:sz w:val="18"/>
                <w:szCs w:val="18"/>
                <w:u w:val="none"/>
                <w:lang w:val="en-US" w:eastAsia="zh-CN" w:bidi="ar"/>
              </w:rPr>
            </w:pPr>
            <w:r>
              <w:rPr>
                <w:rFonts w:hint="default" w:ascii="宋体" w:hAnsi="宋体" w:eastAsia="宋体" w:cs="宋体"/>
                <w:i w:val="0"/>
                <w:iCs w:val="0"/>
                <w:color w:val="000000"/>
                <w:kern w:val="0"/>
                <w:sz w:val="18"/>
                <w:szCs w:val="18"/>
                <w:u w:val="none"/>
                <w:lang w:val="en-US" w:eastAsia="zh-CN" w:bidi="ar"/>
              </w:rPr>
              <w:t>针对检测中发现的问题整改时间</w:t>
            </w:r>
          </w:p>
        </w:tc>
        <w:tc>
          <w:tcPr>
            <w:tcW w:w="9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sz w:val="18"/>
                <w:szCs w:val="18"/>
                <w:u w:val="none"/>
                <w:lang w:val="en-US"/>
              </w:rPr>
            </w:pPr>
            <w:r>
              <w:rPr>
                <w:rFonts w:hint="eastAsia" w:ascii="宋体" w:hAnsi="宋体" w:eastAsia="宋体" w:cs="宋体"/>
                <w:i w:val="0"/>
                <w:iCs w:val="0"/>
                <w:color w:val="000000"/>
                <w:kern w:val="0"/>
                <w:sz w:val="18"/>
                <w:szCs w:val="18"/>
                <w:u w:val="none"/>
                <w:lang w:val="en-US" w:eastAsia="zh-CN" w:bidi="ar"/>
              </w:rPr>
              <w:t>≥10（工作日）</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sz w:val="18"/>
                <w:szCs w:val="18"/>
                <w:u w:val="none"/>
                <w:lang w:val="en-US"/>
              </w:rPr>
            </w:pPr>
            <w:r>
              <w:rPr>
                <w:rFonts w:hint="eastAsia" w:ascii="宋体" w:hAnsi="宋体" w:eastAsia="宋体" w:cs="宋体"/>
                <w:i w:val="0"/>
                <w:iCs w:val="0"/>
                <w:color w:val="000000"/>
                <w:kern w:val="0"/>
                <w:sz w:val="18"/>
                <w:szCs w:val="18"/>
                <w:u w:val="none"/>
                <w:lang w:val="en-US" w:eastAsia="zh-CN" w:bidi="ar"/>
              </w:rPr>
              <w:t>10（工作日）</w:t>
            </w:r>
          </w:p>
        </w:tc>
        <w:tc>
          <w:tcPr>
            <w:tcW w:w="14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lang w:val="en-US" w:eastAsia="zh-CN"/>
              </w:rPr>
            </w:pPr>
            <w:r>
              <w:rPr>
                <w:rFonts w:hint="default" w:ascii="宋体" w:hAnsi="宋体" w:eastAsia="宋体" w:cs="宋体"/>
                <w:i w:val="0"/>
                <w:iCs w:val="0"/>
                <w:color w:val="000000"/>
                <w:sz w:val="18"/>
                <w:szCs w:val="18"/>
                <w:u w:val="none"/>
                <w:lang w:val="en-US" w:eastAsia="zh-CN"/>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0" w:hRule="atLeast"/>
          <w:jc w:val="center"/>
        </w:trPr>
        <w:tc>
          <w:tcPr>
            <w:tcW w:w="3096"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4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68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成本指标</w:t>
            </w:r>
          </w:p>
        </w:tc>
        <w:tc>
          <w:tcPr>
            <w:tcW w:w="187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top"/>
              <w:rPr>
                <w:rFonts w:hint="eastAsia" w:ascii="宋体" w:hAnsi="宋体" w:eastAsia="宋体" w:cs="宋体"/>
                <w:i w:val="0"/>
                <w:iCs w:val="0"/>
                <w:color w:val="000000"/>
                <w:kern w:val="0"/>
                <w:sz w:val="18"/>
                <w:szCs w:val="18"/>
                <w:u w:val="none"/>
                <w:lang w:val="en-US" w:eastAsia="zh-CN" w:bidi="ar"/>
              </w:rPr>
            </w:pPr>
            <w:r>
              <w:rPr>
                <w:rFonts w:hint="default" w:ascii="宋体" w:hAnsi="宋体" w:eastAsia="宋体" w:cs="宋体"/>
                <w:i w:val="0"/>
                <w:iCs w:val="0"/>
                <w:color w:val="000000"/>
                <w:kern w:val="0"/>
                <w:sz w:val="18"/>
                <w:szCs w:val="18"/>
                <w:u w:val="none"/>
                <w:lang w:val="en-US" w:eastAsia="zh-CN" w:bidi="ar"/>
              </w:rPr>
              <w:t>全年防入侵监测费支出金额</w:t>
            </w:r>
          </w:p>
        </w:tc>
        <w:tc>
          <w:tcPr>
            <w:tcW w:w="9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≤20万元</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sz w:val="18"/>
                <w:szCs w:val="18"/>
                <w:u w:val="none"/>
                <w:lang w:val="en-US"/>
              </w:rPr>
            </w:pPr>
            <w:r>
              <w:rPr>
                <w:rFonts w:hint="eastAsia" w:ascii="宋体" w:hAnsi="宋体" w:eastAsia="宋体" w:cs="宋体"/>
                <w:i w:val="0"/>
                <w:iCs w:val="0"/>
                <w:color w:val="000000"/>
                <w:kern w:val="0"/>
                <w:sz w:val="18"/>
                <w:szCs w:val="18"/>
                <w:u w:val="none"/>
                <w:lang w:val="en-US" w:eastAsia="zh-CN" w:bidi="ar"/>
              </w:rPr>
              <w:t>20万元</w:t>
            </w:r>
          </w:p>
        </w:tc>
        <w:tc>
          <w:tcPr>
            <w:tcW w:w="14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top"/>
              <w:rPr>
                <w:rFonts w:hint="eastAsia" w:ascii="宋体" w:hAnsi="宋体" w:eastAsia="宋体" w:cs="宋体"/>
                <w:i w:val="0"/>
                <w:iCs w:val="0"/>
                <w:color w:val="000000"/>
                <w:sz w:val="16"/>
                <w:szCs w:val="16"/>
                <w:u w:val="none"/>
              </w:rPr>
            </w:pPr>
            <w:r>
              <w:rPr>
                <w:rFonts w:hint="default" w:ascii="宋体" w:hAnsi="宋体" w:eastAsia="宋体" w:cs="宋体"/>
                <w:i w:val="0"/>
                <w:iCs w:val="0"/>
                <w:color w:val="000000"/>
                <w:sz w:val="18"/>
                <w:szCs w:val="18"/>
                <w:u w:val="none"/>
                <w:lang w:val="en-US" w:eastAsia="zh-CN"/>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40" w:hRule="atLeast"/>
          <w:jc w:val="center"/>
        </w:trPr>
        <w:tc>
          <w:tcPr>
            <w:tcW w:w="3096"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40" w:type="dxa"/>
            <w:tcBorders>
              <w:top w:val="single" w:color="000000" w:sz="4" w:space="0"/>
              <w:left w:val="single" w:color="000000" w:sz="4" w:space="0"/>
              <w:bottom w:val="single" w:color="auto"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社会效益指标</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（30分）</w:t>
            </w:r>
          </w:p>
        </w:tc>
        <w:tc>
          <w:tcPr>
            <w:tcW w:w="681" w:type="dxa"/>
            <w:tcBorders>
              <w:top w:val="nil"/>
              <w:left w:val="nil"/>
              <w:bottom w:val="single" w:color="auto"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预算执行率</w:t>
            </w:r>
          </w:p>
        </w:tc>
        <w:tc>
          <w:tcPr>
            <w:tcW w:w="187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石家庄市电子政务外网整体运行情况</w:t>
            </w:r>
          </w:p>
        </w:tc>
        <w:tc>
          <w:tcPr>
            <w:tcW w:w="9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进一步提升安全保障能力</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未发生网络安全事件</w:t>
            </w:r>
          </w:p>
        </w:tc>
        <w:tc>
          <w:tcPr>
            <w:tcW w:w="14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sz w:val="16"/>
                <w:szCs w:val="16"/>
                <w:u w:val="none"/>
                <w:lang w:val="en-US"/>
              </w:rPr>
            </w:pPr>
            <w:r>
              <w:rPr>
                <w:rFonts w:hint="eastAsia" w:ascii="宋体" w:hAnsi="宋体" w:eastAsia="宋体" w:cs="宋体"/>
                <w:i w:val="0"/>
                <w:iCs w:val="0"/>
                <w:color w:val="000000"/>
                <w:kern w:val="0"/>
                <w:sz w:val="16"/>
                <w:szCs w:val="16"/>
                <w:u w:val="none"/>
                <w:lang w:val="en-US" w:eastAsia="zh-CN" w:bidi="ar"/>
              </w:rPr>
              <w:t>30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520" w:hRule="atLeast"/>
          <w:jc w:val="center"/>
        </w:trPr>
        <w:tc>
          <w:tcPr>
            <w:tcW w:w="3096" w:type="dxa"/>
            <w:vMerge w:val="continue"/>
            <w:tcBorders>
              <w:top w:val="single" w:color="000000" w:sz="4" w:space="0"/>
              <w:left w:val="single" w:color="000000" w:sz="4" w:space="0"/>
              <w:bottom w:val="single" w:color="000000" w:sz="4" w:space="0"/>
              <w:right w:val="single" w:color="auto"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4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服务对象满意度指标（10分）</w:t>
            </w:r>
          </w:p>
        </w:tc>
        <w:tc>
          <w:tcPr>
            <w:tcW w:w="681"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社会效益指标</w:t>
            </w:r>
          </w:p>
        </w:tc>
        <w:tc>
          <w:tcPr>
            <w:tcW w:w="1875" w:type="dxa"/>
            <w:gridSpan w:val="2"/>
            <w:tcBorders>
              <w:top w:val="single" w:color="000000" w:sz="4" w:space="0"/>
              <w:left w:val="single" w:color="auto"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default" w:ascii="宋体" w:hAnsi="宋体" w:eastAsia="宋体" w:cs="宋体"/>
                <w:i w:val="0"/>
                <w:iCs w:val="0"/>
                <w:color w:val="000000"/>
                <w:kern w:val="0"/>
                <w:sz w:val="18"/>
                <w:szCs w:val="18"/>
                <w:u w:val="none"/>
                <w:lang w:val="en-US" w:eastAsia="zh-CN" w:bidi="ar"/>
              </w:rPr>
              <w:t>政府内各单位使用网络用户对网络安全满意度(%)</w:t>
            </w:r>
          </w:p>
        </w:tc>
        <w:tc>
          <w:tcPr>
            <w:tcW w:w="9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≥90%</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sz w:val="18"/>
                <w:szCs w:val="18"/>
                <w:u w:val="none"/>
                <w:lang w:val="en-US" w:eastAsia="zh-CN"/>
              </w:rPr>
            </w:pPr>
            <w:r>
              <w:rPr>
                <w:rFonts w:hint="eastAsia" w:ascii="宋体" w:hAnsi="宋体" w:eastAsia="宋体" w:cs="宋体"/>
                <w:i w:val="0"/>
                <w:iCs w:val="0"/>
                <w:color w:val="000000"/>
                <w:sz w:val="18"/>
                <w:szCs w:val="18"/>
                <w:u w:val="none"/>
                <w:lang w:val="en-US" w:eastAsia="zh-CN"/>
              </w:rPr>
              <w:t>100%</w:t>
            </w:r>
          </w:p>
        </w:tc>
        <w:tc>
          <w:tcPr>
            <w:tcW w:w="1476"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sz w:val="16"/>
                <w:szCs w:val="16"/>
                <w:u w:val="none"/>
                <w:lang w:val="en-US" w:eastAsia="zh-CN"/>
              </w:rPr>
            </w:pPr>
            <w:r>
              <w:rPr>
                <w:rFonts w:hint="eastAsia" w:ascii="宋体" w:hAnsi="宋体" w:eastAsia="宋体" w:cs="宋体"/>
                <w:i w:val="0"/>
                <w:iCs w:val="0"/>
                <w:color w:val="000000"/>
                <w:sz w:val="16"/>
                <w:szCs w:val="16"/>
                <w:u w:val="none"/>
                <w:lang w:val="en-US" w:eastAsia="zh-CN"/>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520" w:hRule="atLeast"/>
          <w:jc w:val="center"/>
        </w:trPr>
        <w:tc>
          <w:tcPr>
            <w:tcW w:w="3096" w:type="dxa"/>
            <w:vMerge w:val="continue"/>
            <w:tcBorders>
              <w:top w:val="single" w:color="000000" w:sz="4" w:space="0"/>
              <w:left w:val="single" w:color="000000" w:sz="4" w:space="0"/>
              <w:bottom w:val="single" w:color="000000" w:sz="4" w:space="0"/>
              <w:right w:val="single" w:color="auto"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4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预算执行率（10分）</w:t>
            </w:r>
          </w:p>
        </w:tc>
        <w:tc>
          <w:tcPr>
            <w:tcW w:w="681"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c>
          <w:tcPr>
            <w:tcW w:w="1875" w:type="dxa"/>
            <w:gridSpan w:val="2"/>
            <w:tcBorders>
              <w:top w:val="single" w:color="000000" w:sz="4" w:space="0"/>
              <w:left w:val="single" w:color="auto"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8"/>
                <w:szCs w:val="18"/>
                <w:u w:val="none"/>
                <w:lang w:val="en-US" w:eastAsia="zh-CN" w:bidi="ar"/>
              </w:rPr>
            </w:pPr>
          </w:p>
        </w:tc>
        <w:tc>
          <w:tcPr>
            <w:tcW w:w="9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100%</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100%</w:t>
            </w:r>
          </w:p>
        </w:tc>
        <w:tc>
          <w:tcPr>
            <w:tcW w:w="1476"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jc w:val="center"/>
        </w:trPr>
        <w:tc>
          <w:tcPr>
            <w:tcW w:w="3096"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5609"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总分</w:t>
            </w:r>
          </w:p>
        </w:tc>
        <w:tc>
          <w:tcPr>
            <w:tcW w:w="14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80" w:hRule="atLeast"/>
          <w:jc w:val="center"/>
        </w:trPr>
        <w:tc>
          <w:tcPr>
            <w:tcW w:w="3096"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五、</w:t>
            </w:r>
            <w:r>
              <w:rPr>
                <w:rStyle w:val="20"/>
                <w:rFonts w:eastAsia="宋体"/>
                <w:lang w:val="en-US" w:eastAsia="zh-CN" w:bidi="ar"/>
              </w:rPr>
              <w:t xml:space="preserve"> </w:t>
            </w:r>
            <w:r>
              <w:rPr>
                <w:rStyle w:val="21"/>
                <w:lang w:val="en-US" w:eastAsia="zh-CN" w:bidi="ar"/>
              </w:rPr>
              <w:t>存在问题、原因及下一步整改措施</w:t>
            </w:r>
          </w:p>
        </w:tc>
        <w:tc>
          <w:tcPr>
            <w:tcW w:w="7085"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完成。</w:t>
            </w:r>
          </w:p>
        </w:tc>
      </w:tr>
    </w:tbl>
    <w:p>
      <w:pPr>
        <w:adjustRightInd w:val="0"/>
        <w:snapToGrid w:val="0"/>
        <w:spacing w:line="580" w:lineRule="exact"/>
        <w:ind w:firstLine="640" w:firstLineChars="200"/>
        <w:outlineLvl w:val="1"/>
        <w:rPr>
          <w:rFonts w:ascii="楷体_GB2312" w:hAnsi="Times New Roman" w:eastAsia="楷体_GB2312" w:cs="DengXian-Bold"/>
          <w:b/>
          <w:bCs/>
          <w:sz w:val="32"/>
          <w:szCs w:val="32"/>
        </w:rPr>
      </w:pPr>
      <w:r>
        <w:rPr>
          <w:rFonts w:hint="eastAsia" w:ascii="黑体" w:hAnsi="Calibri" w:eastAsia="黑体" w:cs="Times New Roman"/>
          <w:sz w:val="32"/>
          <w:szCs w:val="32"/>
        </w:rPr>
        <w:t>十、其他需要说明的情况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1. 本</w:t>
      </w:r>
      <w:r>
        <w:rPr>
          <w:rFonts w:hint="eastAsia" w:ascii="仿宋_GB2312" w:eastAsia="仿宋_GB2312" w:cs="Arial Black"/>
          <w:kern w:val="0"/>
          <w:sz w:val="32"/>
          <w:szCs w:val="32"/>
          <w:rtl w:val="0"/>
          <w:lang w:val="en-US" w:eastAsia="zh-CN"/>
        </w:rPr>
        <w:t>单位2023年度未发生政府性基金预算、国有资本经营预算收支及结转结余情况，故政府性基金预算财政拨款收入支出决算表、国有资本经营预算财政拨款支出决算表以空表列示</w:t>
      </w:r>
      <w:r>
        <w:rPr>
          <w:rFonts w:hint="eastAsia" w:ascii="仿宋_GB2312" w:hAnsi="Times New Roman" w:eastAsia="仿宋_GB2312" w:cs="DengXian-Regular"/>
          <w:sz w:val="32"/>
          <w:szCs w:val="32"/>
        </w:rPr>
        <w:t>。</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 由于决算公开表格中金额数值应当保留两位小数，公开数据为四舍五入计算结果，个别数据合计项与分项之和存在小数点后差额，特此说明。</w:t>
      </w:r>
    </w:p>
    <w:p>
      <w:pPr>
        <w:widowControl/>
        <w:spacing w:line="580" w:lineRule="exact"/>
        <w:ind w:firstLine="883" w:firstLineChars="200"/>
        <w:jc w:val="left"/>
        <w:rPr>
          <w:rFonts w:ascii="宋体" w:hAnsi="宋体" w:eastAsia="宋体" w:cs="MS-UIGothic,Bold"/>
          <w:b/>
          <w:bCs/>
          <w:kern w:val="0"/>
          <w:sz w:val="44"/>
          <w:szCs w:val="44"/>
        </w:rPr>
      </w:pPr>
    </w:p>
    <w:p>
      <w:pPr>
        <w:pStyle w:val="2"/>
        <w:rPr>
          <w:rFonts w:ascii="宋体" w:hAnsi="宋体" w:eastAsia="宋体" w:cs="MS-UIGothic,Bold"/>
          <w:b/>
          <w:bCs/>
          <w:kern w:val="0"/>
          <w:sz w:val="44"/>
          <w:szCs w:val="44"/>
        </w:rPr>
      </w:pPr>
    </w:p>
    <w:p>
      <w:pPr>
        <w:pStyle w:val="2"/>
        <w:rPr>
          <w:rFonts w:ascii="宋体" w:hAnsi="宋体" w:eastAsia="宋体" w:cs="MS-UIGothic,Bold"/>
          <w:b/>
          <w:bCs/>
          <w:kern w:val="0"/>
          <w:sz w:val="44"/>
          <w:szCs w:val="44"/>
        </w:rPr>
      </w:pPr>
    </w:p>
    <w:p>
      <w:pPr>
        <w:pStyle w:val="2"/>
        <w:rPr>
          <w:rFonts w:ascii="宋体" w:hAnsi="宋体" w:eastAsia="宋体" w:cs="MS-UIGothic,Bold"/>
          <w:b/>
          <w:bCs/>
          <w:kern w:val="0"/>
          <w:sz w:val="44"/>
          <w:szCs w:val="44"/>
        </w:rPr>
      </w:pPr>
    </w:p>
    <w:p>
      <w:pPr>
        <w:rPr>
          <w:rFonts w:hint="eastAsia"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br w:type="page"/>
      </w:r>
    </w:p>
    <w:p>
      <w:pPr>
        <w:widowControl/>
        <w:jc w:val="center"/>
        <w:outlineLvl w:val="0"/>
        <w:rPr>
          <w:sz w:val="44"/>
          <w:szCs w:val="44"/>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第四部分 名词解释</w:t>
      </w:r>
    </w:p>
    <w:p>
      <w:pPr>
        <w:rPr>
          <w:rFonts w:ascii="仿宋_GB2312" w:hAnsi="宋体" w:eastAsia="仿宋_GB2312" w:cs="ArialUnicodeMS"/>
          <w:sz w:val="32"/>
          <w:szCs w:val="32"/>
        </w:rPr>
      </w:pPr>
    </w:p>
    <w:p>
      <w:pPr>
        <w:numPr>
          <w:ilvl w:val="0"/>
          <w:numId w:val="2"/>
        </w:numPr>
        <w:spacing w:line="580" w:lineRule="exact"/>
        <w:outlineLvl w:val="1"/>
        <w:rPr>
          <w:rFonts w:ascii="仿宋_GB2312" w:hAnsi="宋体" w:eastAsia="仿宋_GB2312" w:cs="Times New Roman"/>
          <w:bCs/>
          <w:color w:val="000000"/>
          <w:kern w:val="0"/>
          <w:sz w:val="32"/>
          <w:szCs w:val="32"/>
        </w:rPr>
      </w:pPr>
      <w:r>
        <w:rPr>
          <w:rFonts w:hint="eastAsia" w:ascii="仿宋_GB2312" w:hAnsi="宋体" w:eastAsia="仿宋_GB2312" w:cs="Times New Roman"/>
          <w:b/>
          <w:bCs/>
          <w:color w:val="000000"/>
          <w:kern w:val="0"/>
          <w:sz w:val="32"/>
          <w:szCs w:val="32"/>
        </w:rPr>
        <w:t>财政拨款收入：</w:t>
      </w:r>
      <w:r>
        <w:rPr>
          <w:rFonts w:hint="eastAsia" w:ascii="仿宋_GB2312" w:hAnsi="宋体" w:eastAsia="仿宋_GB2312" w:cs="Times New Roman"/>
          <w:bCs/>
          <w:color w:val="000000"/>
          <w:kern w:val="0"/>
          <w:sz w:val="32"/>
          <w:szCs w:val="32"/>
        </w:rPr>
        <w:t>指单位从同级财政部门取得的财政预</w:t>
      </w:r>
    </w:p>
    <w:p>
      <w:pPr>
        <w:spacing w:line="580" w:lineRule="exact"/>
        <w:rPr>
          <w:rFonts w:ascii="仿宋_GB2312" w:hAnsi="宋体" w:eastAsia="仿宋_GB2312" w:cs="Times New Roman"/>
          <w:bCs/>
          <w:color w:val="000000"/>
          <w:kern w:val="0"/>
          <w:sz w:val="32"/>
          <w:szCs w:val="32"/>
        </w:rPr>
      </w:pPr>
      <w:r>
        <w:rPr>
          <w:rFonts w:hint="eastAsia" w:ascii="仿宋_GB2312" w:hAnsi="宋体" w:eastAsia="仿宋_GB2312" w:cs="Times New Roman"/>
          <w:bCs/>
          <w:color w:val="000000"/>
          <w:kern w:val="0"/>
          <w:sz w:val="32"/>
          <w:szCs w:val="32"/>
        </w:rPr>
        <w:t>算资金。</w:t>
      </w:r>
    </w:p>
    <w:p>
      <w:pPr>
        <w:numPr>
          <w:ilvl w:val="0"/>
          <w:numId w:val="2"/>
        </w:numPr>
        <w:spacing w:line="580" w:lineRule="exact"/>
        <w:outlineLvl w:val="1"/>
        <w:rPr>
          <w:rFonts w:ascii="仿宋_GB2312" w:hAnsi="宋体" w:eastAsia="仿宋_GB2312" w:cs="Times New Roman"/>
          <w:bCs/>
          <w:color w:val="000000"/>
          <w:kern w:val="0"/>
          <w:sz w:val="32"/>
          <w:szCs w:val="32"/>
        </w:rPr>
      </w:pPr>
      <w:r>
        <w:rPr>
          <w:rFonts w:hint="eastAsia" w:ascii="仿宋_GB2312" w:hAnsi="宋体" w:eastAsia="仿宋_GB2312" w:cs="Times New Roman"/>
          <w:b/>
          <w:bCs/>
          <w:color w:val="000000"/>
          <w:kern w:val="0"/>
          <w:sz w:val="32"/>
          <w:szCs w:val="32"/>
        </w:rPr>
        <w:t>事业收入：</w:t>
      </w:r>
      <w:r>
        <w:rPr>
          <w:rFonts w:hint="eastAsia" w:ascii="仿宋_GB2312" w:hAnsi="宋体" w:eastAsia="仿宋_GB2312" w:cs="Times New Roman"/>
          <w:bCs/>
          <w:color w:val="000000"/>
          <w:kern w:val="0"/>
          <w:sz w:val="32"/>
          <w:szCs w:val="32"/>
        </w:rPr>
        <w:t>指事业单位开展专业业务活动及辅助活动</w:t>
      </w:r>
    </w:p>
    <w:p>
      <w:pPr>
        <w:spacing w:line="580" w:lineRule="exact"/>
        <w:rPr>
          <w:rFonts w:ascii="仿宋_GB2312" w:hAnsi="宋体" w:eastAsia="仿宋_GB2312" w:cs="Times New Roman"/>
          <w:bCs/>
          <w:color w:val="000000"/>
          <w:kern w:val="0"/>
          <w:sz w:val="32"/>
          <w:szCs w:val="32"/>
        </w:rPr>
      </w:pPr>
      <w:r>
        <w:rPr>
          <w:rFonts w:hint="eastAsia" w:ascii="仿宋_GB2312" w:hAnsi="宋体" w:eastAsia="仿宋_GB2312" w:cs="Times New Roman"/>
          <w:bCs/>
          <w:color w:val="000000"/>
          <w:kern w:val="0"/>
          <w:sz w:val="32"/>
          <w:szCs w:val="32"/>
        </w:rPr>
        <w:t>取得的收入。</w:t>
      </w:r>
    </w:p>
    <w:p>
      <w:pPr>
        <w:numPr>
          <w:ilvl w:val="0"/>
          <w:numId w:val="2"/>
        </w:numPr>
        <w:spacing w:line="580" w:lineRule="exact"/>
        <w:outlineLvl w:val="1"/>
        <w:rPr>
          <w:rFonts w:ascii="仿宋_GB2312" w:hAnsi="宋体" w:eastAsia="仿宋_GB2312" w:cs="Times New Roman"/>
          <w:bCs/>
          <w:color w:val="000000"/>
          <w:kern w:val="0"/>
          <w:sz w:val="32"/>
          <w:szCs w:val="32"/>
        </w:rPr>
      </w:pPr>
      <w:r>
        <w:rPr>
          <w:rFonts w:hint="eastAsia" w:ascii="仿宋_GB2312" w:hAnsi="宋体" w:eastAsia="仿宋_GB2312" w:cs="Times New Roman"/>
          <w:b/>
          <w:bCs/>
          <w:color w:val="000000"/>
          <w:kern w:val="0"/>
          <w:sz w:val="32"/>
          <w:szCs w:val="32"/>
        </w:rPr>
        <w:t>经营收入：</w:t>
      </w:r>
      <w:r>
        <w:rPr>
          <w:rFonts w:hint="eastAsia" w:ascii="仿宋_GB2312" w:hAnsi="宋体" w:eastAsia="仿宋_GB2312" w:cs="Times New Roman"/>
          <w:bCs/>
          <w:color w:val="000000"/>
          <w:kern w:val="0"/>
          <w:sz w:val="32"/>
          <w:szCs w:val="32"/>
        </w:rPr>
        <w:t>指事业单位在专业业务活动及其辅助活动</w:t>
      </w:r>
    </w:p>
    <w:p>
      <w:pPr>
        <w:spacing w:line="580" w:lineRule="exact"/>
        <w:rPr>
          <w:rFonts w:ascii="仿宋_GB2312" w:hAnsi="宋体" w:eastAsia="仿宋_GB2312" w:cs="Times New Roman"/>
          <w:bCs/>
          <w:color w:val="000000"/>
          <w:kern w:val="0"/>
          <w:sz w:val="32"/>
          <w:szCs w:val="32"/>
        </w:rPr>
      </w:pPr>
      <w:r>
        <w:rPr>
          <w:rFonts w:hint="eastAsia" w:ascii="仿宋_GB2312" w:hAnsi="宋体" w:eastAsia="仿宋_GB2312" w:cs="Times New Roman"/>
          <w:bCs/>
          <w:color w:val="000000"/>
          <w:kern w:val="0"/>
          <w:sz w:val="32"/>
          <w:szCs w:val="32"/>
        </w:rPr>
        <w:t>之外开展非独立核算经营活动取得的收入。</w:t>
      </w:r>
    </w:p>
    <w:p>
      <w:pPr>
        <w:numPr>
          <w:ilvl w:val="0"/>
          <w:numId w:val="2"/>
        </w:numPr>
        <w:spacing w:line="580" w:lineRule="exact"/>
        <w:outlineLvl w:val="1"/>
        <w:rPr>
          <w:rFonts w:ascii="仿宋_GB2312" w:hAnsi="宋体" w:eastAsia="仿宋_GB2312" w:cs="Times New Roman"/>
          <w:bCs/>
          <w:color w:val="000000"/>
          <w:kern w:val="0"/>
          <w:sz w:val="32"/>
          <w:szCs w:val="32"/>
        </w:rPr>
      </w:pPr>
      <w:r>
        <w:rPr>
          <w:rFonts w:hint="eastAsia" w:ascii="仿宋_GB2312" w:hAnsi="宋体" w:eastAsia="仿宋_GB2312" w:cs="Times New Roman"/>
          <w:b/>
          <w:bCs/>
          <w:color w:val="000000"/>
          <w:kern w:val="0"/>
          <w:sz w:val="32"/>
          <w:szCs w:val="32"/>
        </w:rPr>
        <w:t>其他收入：</w:t>
      </w:r>
      <w:r>
        <w:rPr>
          <w:rFonts w:hint="eastAsia" w:ascii="仿宋_GB2312" w:hAnsi="宋体" w:eastAsia="仿宋_GB2312" w:cs="Times New Roman"/>
          <w:bCs/>
          <w:color w:val="000000"/>
          <w:kern w:val="0"/>
          <w:sz w:val="32"/>
          <w:szCs w:val="32"/>
        </w:rPr>
        <w:t>指单位取得的除上述收入以外的各项收</w:t>
      </w:r>
    </w:p>
    <w:p>
      <w:pPr>
        <w:spacing w:line="580" w:lineRule="exact"/>
        <w:rPr>
          <w:rFonts w:ascii="仿宋_GB2312" w:hAnsi="宋体" w:eastAsia="仿宋_GB2312" w:cs="Times New Roman"/>
          <w:b/>
          <w:bCs/>
          <w:color w:val="000000"/>
          <w:kern w:val="0"/>
          <w:sz w:val="32"/>
          <w:szCs w:val="32"/>
        </w:rPr>
      </w:pPr>
      <w:r>
        <w:rPr>
          <w:rFonts w:hint="eastAsia" w:ascii="仿宋_GB2312" w:hAnsi="宋体" w:eastAsia="仿宋_GB2312" w:cs="Times New Roman"/>
          <w:bCs/>
          <w:color w:val="000000"/>
          <w:kern w:val="0"/>
          <w:sz w:val="32"/>
          <w:szCs w:val="32"/>
        </w:rPr>
        <w:t>入。主要是事业单位固定资产出租收入、存款利息收入等。</w:t>
      </w:r>
    </w:p>
    <w:p>
      <w:pPr>
        <w:spacing w:line="580" w:lineRule="exact"/>
        <w:rPr>
          <w:rFonts w:ascii="仿宋_GB2312" w:hAnsi="宋体" w:eastAsia="仿宋_GB2312" w:cs="Times New Roman"/>
          <w:bCs/>
          <w:color w:val="000000"/>
          <w:kern w:val="0"/>
          <w:sz w:val="32"/>
          <w:szCs w:val="32"/>
        </w:rPr>
      </w:pPr>
      <w:r>
        <w:rPr>
          <w:rFonts w:hint="eastAsia" w:ascii="仿宋_GB2312" w:hAnsi="宋体" w:eastAsia="仿宋_GB2312" w:cs="Times New Roman"/>
          <w:b/>
          <w:bCs/>
          <w:color w:val="000000"/>
          <w:kern w:val="0"/>
          <w:sz w:val="32"/>
          <w:szCs w:val="32"/>
        </w:rPr>
        <w:t xml:space="preserve">   五、使用非财政拨款结余（含专用结余）：</w:t>
      </w:r>
      <w:r>
        <w:rPr>
          <w:rFonts w:hint="eastAsia" w:ascii="仿宋_GB2312" w:hAnsi="宋体" w:eastAsia="仿宋_GB2312" w:cs="Times New Roman"/>
          <w:bCs/>
          <w:color w:val="000000"/>
          <w:kern w:val="0"/>
          <w:sz w:val="32"/>
          <w:szCs w:val="32"/>
        </w:rPr>
        <w:t>指事业单位按照预算管理要求使用非财政拨款结余弥补收支差额的金额，以及使用专用结余安排支出的金额。</w:t>
      </w:r>
    </w:p>
    <w:p>
      <w:pPr>
        <w:numPr>
          <w:ilvl w:val="0"/>
          <w:numId w:val="3"/>
        </w:numPr>
        <w:spacing w:line="580" w:lineRule="exact"/>
        <w:outlineLvl w:val="1"/>
        <w:rPr>
          <w:rFonts w:ascii="仿宋_GB2312" w:hAnsi="宋体" w:eastAsia="仿宋_GB2312" w:cs="Times New Roman"/>
          <w:bCs/>
          <w:color w:val="000000"/>
          <w:kern w:val="0"/>
          <w:sz w:val="32"/>
          <w:szCs w:val="32"/>
        </w:rPr>
      </w:pPr>
      <w:r>
        <w:rPr>
          <w:rFonts w:hint="eastAsia" w:ascii="仿宋_GB2312" w:hAnsi="宋体" w:eastAsia="仿宋_GB2312" w:cs="Times New Roman"/>
          <w:b/>
          <w:bCs/>
          <w:color w:val="000000"/>
          <w:kern w:val="0"/>
          <w:sz w:val="32"/>
          <w:szCs w:val="32"/>
        </w:rPr>
        <w:t>年初结转和结余：</w:t>
      </w:r>
      <w:r>
        <w:rPr>
          <w:rFonts w:hint="eastAsia" w:ascii="仿宋_GB2312" w:hAnsi="宋体" w:eastAsia="仿宋_GB2312" w:cs="Times New Roman"/>
          <w:bCs/>
          <w:color w:val="000000"/>
          <w:kern w:val="0"/>
          <w:sz w:val="32"/>
          <w:szCs w:val="32"/>
        </w:rPr>
        <w:t>指单位以前年度尚未完成、结转到</w:t>
      </w:r>
    </w:p>
    <w:p>
      <w:pPr>
        <w:spacing w:line="580" w:lineRule="exact"/>
        <w:rPr>
          <w:rFonts w:ascii="仿宋_GB2312" w:hAnsi="宋体" w:eastAsia="仿宋_GB2312" w:cs="Times New Roman"/>
          <w:bCs/>
          <w:color w:val="000000"/>
          <w:kern w:val="0"/>
          <w:sz w:val="32"/>
          <w:szCs w:val="32"/>
        </w:rPr>
      </w:pPr>
      <w:r>
        <w:rPr>
          <w:rFonts w:hint="eastAsia" w:ascii="仿宋_GB2312" w:hAnsi="宋体" w:eastAsia="仿宋_GB2312" w:cs="Times New Roman"/>
          <w:bCs/>
          <w:color w:val="000000"/>
          <w:kern w:val="0"/>
          <w:sz w:val="32"/>
          <w:szCs w:val="32"/>
        </w:rPr>
        <w:t>本年仍按原规定用途继续使用的资金，或项目已完成等产生的结余资金。</w:t>
      </w:r>
    </w:p>
    <w:p>
      <w:pPr>
        <w:numPr>
          <w:ilvl w:val="0"/>
          <w:numId w:val="3"/>
        </w:numPr>
        <w:spacing w:line="580" w:lineRule="exact"/>
        <w:outlineLvl w:val="1"/>
        <w:rPr>
          <w:rFonts w:ascii="仿宋_GB2312" w:hAnsi="宋体" w:eastAsia="仿宋_GB2312" w:cs="Times New Roman"/>
          <w:bCs/>
          <w:color w:val="000000"/>
          <w:kern w:val="0"/>
          <w:sz w:val="32"/>
          <w:szCs w:val="32"/>
        </w:rPr>
      </w:pPr>
      <w:r>
        <w:rPr>
          <w:rFonts w:hint="eastAsia" w:ascii="仿宋_GB2312" w:hAnsi="宋体" w:eastAsia="仿宋_GB2312" w:cs="Times New Roman"/>
          <w:b/>
          <w:bCs/>
          <w:color w:val="000000"/>
          <w:kern w:val="0"/>
          <w:sz w:val="32"/>
          <w:szCs w:val="32"/>
        </w:rPr>
        <w:t>结余分配：</w:t>
      </w:r>
      <w:r>
        <w:rPr>
          <w:rFonts w:hint="eastAsia" w:ascii="仿宋_GB2312" w:hAnsi="宋体" w:eastAsia="仿宋_GB2312" w:cs="Times New Roman"/>
          <w:bCs/>
          <w:color w:val="000000"/>
          <w:kern w:val="0"/>
          <w:sz w:val="32"/>
          <w:szCs w:val="32"/>
        </w:rPr>
        <w:t>指事业单位按照会计制度规定缴纳的所得</w:t>
      </w:r>
    </w:p>
    <w:p>
      <w:pPr>
        <w:spacing w:line="580" w:lineRule="exact"/>
        <w:rPr>
          <w:rFonts w:ascii="仿宋_GB2312" w:hAnsi="宋体" w:eastAsia="仿宋_GB2312" w:cs="Times New Roman"/>
          <w:bCs/>
          <w:color w:val="000000"/>
          <w:kern w:val="0"/>
          <w:sz w:val="32"/>
          <w:szCs w:val="32"/>
        </w:rPr>
      </w:pPr>
      <w:r>
        <w:rPr>
          <w:rFonts w:hint="eastAsia" w:ascii="仿宋_GB2312" w:hAnsi="宋体" w:eastAsia="仿宋_GB2312" w:cs="Times New Roman"/>
          <w:bCs/>
          <w:color w:val="000000"/>
          <w:kern w:val="0"/>
          <w:sz w:val="32"/>
          <w:szCs w:val="32"/>
        </w:rPr>
        <w:t>税、提取的专用结余以及转入非财政拨款结余的金额等。</w:t>
      </w:r>
    </w:p>
    <w:p>
      <w:pPr>
        <w:numPr>
          <w:ilvl w:val="0"/>
          <w:numId w:val="3"/>
        </w:numPr>
        <w:spacing w:line="580" w:lineRule="exact"/>
        <w:outlineLvl w:val="1"/>
        <w:rPr>
          <w:rFonts w:ascii="仿宋_GB2312" w:hAnsi="宋体" w:eastAsia="仿宋_GB2312" w:cs="Times New Roman"/>
          <w:bCs/>
          <w:color w:val="000000"/>
          <w:kern w:val="0"/>
          <w:sz w:val="32"/>
          <w:szCs w:val="32"/>
        </w:rPr>
      </w:pPr>
      <w:r>
        <w:rPr>
          <w:rFonts w:hint="eastAsia" w:ascii="仿宋_GB2312" w:hAnsi="宋体" w:eastAsia="仿宋_GB2312" w:cs="Times New Roman"/>
          <w:b/>
          <w:bCs/>
          <w:color w:val="000000"/>
          <w:kern w:val="0"/>
          <w:sz w:val="32"/>
          <w:szCs w:val="32"/>
        </w:rPr>
        <w:t>年末结转和结余：</w:t>
      </w:r>
      <w:r>
        <w:rPr>
          <w:rFonts w:hint="eastAsia" w:ascii="仿宋_GB2312" w:hAnsi="宋体" w:eastAsia="仿宋_GB2312" w:cs="Times New Roman"/>
          <w:bCs/>
          <w:color w:val="000000"/>
          <w:kern w:val="0"/>
          <w:sz w:val="32"/>
          <w:szCs w:val="32"/>
        </w:rPr>
        <w:t>指单位按有关规定结转到下年或以</w:t>
      </w:r>
    </w:p>
    <w:p>
      <w:pPr>
        <w:spacing w:line="580" w:lineRule="exact"/>
        <w:rPr>
          <w:rFonts w:ascii="仿宋_GB2312" w:hAnsi="宋体" w:eastAsia="仿宋_GB2312" w:cs="Times New Roman"/>
          <w:bCs/>
          <w:color w:val="000000"/>
          <w:kern w:val="0"/>
          <w:sz w:val="32"/>
          <w:szCs w:val="32"/>
        </w:rPr>
      </w:pPr>
      <w:r>
        <w:rPr>
          <w:rFonts w:hint="eastAsia" w:ascii="仿宋_GB2312" w:hAnsi="宋体" w:eastAsia="仿宋_GB2312" w:cs="Times New Roman"/>
          <w:bCs/>
          <w:color w:val="000000"/>
          <w:kern w:val="0"/>
          <w:sz w:val="32"/>
          <w:szCs w:val="32"/>
        </w:rPr>
        <w:t>后年度继续使用的资金，或项目已完成等产生的结余资金。</w:t>
      </w:r>
    </w:p>
    <w:p>
      <w:pPr>
        <w:numPr>
          <w:ilvl w:val="0"/>
          <w:numId w:val="3"/>
        </w:numPr>
        <w:spacing w:line="580" w:lineRule="exact"/>
        <w:outlineLvl w:val="1"/>
        <w:rPr>
          <w:rFonts w:ascii="仿宋_GB2312" w:hAnsi="宋体" w:eastAsia="仿宋_GB2312" w:cs="Times New Roman"/>
          <w:bCs/>
          <w:color w:val="000000"/>
          <w:kern w:val="0"/>
          <w:sz w:val="32"/>
          <w:szCs w:val="32"/>
        </w:rPr>
      </w:pPr>
      <w:r>
        <w:rPr>
          <w:rFonts w:hint="eastAsia" w:ascii="仿宋_GB2312" w:hAnsi="宋体" w:eastAsia="仿宋_GB2312" w:cs="Times New Roman"/>
          <w:b/>
          <w:bCs/>
          <w:color w:val="000000"/>
          <w:kern w:val="0"/>
          <w:sz w:val="32"/>
          <w:szCs w:val="32"/>
        </w:rPr>
        <w:t>基本支出：</w:t>
      </w:r>
      <w:r>
        <w:rPr>
          <w:rFonts w:hint="eastAsia" w:ascii="仿宋_GB2312" w:hAnsi="宋体" w:eastAsia="仿宋_GB2312" w:cs="Times New Roman"/>
          <w:bCs/>
          <w:color w:val="000000"/>
          <w:kern w:val="0"/>
          <w:sz w:val="32"/>
          <w:szCs w:val="32"/>
        </w:rPr>
        <w:t>指为保障机构正常运转、完成日常工作任</w:t>
      </w:r>
    </w:p>
    <w:p>
      <w:pPr>
        <w:spacing w:line="580" w:lineRule="exact"/>
        <w:rPr>
          <w:rFonts w:ascii="仿宋_GB2312" w:hAnsi="宋体" w:eastAsia="仿宋_GB2312" w:cs="Times New Roman"/>
          <w:bCs/>
          <w:color w:val="000000"/>
          <w:kern w:val="0"/>
          <w:sz w:val="32"/>
          <w:szCs w:val="32"/>
        </w:rPr>
      </w:pPr>
      <w:r>
        <w:rPr>
          <w:rFonts w:hint="eastAsia" w:ascii="仿宋_GB2312" w:hAnsi="宋体" w:eastAsia="仿宋_GB2312" w:cs="Times New Roman"/>
          <w:bCs/>
          <w:color w:val="000000"/>
          <w:kern w:val="0"/>
          <w:sz w:val="32"/>
          <w:szCs w:val="32"/>
        </w:rPr>
        <w:t>务而发生的人员支出和公用支出。</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十、项目支出：</w:t>
      </w:r>
      <w:r>
        <w:rPr>
          <w:rFonts w:hint="eastAsia" w:ascii="仿宋_GB2312" w:hAnsi="宋体" w:eastAsia="仿宋_GB2312" w:cs="Times New Roman"/>
          <w:color w:val="000000"/>
          <w:kern w:val="0"/>
          <w:sz w:val="32"/>
          <w:szCs w:val="32"/>
        </w:rPr>
        <w:t>指在基本支出之外为完成特定行政任务和事业发展目标所发生的支出。</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十一、经营支出 ：</w:t>
      </w:r>
      <w:r>
        <w:rPr>
          <w:rFonts w:hint="eastAsia" w:ascii="仿宋_GB2312" w:hAnsi="宋体" w:eastAsia="仿宋_GB2312" w:cs="Times New Roman"/>
          <w:color w:val="000000"/>
          <w:kern w:val="0"/>
          <w:sz w:val="32"/>
          <w:szCs w:val="32"/>
        </w:rPr>
        <w:t>指事业单位在专业业务活动及其辅助活动之外开展非独立核算经营活动发生的支出。</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十二、基本建设支出：</w:t>
      </w:r>
      <w:r>
        <w:rPr>
          <w:rFonts w:hint="eastAsia" w:ascii="仿宋_GB2312" w:hAnsi="宋体" w:eastAsia="仿宋_GB2312" w:cs="Times New Roman"/>
          <w:color w:val="000000"/>
          <w:kern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line="560" w:lineRule="exact"/>
        <w:ind w:firstLine="643" w:firstLineChars="200"/>
        <w:rPr>
          <w:rFonts w:ascii="仿宋_GB2312" w:hAnsi="宋体" w:eastAsia="仿宋_GB2312" w:cs="Times New Roman"/>
          <w:b/>
          <w:bCs/>
          <w:color w:val="000000"/>
          <w:kern w:val="0"/>
          <w:sz w:val="32"/>
          <w:szCs w:val="32"/>
        </w:rPr>
      </w:pPr>
      <w:r>
        <w:rPr>
          <w:rFonts w:hint="eastAsia" w:ascii="仿宋_GB2312" w:hAnsi="宋体" w:eastAsia="仿宋_GB2312" w:cs="Times New Roman"/>
          <w:b/>
          <w:bCs/>
          <w:color w:val="000000"/>
          <w:kern w:val="0"/>
          <w:sz w:val="32"/>
          <w:szCs w:val="32"/>
        </w:rPr>
        <w:t>十三、其他资本性支出：</w:t>
      </w:r>
      <w:r>
        <w:rPr>
          <w:rFonts w:hint="eastAsia" w:ascii="仿宋_GB2312" w:hAnsi="宋体" w:eastAsia="仿宋_GB2312" w:cs="Times New Roman"/>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十四、“三公”经费：</w:t>
      </w:r>
      <w:r>
        <w:rPr>
          <w:rFonts w:hint="eastAsia" w:ascii="仿宋_GB2312" w:hAnsi="宋体" w:eastAsia="仿宋_GB2312" w:cs="Times New Roman"/>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十五、其他交通费用：</w:t>
      </w:r>
      <w:r>
        <w:rPr>
          <w:rFonts w:hint="eastAsia" w:ascii="仿宋_GB2312" w:hAnsi="宋体" w:eastAsia="仿宋_GB2312" w:cs="Times New Roman"/>
          <w:color w:val="000000"/>
          <w:kern w:val="0"/>
          <w:sz w:val="32"/>
          <w:szCs w:val="32"/>
        </w:rPr>
        <w:t>填列单位除公务用车运行维护费以外的其他交通费用。如公务交通补贴、租车费用、出租车费用，飞机、船舶等燃料费、维修费、保险费等。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十六、公务用车购置：</w:t>
      </w:r>
      <w:r>
        <w:rPr>
          <w:rFonts w:hint="eastAsia" w:ascii="仿宋_GB2312" w:hAnsi="宋体" w:eastAsia="仿宋_GB2312" w:cs="Times New Roman"/>
          <w:color w:val="000000"/>
          <w:kern w:val="0"/>
          <w:sz w:val="32"/>
          <w:szCs w:val="32"/>
        </w:rPr>
        <w:t>填列单位公务用车车辆购置支出（含车辆购置税、牌照费）。</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十七、其他交通工具购置：</w:t>
      </w:r>
      <w:r>
        <w:rPr>
          <w:rFonts w:hint="eastAsia" w:ascii="仿宋_GB2312" w:hAnsi="宋体" w:eastAsia="仿宋_GB2312" w:cs="Times New Roman"/>
          <w:color w:val="000000"/>
          <w:kern w:val="0"/>
          <w:sz w:val="32"/>
          <w:szCs w:val="32"/>
        </w:rPr>
        <w:t>填列单位除公务用车外的其他各类交通工具（如船舶、飞机等）购置支出（含车辆购置税、牌照费）。</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十八、机关运行经费：</w:t>
      </w:r>
      <w:r>
        <w:rPr>
          <w:rFonts w:hint="eastAsia" w:ascii="仿宋_GB2312" w:hAnsi="宋体" w:eastAsia="仿宋_GB2312" w:cs="Times New Roman"/>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tabs>
          <w:tab w:val="left" w:pos="235"/>
        </w:tabs>
        <w:ind w:firstLine="643" w:firstLineChars="200"/>
        <w:jc w:val="left"/>
        <w:rPr>
          <w:rFonts w:ascii="仿宋_GB2312" w:hAnsi="Cambria" w:eastAsia="仿宋_GB2312" w:cs="ArialUnicodeMS"/>
          <w:kern w:val="0"/>
          <w:sz w:val="32"/>
          <w:szCs w:val="32"/>
        </w:rPr>
      </w:pPr>
      <w:r>
        <w:rPr>
          <w:rFonts w:hint="eastAsia" w:ascii="仿宋_GB2312" w:hAnsi="宋体" w:eastAsia="仿宋_GB2312" w:cs="Times New Roman"/>
          <w:b/>
          <w:bCs/>
          <w:color w:val="000000"/>
          <w:kern w:val="0"/>
          <w:sz w:val="32"/>
          <w:szCs w:val="32"/>
        </w:rPr>
        <w:t>十九、经费形式:</w:t>
      </w:r>
      <w:r>
        <w:rPr>
          <w:rFonts w:hint="eastAsia" w:ascii="仿宋_GB2312" w:hAnsi="宋体" w:eastAsia="仿宋_GB2312" w:cs="Times New Roman"/>
          <w:color w:val="000000"/>
          <w:kern w:val="0"/>
          <w:sz w:val="32"/>
          <w:szCs w:val="32"/>
        </w:rPr>
        <w:t>按照经费来源，</w:t>
      </w:r>
      <w:r>
        <w:rPr>
          <w:rFonts w:hint="eastAsia" w:ascii="仿宋_GB2312" w:hAnsi="Cambria" w:eastAsia="仿宋_GB2312" w:cs="ArialUnicodeMS"/>
          <w:kern w:val="0"/>
          <w:sz w:val="32"/>
          <w:szCs w:val="32"/>
        </w:rPr>
        <w:t>可分为财政拨款、财政性资金基本保证、财政性资金定额或定项补助、财政性资金零补助四类</w:t>
      </w:r>
    </w:p>
    <w:p/>
    <w:sectPr>
      <w:pgSz w:w="11906" w:h="16838"/>
      <w:pgMar w:top="1474" w:right="1474" w:bottom="1474" w:left="1474"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DejaVu Sans"/>
    <w:panose1 w:val="02020603050405020304"/>
    <w:charset w:val="86"/>
    <w:family w:val="roman"/>
    <w:pitch w:val="default"/>
    <w:sig w:usb0="00000000" w:usb1="00000000" w:usb2="00000009" w:usb3="00000000" w:csb0="400001FF" w:csb1="FFFF0000"/>
  </w:font>
  <w:font w:name="宋体">
    <w:altName w:val="方正书宋_GBK"/>
    <w:panose1 w:val="00000000000000000000"/>
    <w:charset w:val="00"/>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华文中宋">
    <w:panose1 w:val="02010600040101010101"/>
    <w:charset w:val="86"/>
    <w:family w:val="auto"/>
    <w:pitch w:val="default"/>
    <w:sig w:usb0="00000287" w:usb1="080F0000" w:usb2="00000000" w:usb3="00000000" w:csb0="0004009F" w:csb1="DFD70000"/>
  </w:font>
  <w:font w:name="楷体_GB2312">
    <w:panose1 w:val="02010609030101010101"/>
    <w:charset w:val="86"/>
    <w:family w:val="modern"/>
    <w:pitch w:val="default"/>
    <w:sig w:usb0="00000001" w:usb1="080E0000" w:usb2="00000000" w:usb3="00000000" w:csb0="00040000" w:csb1="00000000"/>
  </w:font>
  <w:font w:name="方正黑体_GBK">
    <w:panose1 w:val="02000000000000000000"/>
    <w:charset w:val="86"/>
    <w:family w:val="auto"/>
    <w:pitch w:val="default"/>
    <w:sig w:usb0="00000001" w:usb1="08000000" w:usb2="00000000" w:usb3="00000000" w:csb0="00040000" w:csb1="00000000"/>
  </w:font>
  <w:font w:name="方正魏碑简体">
    <w:altName w:val="方正魏碑_GBK"/>
    <w:panose1 w:val="00000000000000000000"/>
    <w:charset w:val="86"/>
    <w:family w:val="auto"/>
    <w:pitch w:val="default"/>
    <w:sig w:usb0="00000000" w:usb1="00000000" w:usb2="00000010" w:usb3="00000000" w:csb0="00040000" w:csb1="00000000"/>
  </w:font>
  <w:font w:name="方正魏碑_GBK">
    <w:panose1 w:val="02000000000000000000"/>
    <w:charset w:val="86"/>
    <w:family w:val="auto"/>
    <w:pitch w:val="default"/>
    <w:sig w:usb0="00000001" w:usb1="08000000" w:usb2="00000000" w:usb3="00000000" w:csb0="00040000" w:csb1="00000000"/>
  </w:font>
  <w:font w:name="思源黑体 CN Heavy">
    <w:altName w:val="方正黑体_GBK"/>
    <w:panose1 w:val="00000000000000000000"/>
    <w:charset w:val="86"/>
    <w:family w:val="swiss"/>
    <w:pitch w:val="default"/>
    <w:sig w:usb0="00000000" w:usb1="00000000" w:usb2="00000016" w:usb3="00000000" w:csb0="00060107" w:csb1="00000000"/>
  </w:font>
  <w:font w:name="仿宋_GB2312">
    <w:panose1 w:val="02010609030101010101"/>
    <w:charset w:val="86"/>
    <w:family w:val="modern"/>
    <w:pitch w:val="default"/>
    <w:sig w:usb0="00000001" w:usb1="080E0000" w:usb2="00000000" w:usb3="00000000" w:csb0="00040000" w:csb1="00000000"/>
  </w:font>
  <w:font w:name="ArialUnicodeMS">
    <w:altName w:val="DejaVu Sans"/>
    <w:panose1 w:val="00000000000000000000"/>
    <w:charset w:val="81"/>
    <w:family w:val="auto"/>
    <w:pitch w:val="default"/>
    <w:sig w:usb0="00000000" w:usb1="00000000" w:usb2="00000010" w:usb3="00000000" w:csb0="00080001" w:csb1="00000000"/>
  </w:font>
  <w:font w:name="Cambria">
    <w:altName w:val="Noto Sans Syriac Eastern"/>
    <w:panose1 w:val="02040503050406030204"/>
    <w:charset w:val="00"/>
    <w:family w:val="roman"/>
    <w:pitch w:val="default"/>
    <w:sig w:usb0="00000000" w:usb1="00000000" w:usb2="00000000" w:usb3="00000000" w:csb0="2000019F" w:csb1="00000000"/>
  </w:font>
  <w:font w:name="Noto Sans Syriac Eastern">
    <w:panose1 w:val="02040503050306020203"/>
    <w:charset w:val="86"/>
    <w:family w:val="auto"/>
    <w:pitch w:val="default"/>
    <w:sig w:usb0="00000000" w:usb1="00000000" w:usb2="00000080" w:usb3="00000000" w:csb0="203E0161" w:csb1="D7FF0000"/>
  </w:font>
  <w:font w:name="DengXian-Regular">
    <w:altName w:val="华文中宋"/>
    <w:panose1 w:val="00000000000000000000"/>
    <w:charset w:val="86"/>
    <w:family w:val="auto"/>
    <w:pitch w:val="default"/>
    <w:sig w:usb0="00000000" w:usb1="00000000" w:usb2="00000010" w:usb3="00000000" w:csb0="00040001" w:csb1="00000000"/>
  </w:font>
  <w:font w:name="DengXian-Bold">
    <w:altName w:val="华文中宋"/>
    <w:panose1 w:val="00000000000000000000"/>
    <w:charset w:val="86"/>
    <w:family w:val="auto"/>
    <w:pitch w:val="default"/>
    <w:sig w:usb0="00000000" w:usb1="00000000" w:usb2="00000010" w:usb3="00000000" w:csb0="00040001" w:csb1="00000000"/>
  </w:font>
  <w:font w:name="方正小标宋_GBK">
    <w:panose1 w:val="02000000000000000000"/>
    <w:charset w:val="86"/>
    <w:family w:val="auto"/>
    <w:pitch w:val="default"/>
    <w:sig w:usb0="00000001" w:usb1="08000000" w:usb2="00000000" w:usb3="00000000" w:csb0="00040000" w:csb1="00000000"/>
  </w:font>
  <w:font w:name="Arial Black">
    <w:altName w:val="DejaVu Sans"/>
    <w:panose1 w:val="020B0A04020102020204"/>
    <w:charset w:val="00"/>
    <w:family w:val="swiss"/>
    <w:pitch w:val="default"/>
    <w:sig w:usb0="00000000" w:usb1="00000000" w:usb2="00000000" w:usb3="00000000" w:csb0="2000009F" w:csb1="DFD70000"/>
  </w:font>
  <w:font w:name="MS-UIGothic,Bold">
    <w:altName w:val="方正书宋_GBK"/>
    <w:panose1 w:val="00000000000000000000"/>
    <w:charset w:val="81"/>
    <w:family w:val="auto"/>
    <w:pitch w:val="default"/>
    <w:sig w:usb0="00000000" w:usb1="00000000" w:usb2="00000010" w:usb3="00000000" w:csb0="00080000" w:csb1="00000000"/>
  </w:font>
  <w:font w:name="方正仿宋_GBK">
    <w:panose1 w:val="02000000000000000000"/>
    <w:charset w:val="86"/>
    <w:family w:val="auto"/>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jc w:val="center"/>
    </w:pPr>
  </w:p>
  <w:p>
    <w:pPr>
      <w:pStyle w:val="5"/>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5DB9A87"/>
    <w:multiLevelType w:val="singleLevel"/>
    <w:tmpl w:val="45DB9A87"/>
    <w:lvl w:ilvl="0" w:tentative="0">
      <w:start w:val="3"/>
      <w:numFmt w:val="chineseCounting"/>
      <w:suff w:val="nothing"/>
      <w:lvlText w:val="（%1）"/>
      <w:lvlJc w:val="left"/>
      <w:rPr>
        <w:rFonts w:hint="eastAsia"/>
      </w:rPr>
    </w:lvl>
  </w:abstractNum>
  <w:abstractNum w:abstractNumId="1">
    <w:nsid w:val="486A544E"/>
    <w:multiLevelType w:val="multilevel"/>
    <w:tmpl w:val="486A544E"/>
    <w:lvl w:ilvl="0" w:tentative="0">
      <w:start w:val="6"/>
      <w:numFmt w:val="japaneseCounting"/>
      <w:lvlText w:val="%1、"/>
      <w:lvlJc w:val="left"/>
      <w:pPr>
        <w:ind w:left="1360" w:hanging="720"/>
      </w:pPr>
      <w:rPr>
        <w:rFonts w:hint="default"/>
        <w:b/>
        <w:u w:val="none"/>
      </w:rPr>
    </w:lvl>
    <w:lvl w:ilvl="1" w:tentative="0">
      <w:start w:val="1"/>
      <w:numFmt w:val="lowerLetter"/>
      <w:lvlText w:val="%2)"/>
      <w:lvlJc w:val="left"/>
      <w:pPr>
        <w:ind w:left="1480" w:hanging="420"/>
      </w:pPr>
      <w:rPr>
        <w:rFonts w:hint="default"/>
        <w:u w:val="none"/>
      </w:rPr>
    </w:lvl>
    <w:lvl w:ilvl="2" w:tentative="0">
      <w:start w:val="1"/>
      <w:numFmt w:val="lowerRoman"/>
      <w:lvlText w:val="%3."/>
      <w:lvlJc w:val="right"/>
      <w:pPr>
        <w:ind w:left="1900" w:hanging="420"/>
      </w:pPr>
      <w:rPr>
        <w:rFonts w:hint="default"/>
        <w:u w:val="none"/>
      </w:rPr>
    </w:lvl>
    <w:lvl w:ilvl="3" w:tentative="0">
      <w:start w:val="1"/>
      <w:numFmt w:val="decimal"/>
      <w:lvlText w:val="%4."/>
      <w:lvlJc w:val="left"/>
      <w:pPr>
        <w:ind w:left="2320" w:hanging="420"/>
      </w:pPr>
      <w:rPr>
        <w:rFonts w:hint="default"/>
        <w:u w:val="none"/>
      </w:rPr>
    </w:lvl>
    <w:lvl w:ilvl="4" w:tentative="0">
      <w:start w:val="1"/>
      <w:numFmt w:val="lowerLetter"/>
      <w:lvlText w:val="%5)"/>
      <w:lvlJc w:val="left"/>
      <w:pPr>
        <w:ind w:left="2740" w:hanging="420"/>
      </w:pPr>
      <w:rPr>
        <w:rFonts w:hint="default"/>
        <w:u w:val="none"/>
      </w:rPr>
    </w:lvl>
    <w:lvl w:ilvl="5" w:tentative="0">
      <w:start w:val="1"/>
      <w:numFmt w:val="lowerRoman"/>
      <w:lvlText w:val="%6."/>
      <w:lvlJc w:val="right"/>
      <w:pPr>
        <w:ind w:left="3160" w:hanging="420"/>
      </w:pPr>
      <w:rPr>
        <w:rFonts w:hint="default"/>
        <w:u w:val="none"/>
      </w:rPr>
    </w:lvl>
    <w:lvl w:ilvl="6" w:tentative="0">
      <w:start w:val="1"/>
      <w:numFmt w:val="decimal"/>
      <w:lvlText w:val="%7."/>
      <w:lvlJc w:val="left"/>
      <w:pPr>
        <w:ind w:left="3580" w:hanging="420"/>
      </w:pPr>
      <w:rPr>
        <w:rFonts w:hint="default"/>
        <w:u w:val="none"/>
      </w:rPr>
    </w:lvl>
    <w:lvl w:ilvl="7" w:tentative="0">
      <w:start w:val="1"/>
      <w:numFmt w:val="lowerLetter"/>
      <w:lvlText w:val="%8)"/>
      <w:lvlJc w:val="left"/>
      <w:pPr>
        <w:ind w:left="4000" w:hanging="420"/>
      </w:pPr>
      <w:rPr>
        <w:rFonts w:hint="default"/>
        <w:u w:val="none"/>
      </w:rPr>
    </w:lvl>
    <w:lvl w:ilvl="8" w:tentative="0">
      <w:start w:val="1"/>
      <w:numFmt w:val="lowerRoman"/>
      <w:lvlText w:val="%9."/>
      <w:lvlJc w:val="right"/>
      <w:pPr>
        <w:ind w:left="4420" w:hanging="420"/>
      </w:pPr>
      <w:rPr>
        <w:rFonts w:hint="default"/>
        <w:u w:val="none"/>
      </w:rPr>
    </w:lvl>
  </w:abstractNum>
  <w:abstractNum w:abstractNumId="2">
    <w:nsid w:val="53D25D65"/>
    <w:multiLevelType w:val="multilevel"/>
    <w:tmpl w:val="53D25D65"/>
    <w:lvl w:ilvl="0" w:tentative="0">
      <w:start w:val="1"/>
      <w:numFmt w:val="japaneseCounting"/>
      <w:lvlText w:val="%1、"/>
      <w:lvlJc w:val="left"/>
      <w:pPr>
        <w:tabs>
          <w:tab w:val="left" w:pos="1395"/>
        </w:tabs>
        <w:ind w:left="1395" w:hanging="720"/>
      </w:pPr>
      <w:rPr>
        <w:rFonts w:hint="default"/>
        <w:b/>
        <w:u w:val="none"/>
      </w:rPr>
    </w:lvl>
    <w:lvl w:ilvl="1" w:tentative="0">
      <w:start w:val="1"/>
      <w:numFmt w:val="lowerLetter"/>
      <w:lvlText w:val="%2)"/>
      <w:lvlJc w:val="left"/>
      <w:pPr>
        <w:tabs>
          <w:tab w:val="left" w:pos="1515"/>
        </w:tabs>
        <w:ind w:left="1515" w:hanging="420"/>
      </w:pPr>
      <w:rPr>
        <w:rFonts w:hint="default"/>
        <w:u w:val="none"/>
      </w:rPr>
    </w:lvl>
    <w:lvl w:ilvl="2" w:tentative="0">
      <w:start w:val="1"/>
      <w:numFmt w:val="lowerRoman"/>
      <w:lvlText w:val="%3."/>
      <w:lvlJc w:val="right"/>
      <w:pPr>
        <w:tabs>
          <w:tab w:val="left" w:pos="1935"/>
        </w:tabs>
        <w:ind w:left="1935" w:hanging="420"/>
      </w:pPr>
      <w:rPr>
        <w:rFonts w:hint="default"/>
        <w:u w:val="none"/>
      </w:rPr>
    </w:lvl>
    <w:lvl w:ilvl="3" w:tentative="0">
      <w:start w:val="1"/>
      <w:numFmt w:val="decimal"/>
      <w:lvlText w:val="%4."/>
      <w:lvlJc w:val="left"/>
      <w:pPr>
        <w:tabs>
          <w:tab w:val="left" w:pos="2355"/>
        </w:tabs>
        <w:ind w:left="2355" w:hanging="420"/>
      </w:pPr>
      <w:rPr>
        <w:rFonts w:hint="default"/>
        <w:u w:val="none"/>
      </w:rPr>
    </w:lvl>
    <w:lvl w:ilvl="4" w:tentative="0">
      <w:start w:val="1"/>
      <w:numFmt w:val="lowerLetter"/>
      <w:lvlText w:val="%5)"/>
      <w:lvlJc w:val="left"/>
      <w:pPr>
        <w:tabs>
          <w:tab w:val="left" w:pos="2775"/>
        </w:tabs>
        <w:ind w:left="2775" w:hanging="420"/>
      </w:pPr>
      <w:rPr>
        <w:rFonts w:hint="default"/>
        <w:u w:val="none"/>
      </w:rPr>
    </w:lvl>
    <w:lvl w:ilvl="5" w:tentative="0">
      <w:start w:val="1"/>
      <w:numFmt w:val="lowerRoman"/>
      <w:lvlText w:val="%6."/>
      <w:lvlJc w:val="right"/>
      <w:pPr>
        <w:tabs>
          <w:tab w:val="left" w:pos="3195"/>
        </w:tabs>
        <w:ind w:left="3195" w:hanging="420"/>
      </w:pPr>
      <w:rPr>
        <w:rFonts w:hint="default"/>
        <w:u w:val="none"/>
      </w:rPr>
    </w:lvl>
    <w:lvl w:ilvl="6" w:tentative="0">
      <w:start w:val="1"/>
      <w:numFmt w:val="decimal"/>
      <w:lvlText w:val="%7."/>
      <w:lvlJc w:val="left"/>
      <w:pPr>
        <w:tabs>
          <w:tab w:val="left" w:pos="3615"/>
        </w:tabs>
        <w:ind w:left="3615" w:hanging="420"/>
      </w:pPr>
      <w:rPr>
        <w:rFonts w:hint="default"/>
        <w:u w:val="none"/>
      </w:rPr>
    </w:lvl>
    <w:lvl w:ilvl="7" w:tentative="0">
      <w:start w:val="1"/>
      <w:numFmt w:val="lowerLetter"/>
      <w:lvlText w:val="%8)"/>
      <w:lvlJc w:val="left"/>
      <w:pPr>
        <w:tabs>
          <w:tab w:val="left" w:pos="4035"/>
        </w:tabs>
        <w:ind w:left="4035" w:hanging="420"/>
      </w:pPr>
      <w:rPr>
        <w:rFonts w:hint="default"/>
        <w:u w:val="none"/>
      </w:rPr>
    </w:lvl>
    <w:lvl w:ilvl="8" w:tentative="0">
      <w:start w:val="1"/>
      <w:numFmt w:val="lowerRoman"/>
      <w:lvlText w:val="%9."/>
      <w:lvlJc w:val="right"/>
      <w:pPr>
        <w:tabs>
          <w:tab w:val="left" w:pos="4455"/>
        </w:tabs>
        <w:ind w:left="4455" w:hanging="420"/>
      </w:pPr>
      <w:rPr>
        <w:rFonts w:hint="default"/>
        <w:u w:val="none"/>
      </w:r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jb3VudCI6ODcsImhkaWQiOiIwZWE3OGU1OTVlMTkyZjRkZGJkMDgwMDg1M2Y1NDMyMyIsInVzZXJDb3VudCI6MX0="/>
    <w:docVar w:name="KSO_WPS_MARK_KEY" w:val="71c2c6a0-067b-4e3a-b3ef-0dc62715dcd3"/>
  </w:docVars>
  <w:rsids>
    <w:rsidRoot w:val="00172A27"/>
    <w:rsid w:val="000031F7"/>
    <w:rsid w:val="00014862"/>
    <w:rsid w:val="000349BA"/>
    <w:rsid w:val="000C393A"/>
    <w:rsid w:val="00125965"/>
    <w:rsid w:val="00144CC5"/>
    <w:rsid w:val="00172A27"/>
    <w:rsid w:val="00203288"/>
    <w:rsid w:val="00206EB2"/>
    <w:rsid w:val="00262CE0"/>
    <w:rsid w:val="002C2C3F"/>
    <w:rsid w:val="00310221"/>
    <w:rsid w:val="0034600F"/>
    <w:rsid w:val="00366EA1"/>
    <w:rsid w:val="004550B9"/>
    <w:rsid w:val="00473A26"/>
    <w:rsid w:val="00483998"/>
    <w:rsid w:val="004D1145"/>
    <w:rsid w:val="004E274E"/>
    <w:rsid w:val="004F23D0"/>
    <w:rsid w:val="004F5E71"/>
    <w:rsid w:val="0051575E"/>
    <w:rsid w:val="00522C51"/>
    <w:rsid w:val="00550130"/>
    <w:rsid w:val="005B2633"/>
    <w:rsid w:val="00657113"/>
    <w:rsid w:val="00663586"/>
    <w:rsid w:val="006C5D6E"/>
    <w:rsid w:val="007042CC"/>
    <w:rsid w:val="00704A9C"/>
    <w:rsid w:val="00757732"/>
    <w:rsid w:val="00786182"/>
    <w:rsid w:val="007B4464"/>
    <w:rsid w:val="00816BB2"/>
    <w:rsid w:val="008349E7"/>
    <w:rsid w:val="008414F6"/>
    <w:rsid w:val="00853F9E"/>
    <w:rsid w:val="00855E47"/>
    <w:rsid w:val="00896712"/>
    <w:rsid w:val="008E5668"/>
    <w:rsid w:val="009718A8"/>
    <w:rsid w:val="009D7927"/>
    <w:rsid w:val="009E6461"/>
    <w:rsid w:val="00A12180"/>
    <w:rsid w:val="00A66109"/>
    <w:rsid w:val="00B15320"/>
    <w:rsid w:val="00B170B0"/>
    <w:rsid w:val="00B20DC3"/>
    <w:rsid w:val="00B86E38"/>
    <w:rsid w:val="00BE1054"/>
    <w:rsid w:val="00BE7649"/>
    <w:rsid w:val="00C21492"/>
    <w:rsid w:val="00C418F5"/>
    <w:rsid w:val="00CE4C2D"/>
    <w:rsid w:val="00CE755E"/>
    <w:rsid w:val="00D25268"/>
    <w:rsid w:val="00D264B9"/>
    <w:rsid w:val="00D71400"/>
    <w:rsid w:val="00DA0B17"/>
    <w:rsid w:val="00DE4245"/>
    <w:rsid w:val="00DF42C4"/>
    <w:rsid w:val="00DF688D"/>
    <w:rsid w:val="00E039B0"/>
    <w:rsid w:val="00E35F22"/>
    <w:rsid w:val="00E40650"/>
    <w:rsid w:val="00E44B04"/>
    <w:rsid w:val="00E519C7"/>
    <w:rsid w:val="00E54036"/>
    <w:rsid w:val="00E669B9"/>
    <w:rsid w:val="00E818B1"/>
    <w:rsid w:val="00E86E79"/>
    <w:rsid w:val="00EB1655"/>
    <w:rsid w:val="00F242CA"/>
    <w:rsid w:val="00FC3F68"/>
    <w:rsid w:val="00FF453A"/>
    <w:rsid w:val="018E53BB"/>
    <w:rsid w:val="01B752BF"/>
    <w:rsid w:val="02F2691F"/>
    <w:rsid w:val="05273E55"/>
    <w:rsid w:val="05BA458B"/>
    <w:rsid w:val="06EB1AB6"/>
    <w:rsid w:val="07DB21CB"/>
    <w:rsid w:val="099D6B31"/>
    <w:rsid w:val="09FD66D9"/>
    <w:rsid w:val="0BB011EA"/>
    <w:rsid w:val="10B242CF"/>
    <w:rsid w:val="111807FE"/>
    <w:rsid w:val="11F4604E"/>
    <w:rsid w:val="130866EA"/>
    <w:rsid w:val="136D16FB"/>
    <w:rsid w:val="13AA21BF"/>
    <w:rsid w:val="143811B7"/>
    <w:rsid w:val="18B10348"/>
    <w:rsid w:val="197B6AB0"/>
    <w:rsid w:val="1A3D2C72"/>
    <w:rsid w:val="216937C4"/>
    <w:rsid w:val="2387753B"/>
    <w:rsid w:val="257C1CB8"/>
    <w:rsid w:val="26D76F8B"/>
    <w:rsid w:val="27DF3EA4"/>
    <w:rsid w:val="298605CB"/>
    <w:rsid w:val="2CEF036C"/>
    <w:rsid w:val="32A31C4C"/>
    <w:rsid w:val="32B53CA7"/>
    <w:rsid w:val="33CD2241"/>
    <w:rsid w:val="34967CFD"/>
    <w:rsid w:val="39C2416B"/>
    <w:rsid w:val="3B744E3E"/>
    <w:rsid w:val="3B7E3BD8"/>
    <w:rsid w:val="3D0062DF"/>
    <w:rsid w:val="3D0DB9E6"/>
    <w:rsid w:val="3DC91A1B"/>
    <w:rsid w:val="3E8A01E6"/>
    <w:rsid w:val="3F235BB1"/>
    <w:rsid w:val="3F663581"/>
    <w:rsid w:val="3FDF6A83"/>
    <w:rsid w:val="42A44BF6"/>
    <w:rsid w:val="44A5030F"/>
    <w:rsid w:val="4571549B"/>
    <w:rsid w:val="465E1ECB"/>
    <w:rsid w:val="471274FD"/>
    <w:rsid w:val="49717ADD"/>
    <w:rsid w:val="4A51609B"/>
    <w:rsid w:val="4C194D3B"/>
    <w:rsid w:val="4C415830"/>
    <w:rsid w:val="4D304C6C"/>
    <w:rsid w:val="4DD958BA"/>
    <w:rsid w:val="4F2A6A41"/>
    <w:rsid w:val="500373A2"/>
    <w:rsid w:val="507C6383"/>
    <w:rsid w:val="52306683"/>
    <w:rsid w:val="52B07CE8"/>
    <w:rsid w:val="530D6D8F"/>
    <w:rsid w:val="53AD746D"/>
    <w:rsid w:val="56065792"/>
    <w:rsid w:val="561769D4"/>
    <w:rsid w:val="58D844B0"/>
    <w:rsid w:val="5C553A5A"/>
    <w:rsid w:val="5CEE01F0"/>
    <w:rsid w:val="5F4A1A8C"/>
    <w:rsid w:val="60075621"/>
    <w:rsid w:val="602001C2"/>
    <w:rsid w:val="60CE32E1"/>
    <w:rsid w:val="649A7590"/>
    <w:rsid w:val="64C00985"/>
    <w:rsid w:val="65225D26"/>
    <w:rsid w:val="65DB5CBA"/>
    <w:rsid w:val="674E6C15"/>
    <w:rsid w:val="67636EEB"/>
    <w:rsid w:val="697609B2"/>
    <w:rsid w:val="69F4671F"/>
    <w:rsid w:val="6AA475BF"/>
    <w:rsid w:val="6BA53F12"/>
    <w:rsid w:val="6CBF282C"/>
    <w:rsid w:val="6F7B04C4"/>
    <w:rsid w:val="70E81256"/>
    <w:rsid w:val="73335BEE"/>
    <w:rsid w:val="734B3BFA"/>
    <w:rsid w:val="73753308"/>
    <w:rsid w:val="74207A86"/>
    <w:rsid w:val="743444A4"/>
    <w:rsid w:val="74B61AFD"/>
    <w:rsid w:val="77713D88"/>
    <w:rsid w:val="79442C5B"/>
    <w:rsid w:val="7BB011B5"/>
    <w:rsid w:val="7C246C5B"/>
    <w:rsid w:val="7C2A2F43"/>
    <w:rsid w:val="7EAD450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iPriority="99" w:semiHidden="0" w:name="Normal Indent"/>
    <w:lsdException w:uiPriority="99" w:name="footnote text"/>
    <w:lsdException w:uiPriority="99" w:name="annotation text"/>
    <w:lsdException w:qFormat="1" w:unhideWhenUsed="0" w:uiPriority="0"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3">
    <w:name w:val="heading 1"/>
    <w:basedOn w:val="1"/>
    <w:next w:val="1"/>
    <w:qFormat/>
    <w:uiPriority w:val="0"/>
    <w:pPr>
      <w:keepNext/>
      <w:keepLines/>
      <w:spacing w:before="340" w:after="330" w:line="578" w:lineRule="auto"/>
      <w:outlineLvl w:val="0"/>
    </w:pPr>
    <w:rPr>
      <w:b/>
      <w:bCs/>
      <w:kern w:val="44"/>
      <w:sz w:val="44"/>
      <w:szCs w:val="44"/>
    </w:rPr>
  </w:style>
  <w:style w:type="character" w:default="1" w:styleId="10">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Normal Indent"/>
    <w:basedOn w:val="1"/>
    <w:unhideWhenUsed/>
    <w:qFormat/>
    <w:uiPriority w:val="99"/>
    <w:pPr>
      <w:adjustRightInd w:val="0"/>
      <w:spacing w:line="360" w:lineRule="atLeast"/>
      <w:ind w:firstLine="420"/>
      <w:jc w:val="left"/>
      <w:textAlignment w:val="baseline"/>
    </w:pPr>
    <w:rPr>
      <w:kern w:val="0"/>
      <w:sz w:val="25"/>
      <w:szCs w:val="20"/>
    </w:rPr>
  </w:style>
  <w:style w:type="paragraph" w:styleId="4">
    <w:name w:val="Balloon Text"/>
    <w:basedOn w:val="1"/>
    <w:link w:val="19"/>
    <w:unhideWhenUsed/>
    <w:qFormat/>
    <w:uiPriority w:val="99"/>
    <w:rPr>
      <w:sz w:val="18"/>
      <w:szCs w:val="18"/>
    </w:rPr>
  </w:style>
  <w:style w:type="paragraph" w:styleId="5">
    <w:name w:val="footer"/>
    <w:basedOn w:val="1"/>
    <w:link w:val="11"/>
    <w:qFormat/>
    <w:uiPriority w:val="99"/>
    <w:pPr>
      <w:tabs>
        <w:tab w:val="center" w:pos="4153"/>
        <w:tab w:val="right" w:pos="8306"/>
      </w:tabs>
      <w:snapToGrid w:val="0"/>
      <w:jc w:val="left"/>
    </w:pPr>
    <w:rPr>
      <w:sz w:val="18"/>
      <w:szCs w:val="18"/>
    </w:rPr>
  </w:style>
  <w:style w:type="paragraph" w:styleId="6">
    <w:name w:val="header"/>
    <w:basedOn w:val="1"/>
    <w:link w:val="12"/>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sz w:val="18"/>
      <w:szCs w:val="18"/>
    </w:rPr>
  </w:style>
  <w:style w:type="paragraph" w:styleId="7">
    <w:name w:val="Normal (Web)"/>
    <w:basedOn w:val="1"/>
    <w:semiHidden/>
    <w:unhideWhenUsed/>
    <w:qFormat/>
    <w:uiPriority w:val="99"/>
    <w:pPr>
      <w:spacing w:before="0" w:beforeAutospacing="1" w:after="0" w:afterAutospacing="1"/>
      <w:ind w:left="0" w:right="0"/>
      <w:jc w:val="left"/>
    </w:pPr>
    <w:rPr>
      <w:kern w:val="0"/>
      <w:sz w:val="24"/>
      <w:lang w:val="en-US" w:eastAsia="zh-CN" w:bidi="ar"/>
    </w:rPr>
  </w:style>
  <w:style w:type="table" w:styleId="9">
    <w:name w:val="Table Grid"/>
    <w:qFormat/>
    <w:uiPriority w:val="0"/>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customStyle="1" w:styleId="11">
    <w:name w:val="页脚 Char"/>
    <w:basedOn w:val="10"/>
    <w:link w:val="5"/>
    <w:qFormat/>
    <w:uiPriority w:val="99"/>
    <w:rPr>
      <w:kern w:val="2"/>
      <w:sz w:val="18"/>
      <w:szCs w:val="18"/>
    </w:rPr>
  </w:style>
  <w:style w:type="character" w:customStyle="1" w:styleId="12">
    <w:name w:val="页眉 Char"/>
    <w:basedOn w:val="10"/>
    <w:link w:val="6"/>
    <w:qFormat/>
    <w:uiPriority w:val="0"/>
    <w:rPr>
      <w:kern w:val="2"/>
      <w:sz w:val="18"/>
      <w:szCs w:val="18"/>
    </w:rPr>
  </w:style>
  <w:style w:type="character" w:customStyle="1" w:styleId="13">
    <w:name w:val="font11"/>
    <w:basedOn w:val="10"/>
    <w:qFormat/>
    <w:uiPriority w:val="0"/>
    <w:rPr>
      <w:rFonts w:hint="eastAsia" w:ascii="宋体" w:hAnsi="宋体" w:eastAsia="宋体" w:cs="宋体"/>
      <w:color w:val="000000"/>
      <w:sz w:val="20"/>
      <w:szCs w:val="20"/>
      <w:u w:val="none"/>
    </w:rPr>
  </w:style>
  <w:style w:type="character" w:customStyle="1" w:styleId="14">
    <w:name w:val="font01"/>
    <w:basedOn w:val="10"/>
    <w:qFormat/>
    <w:uiPriority w:val="0"/>
    <w:rPr>
      <w:rFonts w:hint="eastAsia" w:ascii="宋体" w:hAnsi="宋体" w:eastAsia="宋体" w:cs="宋体"/>
      <w:color w:val="000000"/>
      <w:sz w:val="22"/>
      <w:szCs w:val="22"/>
      <w:u w:val="none"/>
    </w:rPr>
  </w:style>
  <w:style w:type="character" w:customStyle="1" w:styleId="15">
    <w:name w:val="font41"/>
    <w:basedOn w:val="10"/>
    <w:qFormat/>
    <w:uiPriority w:val="0"/>
    <w:rPr>
      <w:rFonts w:hint="eastAsia" w:ascii="宋体" w:hAnsi="宋体" w:eastAsia="宋体" w:cs="宋体"/>
      <w:color w:val="000000"/>
      <w:sz w:val="24"/>
      <w:szCs w:val="24"/>
      <w:u w:val="none"/>
    </w:rPr>
  </w:style>
  <w:style w:type="character" w:customStyle="1" w:styleId="16">
    <w:name w:val="font31"/>
    <w:basedOn w:val="10"/>
    <w:qFormat/>
    <w:uiPriority w:val="0"/>
    <w:rPr>
      <w:rFonts w:hint="eastAsia" w:ascii="华文中宋" w:hAnsi="华文中宋" w:eastAsia="华文中宋" w:cs="华文中宋"/>
      <w:color w:val="000000"/>
      <w:sz w:val="32"/>
      <w:szCs w:val="32"/>
      <w:u w:val="none"/>
    </w:rPr>
  </w:style>
  <w:style w:type="character" w:customStyle="1" w:styleId="17">
    <w:name w:val="font91"/>
    <w:basedOn w:val="10"/>
    <w:qFormat/>
    <w:uiPriority w:val="0"/>
    <w:rPr>
      <w:rFonts w:hint="eastAsia" w:ascii="华文中宋" w:hAnsi="华文中宋" w:eastAsia="华文中宋" w:cs="华文中宋"/>
      <w:color w:val="000000"/>
      <w:sz w:val="32"/>
      <w:szCs w:val="32"/>
      <w:u w:val="none"/>
    </w:rPr>
  </w:style>
  <w:style w:type="character" w:customStyle="1" w:styleId="18">
    <w:name w:val="font51"/>
    <w:basedOn w:val="10"/>
    <w:qFormat/>
    <w:uiPriority w:val="0"/>
    <w:rPr>
      <w:rFonts w:hint="eastAsia" w:ascii="宋体" w:hAnsi="宋体" w:eastAsia="宋体" w:cs="宋体"/>
      <w:color w:val="000000"/>
      <w:sz w:val="24"/>
      <w:szCs w:val="24"/>
      <w:u w:val="none"/>
    </w:rPr>
  </w:style>
  <w:style w:type="character" w:customStyle="1" w:styleId="19">
    <w:name w:val="批注框文本 Char"/>
    <w:basedOn w:val="10"/>
    <w:link w:val="4"/>
    <w:semiHidden/>
    <w:qFormat/>
    <w:uiPriority w:val="99"/>
    <w:rPr>
      <w:kern w:val="2"/>
      <w:sz w:val="18"/>
      <w:szCs w:val="18"/>
    </w:rPr>
  </w:style>
  <w:style w:type="character" w:customStyle="1" w:styleId="20">
    <w:name w:val="font111"/>
    <w:basedOn w:val="10"/>
    <w:qFormat/>
    <w:uiPriority w:val="0"/>
    <w:rPr>
      <w:rFonts w:ascii="Calibri" w:hAnsi="Calibri" w:cs="Calibri"/>
      <w:color w:val="000000"/>
      <w:sz w:val="16"/>
      <w:szCs w:val="16"/>
      <w:u w:val="none"/>
    </w:rPr>
  </w:style>
  <w:style w:type="character" w:customStyle="1" w:styleId="21">
    <w:name w:val="font61"/>
    <w:basedOn w:val="10"/>
    <w:qFormat/>
    <w:uiPriority w:val="0"/>
    <w:rPr>
      <w:rFonts w:hint="eastAsia" w:ascii="宋体" w:hAnsi="宋体" w:eastAsia="宋体" w:cs="宋体"/>
      <w:color w:val="000000"/>
      <w:sz w:val="16"/>
      <w:szCs w:val="16"/>
      <w:u w:val="none"/>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header" Target="header3.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header" Target="header2.xml"/><Relationship Id="rId4" Type="http://schemas.openxmlformats.org/officeDocument/2006/relationships/header" Target="header1.xml"/><Relationship Id="rId34" Type="http://schemas.openxmlformats.org/officeDocument/2006/relationships/fontTable" Target="fontTable.xml"/><Relationship Id="rId33" Type="http://schemas.openxmlformats.org/officeDocument/2006/relationships/customXml" Target="../customXml/item2.xml"/><Relationship Id="rId32" Type="http://schemas.openxmlformats.org/officeDocument/2006/relationships/numbering" Target="numbering.xml"/><Relationship Id="rId31" Type="http://schemas.openxmlformats.org/officeDocument/2006/relationships/customXml" Target="../customXml/item1.xml"/><Relationship Id="rId30" Type="http://schemas.openxmlformats.org/officeDocument/2006/relationships/chart" Target="charts/chart6.xml"/><Relationship Id="rId3" Type="http://schemas.openxmlformats.org/officeDocument/2006/relationships/footer" Target="footer1.xml"/><Relationship Id="rId29" Type="http://schemas.openxmlformats.org/officeDocument/2006/relationships/chart" Target="charts/chart5.xml"/><Relationship Id="rId28" Type="http://schemas.openxmlformats.org/officeDocument/2006/relationships/chart" Target="charts/chart4.xml"/><Relationship Id="rId27" Type="http://schemas.openxmlformats.org/officeDocument/2006/relationships/chart" Target="charts/chart3.xml"/><Relationship Id="rId26" Type="http://schemas.openxmlformats.org/officeDocument/2006/relationships/chart" Target="charts/chart2.xml"/><Relationship Id="rId25" Type="http://schemas.openxmlformats.org/officeDocument/2006/relationships/chart" Target="charts/chart1.xml"/><Relationship Id="rId24" Type="http://schemas.openxmlformats.org/officeDocument/2006/relationships/image" Target="media/image14.png"/><Relationship Id="rId23" Type="http://schemas.openxmlformats.org/officeDocument/2006/relationships/image" Target="media/image13.png"/><Relationship Id="rId22" Type="http://schemas.openxmlformats.org/officeDocument/2006/relationships/image" Target="media/image12.png"/><Relationship Id="rId21" Type="http://schemas.openxmlformats.org/officeDocument/2006/relationships/image" Target="media/image11.png"/><Relationship Id="rId20" Type="http://schemas.openxmlformats.org/officeDocument/2006/relationships/image" Target="media/image10.png"/><Relationship Id="rId2" Type="http://schemas.openxmlformats.org/officeDocument/2006/relationships/settings" Target="settings.xml"/><Relationship Id="rId19" Type="http://schemas.openxmlformats.org/officeDocument/2006/relationships/image" Target="media/image9.png"/><Relationship Id="rId18" Type="http://schemas.openxmlformats.org/officeDocument/2006/relationships/image" Target="media/image8.png"/><Relationship Id="rId17" Type="http://schemas.openxmlformats.org/officeDocument/2006/relationships/image" Target="media/image7.png"/><Relationship Id="rId16" Type="http://schemas.openxmlformats.org/officeDocument/2006/relationships/image" Target="media/image6.png"/><Relationship Id="rId15" Type="http://schemas.openxmlformats.org/officeDocument/2006/relationships/image" Target="media/image5.jpeg"/><Relationship Id="rId14" Type="http://schemas.openxmlformats.org/officeDocument/2006/relationships/image" Target="media/image1.svg"/><Relationship Id="rId13" Type="http://schemas.openxmlformats.org/officeDocument/2006/relationships/image" Target="media/image4.png"/><Relationship Id="rId12" Type="http://schemas.openxmlformats.org/officeDocument/2006/relationships/image" Target="media/image3.jpeg"/><Relationship Id="rId11" Type="http://schemas.openxmlformats.org/officeDocument/2006/relationships/image" Target="media/image2.jpeg"/><Relationship Id="rId10" Type="http://schemas.openxmlformats.org/officeDocument/2006/relationships/image" Target="media/image1.jpeg"/><Relationship Id="rId1" Type="http://schemas.openxmlformats.org/officeDocument/2006/relationships/styles" Target="styles.xml"/></Relationships>
</file>

<file path=word/charts/_rels/chart1.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_rels/chart2.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_rels/chart3.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package" Target="../embeddings/Workbook4.xlsx"/></Relationships>
</file>

<file path=word/charts/_rels/chart4.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3.xlsx"/></Relationships>
</file>

<file path=word/charts/_rels/chart5.xml.rels><?xml version="1.0" encoding="UTF-8" standalone="yes"?>
<Relationships xmlns="http://schemas.openxmlformats.org/package/2006/relationships"><Relationship Id="rId3" Type="http://schemas.microsoft.com/office/2011/relationships/chartColorStyle" Target="colors6.xml"/><Relationship Id="rId2" Type="http://schemas.microsoft.com/office/2011/relationships/chartStyle" Target="style6.xml"/><Relationship Id="rId1" Type="http://schemas.openxmlformats.org/officeDocument/2006/relationships/package" Target="../embeddings/Workbook6.xlsx"/></Relationships>
</file>

<file path=word/charts/_rels/chart6.xml.rels><?xml version="1.0" encoding="UTF-8" standalone="yes"?>
<Relationships xmlns="http://schemas.openxmlformats.org/package/2006/relationships"><Relationship Id="rId3" Type="http://schemas.microsoft.com/office/2011/relationships/chartColorStyle" Target="colors5.xml"/><Relationship Id="rId2" Type="http://schemas.microsoft.com/office/2011/relationships/chartStyle" Target="style5.xml"/><Relationship Id="rId1" Type="http://schemas.openxmlformats.org/officeDocument/2006/relationships/package" Target="../embeddings/Workbook5.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1 </a:t>
            </a:r>
            <a:r>
              <a:rPr lang="zh-CN" altLang="en-US"/>
              <a:t>： </a:t>
            </a:r>
            <a:r>
              <a:rPr lang="en-US" altLang="zh-CN"/>
              <a:t>2022-2023</a:t>
            </a:r>
            <a:r>
              <a:rPr lang="zh-CN" altLang="en-US"/>
              <a:t>年度收支总计对比图</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收支总计</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2022年</c:v>
                </c:pt>
                <c:pt idx="1">
                  <c:v>2023年</c:v>
                </c:pt>
              </c:strCache>
            </c:strRef>
          </c:cat>
          <c:val>
            <c:numRef>
              <c:f>Sheet1!$B$2:$B$3</c:f>
              <c:numCache>
                <c:formatCode>General</c:formatCode>
                <c:ptCount val="2"/>
                <c:pt idx="0">
                  <c:v>10495.26</c:v>
                </c:pt>
                <c:pt idx="1">
                  <c:v>57350.99</c:v>
                </c:pt>
              </c:numCache>
            </c:numRef>
          </c:val>
        </c:ser>
        <c:dLbls>
          <c:showLegendKey val="0"/>
          <c:showVal val="1"/>
          <c:showCatName val="0"/>
          <c:showSerName val="0"/>
          <c:showPercent val="0"/>
          <c:showBubbleSize val="0"/>
        </c:dLbls>
        <c:gapWidth val="246"/>
        <c:overlap val="-28"/>
        <c:axId val="817088452"/>
        <c:axId val="587069473"/>
      </c:barChart>
      <c:catAx>
        <c:axId val="817088452"/>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587069473"/>
        <c:crosses val="autoZero"/>
        <c:auto val="1"/>
        <c:lblAlgn val="ctr"/>
        <c:lblOffset val="100"/>
        <c:noMultiLvlLbl val="0"/>
      </c:catAx>
      <c:valAx>
        <c:axId val="587069473"/>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1708845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2 </a:t>
            </a:r>
            <a:r>
              <a:rPr lang="zh-CN" altLang="en-US"/>
              <a:t>：收入决算构成情况</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Lbls>
            <c:dLbl>
              <c:idx val="1"/>
              <c:layout>
                <c:manualLayout>
                  <c:x val="-0.00144962551340904"/>
                  <c:y val="0.0344241393965151"/>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112954820004832"/>
                  <c:y val="0.0879511262243513"/>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3"/>
              <c:layout>
                <c:manualLayout>
                  <c:x val="-0.218111602020149"/>
                  <c:y val="0.276433914154653"/>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4"/>
              <c:layout>
                <c:manualLayout>
                  <c:x val="-0.162301150368956"/>
                  <c:y val="0.128325116874743"/>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5"/>
              <c:layout>
                <c:manualLayout>
                  <c:x val="0.197873882580333"/>
                  <c:y val="0.18593285167870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bestFit"/>
            <c:showLegendKey val="1"/>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Sheet1!$A$2:$A$7</c:f>
              <c:strCache>
                <c:ptCount val="6"/>
                <c:pt idx="0">
                  <c:v>财政拨款收入</c:v>
                </c:pt>
                <c:pt idx="1">
                  <c:v>上级补助收入</c:v>
                </c:pt>
                <c:pt idx="2">
                  <c:v>事业收入</c:v>
                </c:pt>
                <c:pt idx="3">
                  <c:v>经营收入</c:v>
                </c:pt>
                <c:pt idx="4">
                  <c:v>附属单位上缴收入</c:v>
                </c:pt>
                <c:pt idx="5">
                  <c:v>其他收入</c:v>
                </c:pt>
              </c:strCache>
            </c:strRef>
          </c:cat>
          <c:val>
            <c:numRef>
              <c:f>Sheet1!$B$2:$B$7</c:f>
              <c:numCache>
                <c:formatCode>General</c:formatCode>
                <c:ptCount val="6"/>
                <c:pt idx="0">
                  <c:v>572846132.05</c:v>
                </c:pt>
                <c:pt idx="1">
                  <c:v>0</c:v>
                </c:pt>
                <c:pt idx="2">
                  <c:v>0</c:v>
                </c:pt>
                <c:pt idx="3">
                  <c:v>0</c:v>
                </c:pt>
                <c:pt idx="4">
                  <c:v>0</c:v>
                </c:pt>
                <c:pt idx="5">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baseline="0">
                <a:solidFill>
                  <a:schemeClr val="tx1">
                    <a:lumMod val="75000"/>
                    <a:lumOff val="25000"/>
                  </a:schemeClr>
                </a:solidFill>
                <a:latin typeface="+mn-lt"/>
                <a:ea typeface="+mn-ea"/>
                <a:cs typeface="+mn-cs"/>
              </a:defRPr>
            </a:pPr>
            <a:r>
              <a:rPr lang="zh-CN" altLang="en-US" b="0"/>
              <a:t>图 </a:t>
            </a:r>
            <a:r>
              <a:rPr lang="en-US" altLang="zh-CN" b="0"/>
              <a:t>3 </a:t>
            </a:r>
            <a:r>
              <a:rPr lang="zh-CN" altLang="en-US" b="0"/>
              <a:t>：支出决算构成情况图</a:t>
            </a:r>
            <a:endParaRPr lang="zh-CN" altLang="en-US" b="0"/>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Lbls>
            <c:dLbl>
              <c:idx val="2"/>
              <c:layout>
                <c:manualLayout>
                  <c:x val="-0.0966417008939357"/>
                  <c:y val="0.0478113047173821"/>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3"/>
              <c:layout>
                <c:manualLayout>
                  <c:x val="0.140135298381251"/>
                  <c:y val="0.106225669360773"/>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4"/>
              <c:layout>
                <c:manualLayout>
                  <c:x val="-0.184460014496255"/>
                  <c:y val="0.189523586912992"/>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bestFit"/>
            <c:showLegendKey val="1"/>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Sheet1!$A$2:$A$6</c:f>
              <c:strCache>
                <c:ptCount val="5"/>
                <c:pt idx="0">
                  <c:v>基本支出</c:v>
                </c:pt>
                <c:pt idx="1">
                  <c:v>项目支出</c:v>
                </c:pt>
                <c:pt idx="2">
                  <c:v>上缴上级支出</c:v>
                </c:pt>
                <c:pt idx="3">
                  <c:v>经营支出</c:v>
                </c:pt>
                <c:pt idx="4">
                  <c:v>对附属单位补助支出</c:v>
                </c:pt>
              </c:strCache>
            </c:strRef>
          </c:cat>
          <c:val>
            <c:numRef>
              <c:f>Sheet1!$B$2:$B$6</c:f>
              <c:numCache>
                <c:formatCode>General</c:formatCode>
                <c:ptCount val="5"/>
                <c:pt idx="0">
                  <c:v>13018159.57</c:v>
                </c:pt>
                <c:pt idx="1">
                  <c:v>560436028.47</c:v>
                </c:pt>
                <c:pt idx="2">
                  <c:v>0</c:v>
                </c:pt>
                <c:pt idx="3">
                  <c:v>0</c:v>
                </c:pt>
                <c:pt idx="4">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4 </a:t>
            </a:r>
            <a:r>
              <a:rPr lang="zh-CN" altLang="en-US"/>
              <a:t>：</a:t>
            </a:r>
            <a:r>
              <a:rPr lang="en-US" altLang="zh-CN"/>
              <a:t>2022-2023</a:t>
            </a:r>
            <a:r>
              <a:rPr lang="zh-CN" altLang="en-US"/>
              <a:t>年度财政拨款收支对比图</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2022年</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财政拨款收入</c:v>
                </c:pt>
                <c:pt idx="1">
                  <c:v>财政拨款支出</c:v>
                </c:pt>
              </c:strCache>
            </c:strRef>
          </c:cat>
          <c:val>
            <c:numRef>
              <c:f>Sheet1!$B$2:$B$3</c:f>
              <c:numCache>
                <c:formatCode>General</c:formatCode>
                <c:ptCount val="2"/>
                <c:pt idx="0">
                  <c:v>10311.09</c:v>
                </c:pt>
                <c:pt idx="1">
                  <c:v>10425.08</c:v>
                </c:pt>
              </c:numCache>
            </c:numRef>
          </c:val>
        </c:ser>
        <c:ser>
          <c:idx val="1"/>
          <c:order val="1"/>
          <c:tx>
            <c:strRef>
              <c:f>Sheet1!$C$1</c:f>
              <c:strCache>
                <c:ptCount val="1"/>
                <c:pt idx="0">
                  <c:v>2023年</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财政拨款收入</c:v>
                </c:pt>
                <c:pt idx="1">
                  <c:v>财政拨款支出</c:v>
                </c:pt>
              </c:strCache>
            </c:strRef>
          </c:cat>
          <c:val>
            <c:numRef>
              <c:f>Sheet1!$C$2:$C$3</c:f>
              <c:numCache>
                <c:formatCode>General</c:formatCode>
                <c:ptCount val="2"/>
                <c:pt idx="0">
                  <c:v>57284.61</c:v>
                </c:pt>
                <c:pt idx="1">
                  <c:v>57345.42</c:v>
                </c:pt>
              </c:numCache>
            </c:numRef>
          </c:val>
        </c:ser>
        <c:dLbls>
          <c:showLegendKey val="0"/>
          <c:showVal val="1"/>
          <c:showCatName val="0"/>
          <c:showSerName val="0"/>
          <c:showPercent val="0"/>
          <c:showBubbleSize val="0"/>
        </c:dLbls>
        <c:gapWidth val="246"/>
        <c:overlap val="-28"/>
        <c:axId val="40225855"/>
        <c:axId val="660958640"/>
      </c:barChart>
      <c:catAx>
        <c:axId val="40225855"/>
        <c:scaling>
          <c:orientation val="minMax"/>
        </c:scaling>
        <c:delete val="0"/>
        <c:axPos val="b"/>
        <c:numFmt formatCode="General" sourceLinked="0"/>
        <c:majorTickMark val="out"/>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660958640"/>
        <c:crosses val="autoZero"/>
        <c:auto val="1"/>
        <c:lblAlgn val="ctr"/>
        <c:lblOffset val="100"/>
        <c:noMultiLvlLbl val="0"/>
      </c:catAx>
      <c:valAx>
        <c:axId val="660958640"/>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out"/>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0225855"/>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5 :</a:t>
            </a:r>
            <a:r>
              <a:rPr lang="zh-CN" altLang="en-US"/>
              <a:t>财政拨款收支预算对比图</a:t>
            </a:r>
            <a:endParaRPr lang="zh-CN" altLang="en-US"/>
          </a:p>
        </c:rich>
      </c:tx>
      <c:layout/>
      <c:overlay val="0"/>
      <c:spPr>
        <a:noFill/>
        <a:ln>
          <a:noFill/>
        </a:ln>
        <a:effectLst/>
      </c:spPr>
    </c:title>
    <c:autoTitleDeleted val="0"/>
    <c:plotArea>
      <c:layout>
        <c:manualLayout>
          <c:layoutTarget val="inner"/>
          <c:xMode val="edge"/>
          <c:yMode val="edge"/>
          <c:x val="0.17641942498188"/>
          <c:y val="0.160433489162771"/>
          <c:w val="0.795796086011114"/>
          <c:h val="0.474330641733957"/>
        </c:manualLayout>
      </c:layout>
      <c:barChart>
        <c:barDir val="col"/>
        <c:grouping val="clustered"/>
        <c:varyColors val="0"/>
        <c:ser>
          <c:idx val="0"/>
          <c:order val="0"/>
          <c:tx>
            <c:strRef>
              <c:f>Sheet1!$B$1</c:f>
              <c:strCache>
                <c:ptCount val="1"/>
                <c:pt idx="0">
                  <c:v>年初预算数</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财政拨款收入</c:v>
                </c:pt>
                <c:pt idx="1">
                  <c:v>财政拨款支出</c:v>
                </c:pt>
              </c:strCache>
            </c:strRef>
          </c:cat>
          <c:val>
            <c:numRef>
              <c:f>Sheet1!$B$2:$B$3</c:f>
              <c:numCache>
                <c:formatCode>General</c:formatCode>
                <c:ptCount val="2"/>
                <c:pt idx="0">
                  <c:v>65559.38</c:v>
                </c:pt>
                <c:pt idx="1">
                  <c:v>65559.38</c:v>
                </c:pt>
              </c:numCache>
            </c:numRef>
          </c:val>
        </c:ser>
        <c:ser>
          <c:idx val="1"/>
          <c:order val="1"/>
          <c:tx>
            <c:strRef>
              <c:f>Sheet1!$C$1</c:f>
              <c:strCache>
                <c:ptCount val="1"/>
                <c:pt idx="0">
                  <c:v>决算数</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财政拨款收入</c:v>
                </c:pt>
                <c:pt idx="1">
                  <c:v>财政拨款支出</c:v>
                </c:pt>
              </c:strCache>
            </c:strRef>
          </c:cat>
          <c:val>
            <c:numRef>
              <c:f>Sheet1!$C$2:$C$3</c:f>
              <c:numCache>
                <c:formatCode>General</c:formatCode>
                <c:ptCount val="2"/>
                <c:pt idx="0">
                  <c:v>57284.61</c:v>
                </c:pt>
                <c:pt idx="1">
                  <c:v>57345.42</c:v>
                </c:pt>
              </c:numCache>
            </c:numRef>
          </c:val>
        </c:ser>
        <c:dLbls>
          <c:showLegendKey val="0"/>
          <c:showVal val="1"/>
          <c:showCatName val="0"/>
          <c:showSerName val="0"/>
          <c:showPercent val="0"/>
          <c:showBubbleSize val="0"/>
        </c:dLbls>
        <c:gapWidth val="150"/>
        <c:axId val="136214206"/>
        <c:axId val="897256872"/>
      </c:barChart>
      <c:catAx>
        <c:axId val="136214206"/>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97256872"/>
        <c:crosses val="autoZero"/>
        <c:auto val="1"/>
        <c:lblAlgn val="ctr"/>
        <c:lblOffset val="100"/>
        <c:noMultiLvlLbl val="0"/>
      </c:catAx>
      <c:valAx>
        <c:axId val="897256872"/>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3621420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400" b="1" i="0" u="none" strike="noStrike" kern="1200" baseline="0">
                <a:solidFill>
                  <a:schemeClr val="tx1">
                    <a:lumMod val="75000"/>
                    <a:lumOff val="25000"/>
                  </a:schemeClr>
                </a:solidFill>
                <a:latin typeface="+mn-lt"/>
                <a:ea typeface="+mn-ea"/>
                <a:cs typeface="+mn-cs"/>
              </a:defRPr>
            </a:pPr>
            <a:r>
              <a:rPr lang="zh-CN" altLang="en-US"/>
              <a:t>图</a:t>
            </a:r>
            <a:r>
              <a:rPr lang="en-US" altLang="zh-CN"/>
              <a:t>6  : </a:t>
            </a:r>
            <a:r>
              <a:rPr lang="zh-CN" altLang="en-US"/>
              <a:t>财政拨款支出决算构成情况图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Lbls>
            <c:dLbl>
              <c:idx val="0"/>
              <c:layout>
                <c:manualLayout>
                  <c:x val="0.00626956629221496"/>
                  <c:y val="-0.0201516968363722"/>
                </c:manualLayout>
              </c:layout>
              <c:dLblPos val="bestFit"/>
              <c:showLegendKey val="0"/>
              <c:showVal val="1"/>
              <c:showCatName val="0"/>
              <c:showSerName val="0"/>
              <c:showPercent val="0"/>
              <c:showBubbleSize val="0"/>
              <c:extLst>
                <c:ext xmlns:c15="http://schemas.microsoft.com/office/drawing/2012/chart" uri="{CE6537A1-D6FC-4f65-9D91-7224C49458BB}">
                  <c15:layout/>
                </c:ext>
              </c:extLst>
            </c:dLbl>
            <c:dLbl>
              <c:idx val="1"/>
              <c:layout>
                <c:manualLayout>
                  <c:x val="0.0810969339386437"/>
                  <c:y val="-0.0161955588538819"/>
                </c:manualLayout>
              </c:layout>
              <c:dLblPos val="bestFit"/>
              <c:showLegendKey val="0"/>
              <c:showVal val="1"/>
              <c:showCatName val="0"/>
              <c:showSerName val="0"/>
              <c:showPercent val="0"/>
              <c:showBubbleSize val="0"/>
              <c:extLst>
                <c:ext xmlns:c15="http://schemas.microsoft.com/office/drawing/2012/chart" uri="{CE6537A1-D6FC-4f65-9D91-7224C49458BB}">
                  <c15:layout/>
                </c:ext>
              </c:extLst>
            </c:dLbl>
            <c:dLbl>
              <c:idx val="2"/>
              <c:layout>
                <c:manualLayout>
                  <c:x val="0.106293292553625"/>
                  <c:y val="0.0254349199106937"/>
                </c:manualLayout>
              </c:layout>
              <c:dLblPos val="bestFit"/>
              <c:showLegendKey val="0"/>
              <c:showVal val="1"/>
              <c:showCatName val="0"/>
              <c:showSerName val="0"/>
              <c:showPercent val="0"/>
              <c:showBubbleSize val="0"/>
              <c:extLst>
                <c:ext xmlns:c15="http://schemas.microsoft.com/office/drawing/2012/chart" uri="{CE6537A1-D6FC-4f65-9D91-7224C49458BB}">
                  <c15:layout/>
                </c:ext>
              </c:extLst>
            </c:dLbl>
            <c:dLbl>
              <c:idx val="4"/>
              <c:layout>
                <c:manualLayout>
                  <c:x val="-0.0430941238707308"/>
                  <c:y val="-0.0161748854151113"/>
                </c:manualLayout>
              </c:layout>
              <c:dLblPos val="bestFit"/>
              <c:showLegendKey val="0"/>
              <c:showVal val="1"/>
              <c:showCatName val="0"/>
              <c:showSerName val="0"/>
              <c:showPercent val="0"/>
              <c:showBubbleSize val="0"/>
              <c:extLst>
                <c:ext xmlns:c15="http://schemas.microsoft.com/office/drawing/2012/chart" uri="{CE6537A1-D6FC-4f65-9D91-7224C49458BB}">
                  <c15:layout/>
                </c:ext>
              </c:extLst>
            </c:dLbl>
            <c:dLbl>
              <c:idx val="5"/>
              <c:layout>
                <c:manualLayout>
                  <c:x val="-0.161437819361835"/>
                  <c:y val="0.0116344296535682"/>
                </c:manualLayout>
              </c:layout>
              <c:dLblPos val="bestFit"/>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bestFit"/>
            <c:showLegendKey val="0"/>
            <c:showVal val="1"/>
            <c:showCatName val="0"/>
            <c:showSerName val="0"/>
            <c:showPercent val="0"/>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Sheet1!$A$2:$A$7</c:f>
              <c:strCache>
                <c:ptCount val="6"/>
                <c:pt idx="0">
                  <c:v>一般公共服务支出</c:v>
                </c:pt>
                <c:pt idx="1">
                  <c:v>社会保障和就业支出</c:v>
                </c:pt>
                <c:pt idx="2">
                  <c:v>卫生健康支出</c:v>
                </c:pt>
                <c:pt idx="3">
                  <c:v>资源勘探工业信息等支出</c:v>
                </c:pt>
                <c:pt idx="4">
                  <c:v>住房保障支出</c:v>
                </c:pt>
                <c:pt idx="5">
                  <c:v>其他支出</c:v>
                </c:pt>
              </c:strCache>
            </c:strRef>
          </c:cat>
          <c:val>
            <c:numRef>
              <c:f>Sheet1!$B$2:$B$7</c:f>
              <c:numCache>
                <c:formatCode>General</c:formatCode>
                <c:ptCount val="6"/>
                <c:pt idx="0">
                  <c:v>1315.74</c:v>
                </c:pt>
                <c:pt idx="1">
                  <c:v>120.66</c:v>
                </c:pt>
                <c:pt idx="2">
                  <c:v>70.96</c:v>
                </c:pt>
                <c:pt idx="3">
                  <c:v>55528.82</c:v>
                </c:pt>
                <c:pt idx="4">
                  <c:v>99.6</c:v>
                </c:pt>
                <c:pt idx="5">
                  <c:v>209.64</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1097ABCA-4227-4EFF-8EB9-5F1F21DB3EB7}">
  <ds:schemaRefs/>
</ds:datastoreItem>
</file>

<file path=docProps/app.xml><?xml version="1.0" encoding="utf-8"?>
<Properties xmlns="http://schemas.openxmlformats.org/officeDocument/2006/extended-properties" xmlns:vt="http://schemas.openxmlformats.org/officeDocument/2006/docPropsVTypes">
  <Template>Normal.dotm</Template>
  <Company>神州网信技术有限公司</Company>
  <Pages>28</Pages>
  <Words>5714</Words>
  <Characters>6279</Characters>
  <Lines>86</Lines>
  <Paragraphs>24</Paragraphs>
  <TotalTime>2</TotalTime>
  <ScaleCrop>false</ScaleCrop>
  <LinksUpToDate>false</LinksUpToDate>
  <CharactersWithSpaces>6320</CharactersWithSpaces>
  <Application>WPS Office_11.8.2.12313_F1E327BC-269C-435d-A152-05C5408002CA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2023-08-05T07:55:00Z</dcterms:created>
  <dc:creator>王明新TIAD</dc:creator>
  <cp:lastModifiedBy>admin123</cp:lastModifiedBy>
  <cp:lastPrinted>2023-08-05T01:00:00Z</cp:lastPrinted>
  <dcterms:modified xsi:type="dcterms:W3CDTF">2025-09-10T18:20:48Z</dcterms:modified>
  <cp:revision>17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2052-11.8.2.12313</vt:lpwstr>
  </property>
  <property fmtid="{D5CDD505-2E9C-101B-9397-08002B2CF9AE}" pid="3" name="KSOTemplateUUID">
    <vt:lpwstr>v1.0_mb_S7ajbG3IpAnL1wSthNCxfw==</vt:lpwstr>
  </property>
  <property fmtid="{D5CDD505-2E9C-101B-9397-08002B2CF9AE}" pid="4" name="ICV">
    <vt:lpwstr>6388C71828994EE68F92E15B0CED978C</vt:lpwstr>
  </property>
</Properties>
</file>