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mc:AlternateContent>
          <mc:Choice Requires="wps">
            <w:drawing>
              <wp:anchor distT="0" distB="0" distL="114300" distR="114300" simplePos="0" relativeHeight="251661312" behindDoc="0" locked="0" layoutInCell="1" allowOverlap="1">
                <wp:simplePos x="0" y="0"/>
                <wp:positionH relativeFrom="column">
                  <wp:posOffset>321945</wp:posOffset>
                </wp:positionH>
                <wp:positionV relativeFrom="paragraph">
                  <wp:posOffset>5481320</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302003</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：石家庄市电子政务中心</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5.35pt;margin-top:431.6pt;height:84pt;width:431.7pt;z-index:251661312;mso-width-relative:page;mso-height-relative:page;" filled="f" stroked="f" coordsize="21600,21600" o:gfxdata="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FgAA&#10;AGRycy9QSwECFAAUAAAACACHTuJA1HPTLtcAAAALAQAADwAAAAAAAAABACAAAAA4AAAAZHJzL2Rv&#10;d25yZXYueG1sUEsBAhQAFAAAAAgAh07iQPFjU2wlAgAAKgQAAA4AAAAAAAAAAQAgAAAAPAEAAGRy&#10;cy9lMm9Eb2MueG1sUEsFBgAAAAAGAAYAWQEAANMFAAAAAA==&#10;">
                <v:fill on="f" focussize="0,0"/>
                <v:stroke on="f" miterlimit="8" joinstyle="miter"/>
                <v:imagedata o:title=""/>
                <o:lock v:ext="edit" aspectratio="f"/>
                <v:textbo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302003</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：石家庄市电子政务中心</w:t>
                      </w:r>
                    </w:p>
                  </w:txbxContent>
                </v:textbox>
              </v:shape>
            </w:pict>
          </mc:Fallback>
        </mc:AlternateContent>
      </w:r>
      <w:r>
        <w:drawing>
          <wp:anchor distT="0" distB="0" distL="114300" distR="114300" simplePos="0" relativeHeight="251668480" behindDoc="0" locked="0" layoutInCell="1" allowOverlap="1">
            <wp:simplePos x="0" y="0"/>
            <wp:positionH relativeFrom="column">
              <wp:posOffset>2194560</wp:posOffset>
            </wp:positionH>
            <wp:positionV relativeFrom="paragraph">
              <wp:posOffset>2134870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4421505</wp:posOffset>
            </wp:positionH>
            <wp:positionV relativeFrom="paragraph">
              <wp:posOffset>2134870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4384" behindDoc="0" locked="0" layoutInCell="1" allowOverlap="1">
                <wp:simplePos x="0" y="0"/>
                <wp:positionH relativeFrom="column">
                  <wp:posOffset>-2453005</wp:posOffset>
                </wp:positionH>
                <wp:positionV relativeFrom="paragraph">
                  <wp:posOffset>2132330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193.15pt;margin-top:167.9pt;height:113.95pt;width:712.85pt;z-index:251664384;mso-width-relative:page;mso-height-relative:page;" coordorigin="-3504,4387" coordsize="19200,2716" o:gfxdata="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">
                <o:lock v:ext="edit" aspectratio="f"/>
                <v:rect id="矩形 19" o:spid="_x0000_s1026" o:spt="1" style="position:absolute;left:-381;top:4387;height:2457;width:1834;v-text-anchor:middle;" fillcolor="#0176AB" filled="t" stroked="f" coordsize="21600,21600" o:gfxdata="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3/j978AAAADdAAAADwAAAAAAAAABACAAAAA4AAAAZHJzL2Rvd25y&#10;ZXYueG1sUEsBAhQAFAAAAAgAh07iQDMvBZ47AAAAOQAAABAAAAAAAAAAAQAgAAAAJQEAAGRycy9z&#10;aGFwZXhtbC54bWxQSwUGAAAAAAYABgBbAQAAzwMAAAAA&#10;">
                  <v:fill on="t" focussize="0,0"/>
                  <v:stroke on="f"/>
                  <v:imagedata o:title=""/>
                  <o:lock v:ext="edit" aspectratio="f"/>
                </v:rect>
                <v:shape id="矩形 24" o:spid="_x0000_s1026" o:spt="100" style="position:absolute;left:-3504;top:6953;height:150;width:11815;" fillcolor="#E5AA57" filled="t" stroked="f" coordsize="7501732,94593" o:gfxdata="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67456" behindDoc="0" locked="0" layoutInCell="1" allowOverlap="1">
            <wp:simplePos x="0" y="0"/>
            <wp:positionH relativeFrom="column">
              <wp:posOffset>-44450</wp:posOffset>
            </wp:positionH>
            <wp:positionV relativeFrom="paragraph">
              <wp:posOffset>2134870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2"/>
                    <a:stretch>
                      <a:fillRect/>
                    </a:stretch>
                  </pic:blipFill>
                  <pic:spPr>
                    <a:xfrm>
                      <a:off x="0" y="0"/>
                      <a:ext cx="215900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2336;mso-width-relative:page;mso-height-relative:page;" coordorigin="12098,1831" coordsize="9377,2969" o:gfxdata="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">
                <o:lock v:ext="edit" aspectratio="f"/>
                <v:shape id="文本框 32" o:spid="_x0000_s1026" o:spt="202" type="#_x0000_t202" style="position:absolute;left:13325;top:1831;height:1348;width:4462;" filled="f" stroked="f" coordsize="21600,21600" o:gfxdata="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DqDuuy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">
                  <o:lock v:ext="edit" aspectratio="f"/>
                  <v:shape id="文本框 32" o:spid="_x0000_s1026" o:spt="202" type="#_x0000_t202" style="position:absolute;left:6119;top:2843;height:1421;width:9377;" filled="f" stroked="f" coordsize="21600,21600" o:gfxdata="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EEsIDe7AAAA2wAAAA8AAAAAAAAAAQAgAAAAOAAAAGRycy9kb3ducmV2Lnht&#10;bFBLAQIUABQAAAAIAIdO4kAzLwWeOwAAADkAAAAQAAAAAAAAAAEAIAAAACABAABkcnMvc2hhcGV4&#10;bWwueG1sUEsFBgAAAAAGAAYAWwEAAMoDA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">
                    <v:fill on="f" focussize="0,0"/>
                    <v:stroke weight="2.25pt" color="#41719C [3204]" miterlimit="8" joinstyle="miter" dashstyle="1 1"/>
                    <v:imagedata o:title=""/>
                    <o:lock v:ext="edit" aspectratio="f"/>
                  </v:line>
                </v:group>
              </v:group>
            </w:pict>
          </mc:Fallback>
        </mc:AlternateContent>
      </w:r>
      <w:r>
        <w:drawing>
          <wp:anchor distT="0" distB="0" distL="114300" distR="114300" simplePos="0" relativeHeight="251665408"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a:extLst xmlns:a="http://schemas.openxmlformats.org/drawingml/2006/main">
                <a:ext uri="{7FBC4E63-A832-4D11-8238-D91031DB1400}">
                  <s:tag xmlns="http://www.wps.cn/officeDocument/2013/wpsCustomData" xmlns:s="http://www.wps.cn/officeDocument/2013/wpsCustomData">
                    <s:item s:name="KSO_DOCER_RESOURCE_TRACE_INFO" s:val="{&quot;id&quot;:&quot;21591575&quot;,&quot;origin&quot;:0,&quot;type&quot;:&quot;icons&quot;,&quot;user&quot;:&quot;292216292&quot;}"/>
                  </s:tag>
                </a:ext>
              </a:extLst>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3360"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88.2pt;margin-top:625.4pt;height:41pt;width:256.7pt;z-index:251663360;mso-width-relative:page;mso-height-relative:page;" filled="f" stroked="f" coordsize="21600,21600" o:gfxdata="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FgAA&#10;AGRycy9QSwECFAAUAAAACACHTuJA7OewcdgAAAANAQAADwAAAAAAAAABACAAAAA4AAAAZHJzL2Rv&#10;d25yZXYueG1sUEsBAhQAFAAAAAgAh07iQCAHsIskAgAAKgQAAA4AAAAAAAAAAQAgAAAAPQEAAGRy&#10;cy9lMm9Eb2MueG1sUEsFBgAAAAAGAAYAWQEAANMFAAAAAA==&#10;">
                <v:fill on="f" focussize="0,0"/>
                <v:stroke on="f" miterlimit="8" joinstyle="miter"/>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BYAAABkcnMvUEsBAhQAFAAAAAgAh07iQFmpZa/YAAAACwEAAA8AAAAAAAAAAQAgAAAA&#10;OAAAAGRycy9kb3ducmV2LnhtbFBLAQIUABQAAAAIAIdO4kBbvW5XvAEAAF8DAAAOAAAAAAAAAAEA&#10;IAAAAD0BAABkcnMvZTJvRG9jLnhtbFBLBQYAAAAABgAGAFkBAABrBQ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w:drawing>
          <wp:anchor distT="0" distB="0" distL="114300" distR="11430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br w:type="page"/>
      </w:r>
    </w:p>
    <w:p>
      <w:pPr>
        <w:rPr>
          <w:rFonts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z w:val="72"/>
          <w:szCs w:val="96"/>
        </w:rPr>
      </w:pPr>
    </w:p>
    <w:p>
      <w:pPr>
        <w:keepNext w:val="0"/>
        <w:keepLines w:val="0"/>
        <w:pageBreakBefore w:val="0"/>
        <w:widowControl w:val="0"/>
        <w:kinsoku/>
        <w:wordWrap/>
        <w:overflowPunct/>
        <w:topLinePunct w:val="0"/>
        <w:autoSpaceDE/>
        <w:autoSpaceDN/>
        <w:bidi w:val="0"/>
        <w:adjustRightInd/>
        <w:snapToGrid/>
        <w:jc w:val="center"/>
        <w:textAlignment w:val="auto"/>
        <w:rPr>
          <w:rFonts w:hint="eastAsia" w:ascii="黑体" w:hAnsi="黑体" w:eastAsia="黑体" w:cs="黑体"/>
          <w:b/>
          <w:bCs/>
          <w:color w:val="auto"/>
          <w:spacing w:val="-20"/>
          <w:kern w:val="0"/>
          <w:sz w:val="72"/>
          <w:szCs w:val="72"/>
        </w:rPr>
      </w:pPr>
      <w:r>
        <w:rPr>
          <w:rFonts w:hint="eastAsia" w:ascii="黑体" w:hAnsi="黑体" w:eastAsia="黑体" w:cs="黑体"/>
          <w:b/>
          <w:bCs/>
          <w:color w:val="auto"/>
          <w:spacing w:val="-20"/>
          <w:kern w:val="0"/>
          <w:sz w:val="72"/>
          <w:szCs w:val="72"/>
        </w:rPr>
        <w:t>2023年度</w:t>
      </w:r>
      <w:r>
        <w:rPr>
          <w:rFonts w:hint="eastAsia" w:ascii="黑体" w:hAnsi="黑体" w:eastAsia="黑体" w:cs="黑体"/>
          <w:b/>
          <w:bCs/>
          <w:color w:val="auto"/>
          <w:spacing w:val="-20"/>
          <w:kern w:val="0"/>
          <w:sz w:val="72"/>
          <w:szCs w:val="72"/>
          <w:lang w:eastAsia="zh-CN"/>
        </w:rPr>
        <w:t>单位</w:t>
      </w:r>
      <w:r>
        <w:rPr>
          <w:rFonts w:hint="eastAsia" w:ascii="黑体" w:hAnsi="黑体" w:eastAsia="黑体" w:cs="黑体"/>
          <w:b/>
          <w:bCs/>
          <w:color w:val="auto"/>
          <w:spacing w:val="-20"/>
          <w:kern w:val="0"/>
          <w:sz w:val="72"/>
          <w:szCs w:val="72"/>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outlineLvl w:val="0"/>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石家庄市电子政务中心</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outlineLvl w:val="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outlineLvl w:val="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outlineLvl w:val="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概况</w:t>
      </w:r>
    </w:p>
    <w:p>
      <w:pPr>
        <w:widowControl/>
        <w:spacing w:line="580" w:lineRule="exact"/>
        <w:ind w:firstLine="640" w:firstLineChars="200"/>
        <w:rPr>
          <w:rFonts w:eastAsia="黑体"/>
          <w:sz w:val="32"/>
          <w:szCs w:val="32"/>
        </w:rPr>
      </w:pPr>
    </w:p>
    <w:p>
      <w:pPr>
        <w:pStyle w:val="3"/>
        <w:spacing w:before="0" w:after="0" w:line="580" w:lineRule="exact"/>
        <w:ind w:firstLine="640" w:firstLineChars="200"/>
        <w:jc w:val="left"/>
        <w:outlineLvl w:val="1"/>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（一）负责全市电子政务发展规划及统筹协调； </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 xml:space="preserve">（二）负责全市电子政务网络及应用系统平台建设管理； </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lang w:val="en-US" w:eastAsia="zh-CN"/>
        </w:rPr>
        <w:t>（三）负责全市各类数据和信息资源的搜集整理发布、提供服务、对外宣传等工作。</w:t>
      </w:r>
    </w:p>
    <w:p>
      <w:pPr>
        <w:keepNext/>
        <w:keepLines/>
        <w:spacing w:line="580" w:lineRule="exact"/>
        <w:ind w:firstLine="640" w:firstLineChars="200"/>
        <w:jc w:val="left"/>
        <w:outlineLvl w:val="1"/>
        <w:rPr>
          <w:rFonts w:ascii="黑体" w:hAnsi="Calibri" w:eastAsia="黑体" w:cs="黑体"/>
          <w:kern w:val="0"/>
          <w:sz w:val="32"/>
          <w:szCs w:val="32"/>
        </w:rPr>
      </w:pPr>
      <w:r>
        <w:rPr>
          <w:rFonts w:hint="eastAsia" w:ascii="黑体" w:hAnsi="Calibri" w:eastAsia="黑体" w:cs="黑体"/>
          <w:kern w:val="0"/>
          <w:sz w:val="32"/>
          <w:szCs w:val="32"/>
        </w:rPr>
        <w:t>二、机构设置</w:t>
      </w:r>
    </w:p>
    <w:p>
      <w:pPr>
        <w:autoSpaceDE w:val="0"/>
        <w:autoSpaceDN w:val="0"/>
        <w:adjustRightInd w:val="0"/>
        <w:spacing w:line="580" w:lineRule="exact"/>
        <w:ind w:firstLine="640" w:firstLineChars="200"/>
        <w:jc w:val="left"/>
        <w:rPr>
          <w:rFonts w:hint="default" w:ascii="Times New Roman" w:hAnsi="Times New Roman" w:eastAsia="仿宋_GB2312" w:cs="Times New Roman"/>
          <w:color w:val="auto"/>
          <w:kern w:val="2"/>
          <w:sz w:val="32"/>
          <w:szCs w:val="32"/>
          <w:rtl w:val="0"/>
          <w:lang w:val="zh-CN" w:eastAsia="zh-CN"/>
        </w:rPr>
      </w:pPr>
      <w:r>
        <w:rPr>
          <w:rFonts w:hint="eastAsia" w:ascii="Times New Roman" w:hAnsi="Times New Roman" w:eastAsia="仿宋_GB2312" w:cs="Times New Roman"/>
          <w:color w:val="auto"/>
          <w:kern w:val="2"/>
          <w:sz w:val="32"/>
          <w:szCs w:val="32"/>
          <w:rtl w:val="0"/>
          <w:lang w:val="zh-CN" w:eastAsia="zh-CN"/>
        </w:rPr>
        <w:t>从决算编报单位构成看，纳入2023年度本单位决算汇编范围的独立核算单位（以下简称“单位”）共</w:t>
      </w:r>
      <w:r>
        <w:rPr>
          <w:rFonts w:hint="eastAsia" w:ascii="Times New Roman" w:hAnsi="Times New Roman" w:eastAsia="仿宋_GB2312" w:cs="Times New Roman"/>
          <w:color w:val="auto"/>
          <w:kern w:val="2"/>
          <w:sz w:val="32"/>
          <w:szCs w:val="32"/>
          <w:rtl w:val="0"/>
          <w:lang w:val="en-US" w:eastAsia="zh-CN"/>
        </w:rPr>
        <w:t>1</w:t>
      </w:r>
      <w:r>
        <w:rPr>
          <w:rFonts w:hint="eastAsia" w:ascii="Times New Roman" w:hAnsi="Times New Roman" w:eastAsia="仿宋_GB2312" w:cs="Times New Roman"/>
          <w:color w:val="auto"/>
          <w:kern w:val="2"/>
          <w:sz w:val="32"/>
          <w:szCs w:val="32"/>
          <w:rtl w:val="0"/>
          <w:lang w:val="zh-CN" w:eastAsia="zh-CN"/>
        </w:rPr>
        <w:t>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061"/>
        <w:gridCol w:w="2563"/>
        <w:gridCol w:w="29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061"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6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971"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061"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石家庄市电子政务中心</w:t>
            </w:r>
          </w:p>
        </w:tc>
        <w:tc>
          <w:tcPr>
            <w:tcW w:w="256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971"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numPr>
          <w:ilvl w:val="0"/>
          <w:numId w:val="0"/>
        </w:numPr>
        <w:spacing w:after="312" w:afterLines="100" w:line="580" w:lineRule="exact"/>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kern w:val="2"/>
          <w:sz w:val="44"/>
          <w:szCs w:val="44"/>
          <w:lang w:val="en-US" w:eastAsia="zh-CN" w:bidi="ar-SA"/>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第二部分</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2023年度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决算表</w:t>
      </w:r>
    </w:p>
    <w:p>
      <w:pPr>
        <w:jc w:val="center"/>
        <w:rPr>
          <w:rFonts w:ascii="宋体" w:hAnsi="宋体" w:eastAsia="宋体" w:cs="宋体"/>
          <w:b/>
          <w:bCs/>
          <w:color w:val="000000"/>
          <w:kern w:val="0"/>
          <w:sz w:val="24"/>
          <w:szCs w:val="24"/>
          <w:lang w:bidi="ar"/>
        </w:rPr>
      </w:pPr>
      <w:r>
        <w:drawing>
          <wp:inline distT="0" distB="0" distL="114300" distR="114300">
            <wp:extent cx="5683885" cy="6934835"/>
            <wp:effectExtent l="0" t="0" r="12065" b="18415"/>
            <wp:docPr id="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pic:cNvPicPr>
                      <a:picLocks noChangeAspect="1"/>
                    </pic:cNvPicPr>
                  </pic:nvPicPr>
                  <pic:blipFill>
                    <a:blip r:embed="rId16"/>
                    <a:stretch>
                      <a:fillRect/>
                    </a:stretch>
                  </pic:blipFill>
                  <pic:spPr>
                    <a:xfrm>
                      <a:off x="0" y="0"/>
                      <a:ext cx="5683885" cy="6934835"/>
                    </a:xfrm>
                    <a:prstGeom prst="rect">
                      <a:avLst/>
                    </a:prstGeom>
                    <a:noFill/>
                    <a:ln>
                      <a:noFill/>
                    </a:ln>
                  </pic:spPr>
                </pic:pic>
              </a:graphicData>
            </a:graphic>
          </wp:inline>
        </w:drawing>
      </w:r>
      <w:r>
        <w:rPr>
          <w:rFonts w:hint="eastAsia" w:ascii="宋体" w:hAnsi="宋体" w:eastAsia="宋体" w:cs="宋体"/>
          <w:b/>
          <w:bCs/>
          <w:color w:val="000000"/>
          <w:kern w:val="0"/>
          <w:sz w:val="24"/>
          <w:szCs w:val="24"/>
          <w:lang w:bidi="ar"/>
        </w:rPr>
        <w:br w:type="page"/>
      </w:r>
    </w:p>
    <w:p>
      <w:pPr>
        <w:sectPr>
          <w:headerReference r:id="rId8" w:type="default"/>
          <w:pgSz w:w="11906" w:h="16838"/>
          <w:pgMar w:top="1474" w:right="1474" w:bottom="1474" w:left="1474" w:header="851" w:footer="992" w:gutter="0"/>
          <w:cols w:space="0" w:num="1"/>
          <w:docGrid w:type="lines" w:linePitch="312" w:charSpace="0"/>
        </w:sectPr>
      </w:pPr>
    </w:p>
    <w:p>
      <w:pPr>
        <w:sectPr>
          <w:pgSz w:w="11906" w:h="16838"/>
          <w:pgMar w:top="1474" w:right="1474" w:bottom="1474" w:left="1474" w:header="851" w:footer="992" w:gutter="0"/>
          <w:cols w:space="0" w:num="1"/>
          <w:docGrid w:type="lines" w:linePitch="312" w:charSpace="0"/>
        </w:sectPr>
      </w:pPr>
      <w:r>
        <w:drawing>
          <wp:inline distT="0" distB="0" distL="114300" distR="114300">
            <wp:extent cx="5683885" cy="4768850"/>
            <wp:effectExtent l="0" t="0" r="12065" b="12700"/>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17"/>
                    <a:stretch>
                      <a:fillRect/>
                    </a:stretch>
                  </pic:blipFill>
                  <pic:spPr>
                    <a:xfrm>
                      <a:off x="0" y="0"/>
                      <a:ext cx="5683885" cy="4768850"/>
                    </a:xfrm>
                    <a:prstGeom prst="rect">
                      <a:avLst/>
                    </a:prstGeom>
                    <a:noFill/>
                    <a:ln>
                      <a:noFill/>
                    </a:ln>
                  </pic:spPr>
                </pic:pic>
              </a:graphicData>
            </a:graphic>
          </wp:inline>
        </w:drawing>
      </w:r>
    </w:p>
    <w:p>
      <w:pPr>
        <w:sectPr>
          <w:pgSz w:w="11906" w:h="16838"/>
          <w:pgMar w:top="1474" w:right="1474" w:bottom="1474" w:left="1474" w:header="851" w:footer="992" w:gutter="0"/>
          <w:cols w:space="0" w:num="1"/>
          <w:docGrid w:type="lines" w:linePitch="312" w:charSpace="0"/>
        </w:sectPr>
      </w:pPr>
      <w:r>
        <w:drawing>
          <wp:inline distT="0" distB="0" distL="114300" distR="114300">
            <wp:extent cx="5680710" cy="4967605"/>
            <wp:effectExtent l="0" t="0" r="15240" b="4445"/>
            <wp:docPr id="1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3"/>
                    <pic:cNvPicPr>
                      <a:picLocks noChangeAspect="1"/>
                    </pic:cNvPicPr>
                  </pic:nvPicPr>
                  <pic:blipFill>
                    <a:blip r:embed="rId18"/>
                    <a:stretch>
                      <a:fillRect/>
                    </a:stretch>
                  </pic:blipFill>
                  <pic:spPr>
                    <a:xfrm>
                      <a:off x="0" y="0"/>
                      <a:ext cx="5680710" cy="4967605"/>
                    </a:xfrm>
                    <a:prstGeom prst="rect">
                      <a:avLst/>
                    </a:prstGeom>
                    <a:noFill/>
                    <a:ln>
                      <a:noFill/>
                    </a:ln>
                  </pic:spPr>
                </pic:pic>
              </a:graphicData>
            </a:graphic>
          </wp:inline>
        </w:drawing>
      </w:r>
    </w:p>
    <w:p>
      <w:pPr>
        <w:widowControl/>
        <w:jc w:val="center"/>
        <w:textAlignment w:val="center"/>
        <w:rPr>
          <w:rFonts w:ascii="华文中宋" w:hAnsi="华文中宋" w:eastAsia="华文中宋" w:cs="华文中宋"/>
          <w:color w:val="000000"/>
          <w:kern w:val="0"/>
          <w:sz w:val="32"/>
          <w:szCs w:val="32"/>
          <w:lang w:bidi="ar"/>
        </w:rPr>
      </w:pPr>
      <w:r>
        <w:drawing>
          <wp:inline distT="0" distB="0" distL="114300" distR="114300">
            <wp:extent cx="5681980" cy="6420485"/>
            <wp:effectExtent l="0" t="0" r="13970" b="18415"/>
            <wp:docPr id="1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pic:cNvPicPr>
                      <a:picLocks noChangeAspect="1"/>
                    </pic:cNvPicPr>
                  </pic:nvPicPr>
                  <pic:blipFill>
                    <a:blip r:embed="rId19"/>
                    <a:stretch>
                      <a:fillRect/>
                    </a:stretch>
                  </pic:blipFill>
                  <pic:spPr>
                    <a:xfrm>
                      <a:off x="0" y="0"/>
                      <a:ext cx="5681980" cy="6420485"/>
                    </a:xfrm>
                    <a:prstGeom prst="rect">
                      <a:avLst/>
                    </a:prstGeom>
                    <a:noFill/>
                    <a:ln>
                      <a:noFill/>
                    </a:ln>
                  </pic:spPr>
                </pic:pic>
              </a:graphicData>
            </a:graphic>
          </wp:inline>
        </w:drawing>
      </w:r>
      <w:r>
        <w:rPr>
          <w:rFonts w:hint="eastAsia" w:ascii="华文中宋" w:hAnsi="华文中宋" w:eastAsia="华文中宋" w:cs="华文中宋"/>
          <w:color w:val="000000"/>
          <w:kern w:val="0"/>
          <w:sz w:val="32"/>
          <w:szCs w:val="32"/>
          <w:lang w:bidi="ar"/>
        </w:rPr>
        <w:br w:type="page"/>
      </w:r>
    </w:p>
    <w:p>
      <w:pPr>
        <w:sectPr>
          <w:pgSz w:w="11906" w:h="16838"/>
          <w:pgMar w:top="1474" w:right="1474" w:bottom="1474" w:left="1474" w:header="851" w:footer="992" w:gutter="0"/>
          <w:cols w:space="0" w:num="1"/>
          <w:docGrid w:type="lines" w:linePitch="312" w:charSpace="0"/>
        </w:sectPr>
      </w:pPr>
    </w:p>
    <w:p>
      <w:pPr>
        <w:sectPr>
          <w:pgSz w:w="11906" w:h="16838"/>
          <w:pgMar w:top="1474" w:right="1474" w:bottom="1474" w:left="1474" w:header="851" w:footer="992" w:gutter="0"/>
          <w:cols w:space="0" w:num="1"/>
          <w:docGrid w:type="lines" w:linePitch="312" w:charSpace="0"/>
        </w:sectPr>
      </w:pPr>
      <w:r>
        <w:drawing>
          <wp:inline distT="0" distB="0" distL="114300" distR="114300">
            <wp:extent cx="5686425" cy="5974715"/>
            <wp:effectExtent l="0" t="0" r="9525" b="6985"/>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20"/>
                    <a:stretch>
                      <a:fillRect/>
                    </a:stretch>
                  </pic:blipFill>
                  <pic:spPr>
                    <a:xfrm>
                      <a:off x="0" y="0"/>
                      <a:ext cx="5686425" cy="5974715"/>
                    </a:xfrm>
                    <a:prstGeom prst="rect">
                      <a:avLst/>
                    </a:prstGeom>
                    <a:noFill/>
                    <a:ln>
                      <a:noFill/>
                    </a:ln>
                  </pic:spPr>
                </pic:pic>
              </a:graphicData>
            </a:graphic>
          </wp:inline>
        </w:drawing>
      </w:r>
    </w:p>
    <w:p>
      <w:pPr>
        <w:sectPr>
          <w:pgSz w:w="11906" w:h="16838"/>
          <w:pgMar w:top="1474" w:right="1474" w:bottom="1474" w:left="1474" w:header="851" w:footer="992" w:gutter="0"/>
          <w:cols w:space="0" w:num="1"/>
          <w:docGrid w:type="lines" w:linePitch="312" w:charSpace="0"/>
        </w:sectPr>
      </w:pPr>
      <w:r>
        <w:drawing>
          <wp:inline distT="0" distB="0" distL="114300" distR="114300">
            <wp:extent cx="5685790" cy="6149340"/>
            <wp:effectExtent l="0" t="0" r="10160" b="3810"/>
            <wp:docPr id="1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6"/>
                    <pic:cNvPicPr>
                      <a:picLocks noChangeAspect="1"/>
                    </pic:cNvPicPr>
                  </pic:nvPicPr>
                  <pic:blipFill>
                    <a:blip r:embed="rId21"/>
                    <a:stretch>
                      <a:fillRect/>
                    </a:stretch>
                  </pic:blipFill>
                  <pic:spPr>
                    <a:xfrm>
                      <a:off x="0" y="0"/>
                      <a:ext cx="5685790" cy="6149340"/>
                    </a:xfrm>
                    <a:prstGeom prst="rect">
                      <a:avLst/>
                    </a:prstGeom>
                    <a:noFill/>
                    <a:ln>
                      <a:noFill/>
                    </a:ln>
                  </pic:spPr>
                </pic:pic>
              </a:graphicData>
            </a:graphic>
          </wp:inline>
        </w:drawing>
      </w:r>
    </w:p>
    <w:p>
      <w:r>
        <w:drawing>
          <wp:inline distT="0" distB="0" distL="114300" distR="114300">
            <wp:extent cx="5688330" cy="2549525"/>
            <wp:effectExtent l="0" t="0" r="7620" b="3175"/>
            <wp:docPr id="1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
                    <pic:cNvPicPr>
                      <a:picLocks noChangeAspect="1"/>
                    </pic:cNvPicPr>
                  </pic:nvPicPr>
                  <pic:blipFill>
                    <a:blip r:embed="rId22"/>
                    <a:stretch>
                      <a:fillRect/>
                    </a:stretch>
                  </pic:blipFill>
                  <pic:spPr>
                    <a:xfrm>
                      <a:off x="0" y="0"/>
                      <a:ext cx="5688330" cy="2549525"/>
                    </a:xfrm>
                    <a:prstGeom prst="rect">
                      <a:avLst/>
                    </a:prstGeom>
                    <a:noFill/>
                    <a:ln>
                      <a:noFill/>
                    </a:ln>
                  </pic:spPr>
                </pic:pic>
              </a:graphicData>
            </a:graphic>
          </wp:inline>
        </w:drawing>
      </w:r>
    </w:p>
    <w:p/>
    <w:p/>
    <w:p/>
    <w:p/>
    <w:p/>
    <w:p/>
    <w:p/>
    <w:p/>
    <w:p/>
    <w:p/>
    <w:p/>
    <w:p/>
    <w:p/>
    <w:p/>
    <w:p/>
    <w:p/>
    <w:p/>
    <w:p/>
    <w:p/>
    <w:p/>
    <w:p/>
    <w:p/>
    <w:p>
      <w:r>
        <w:drawing>
          <wp:inline distT="0" distB="0" distL="114300" distR="114300">
            <wp:extent cx="5219700" cy="2733675"/>
            <wp:effectExtent l="0" t="0" r="0" b="9525"/>
            <wp:docPr id="21"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0"/>
                    <pic:cNvPicPr>
                      <a:picLocks noChangeAspect="1"/>
                    </pic:cNvPicPr>
                  </pic:nvPicPr>
                  <pic:blipFill>
                    <a:blip r:embed="rId23"/>
                    <a:stretch>
                      <a:fillRect/>
                    </a:stretch>
                  </pic:blipFill>
                  <pic:spPr>
                    <a:xfrm>
                      <a:off x="0" y="0"/>
                      <a:ext cx="5219700" cy="2733675"/>
                    </a:xfrm>
                    <a:prstGeom prst="rect">
                      <a:avLst/>
                    </a:prstGeom>
                    <a:noFill/>
                    <a:ln>
                      <a:noFill/>
                    </a:ln>
                  </pic:spPr>
                </pic:pic>
              </a:graphicData>
            </a:graphic>
          </wp:inline>
        </w:drawing>
      </w:r>
    </w:p>
    <w:p/>
    <w:p/>
    <w:p/>
    <w:p/>
    <w:p/>
    <w:p/>
    <w:p/>
    <w:p/>
    <w:p/>
    <w:p/>
    <w:p/>
    <w:p/>
    <w:p/>
    <w:p/>
    <w:p/>
    <w:p/>
    <w:p/>
    <w:p/>
    <w:p/>
    <w:p/>
    <w:p/>
    <w:p/>
    <w:p>
      <w:pPr>
        <w:sectPr>
          <w:pgSz w:w="11906" w:h="16838"/>
          <w:pgMar w:top="1474" w:right="1474" w:bottom="1474" w:left="1474" w:header="851" w:footer="992" w:gutter="0"/>
          <w:cols w:space="0" w:num="1"/>
          <w:docGrid w:type="lines" w:linePitch="312" w:charSpace="0"/>
        </w:sectPr>
      </w:pPr>
      <w:r>
        <w:drawing>
          <wp:inline distT="0" distB="0" distL="114300" distR="114300">
            <wp:extent cx="5687695" cy="1921510"/>
            <wp:effectExtent l="0" t="0" r="8255" b="2540"/>
            <wp:docPr id="22"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1"/>
                    <pic:cNvPicPr>
                      <a:picLocks noChangeAspect="1"/>
                    </pic:cNvPicPr>
                  </pic:nvPicPr>
                  <pic:blipFill>
                    <a:blip r:embed="rId24"/>
                    <a:stretch>
                      <a:fillRect/>
                    </a:stretch>
                  </pic:blipFill>
                  <pic:spPr>
                    <a:xfrm>
                      <a:off x="0" y="0"/>
                      <a:ext cx="5687695" cy="1921510"/>
                    </a:xfrm>
                    <a:prstGeom prst="rect">
                      <a:avLst/>
                    </a:prstGeom>
                    <a:noFill/>
                    <a:ln>
                      <a:noFill/>
                    </a:ln>
                  </pic:spPr>
                </pic:pic>
              </a:graphicData>
            </a:graphic>
          </wp:inline>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2023年度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决算情况说明</w:t>
      </w:r>
    </w:p>
    <w:p>
      <w:pPr>
        <w:rPr>
          <w:rFonts w:ascii="黑体" w:hAnsi="Calibri" w:eastAsia="黑体" w:cs="Times New Roman"/>
          <w:sz w:val="32"/>
          <w:szCs w:val="32"/>
        </w:rPr>
      </w:pPr>
    </w:p>
    <w:p>
      <w:pPr>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utoSpaceDE w:val="0"/>
        <w:autoSpaceDN w:val="0"/>
        <w:adjustRightInd w:val="0"/>
        <w:spacing w:line="580" w:lineRule="exact"/>
        <w:ind w:firstLine="640" w:firstLineChars="200"/>
        <w:jc w:val="left"/>
        <w:rPr>
          <w:rFonts w:hint="eastAsia" w:ascii="Times New Roman" w:hAnsi="Times New Roman" w:eastAsia="仿宋_GB2312" w:cs="Times New Roman"/>
          <w:color w:val="auto"/>
          <w:kern w:val="2"/>
          <w:sz w:val="32"/>
          <w:szCs w:val="32"/>
          <w:rtl w:val="0"/>
          <w:lang w:val="en-US" w:eastAsia="zh-CN"/>
        </w:rPr>
      </w:pPr>
      <w:r>
        <w:rPr>
          <w:rFonts w:hint="eastAsia" w:ascii="Times New Roman" w:hAnsi="Times New Roman" w:eastAsia="仿宋_GB2312" w:cs="Times New Roman"/>
          <w:color w:val="auto"/>
          <w:kern w:val="2"/>
          <w:sz w:val="32"/>
          <w:szCs w:val="32"/>
          <w:rtl w:val="0"/>
          <w:lang w:val="en-US" w:eastAsia="zh-CN"/>
        </w:rPr>
        <w:t>本单位2023年度收、支总计（含结转和结余）</w:t>
      </w:r>
      <w:r>
        <w:rPr>
          <w:rFonts w:hint="default" w:ascii="Times New Roman" w:hAnsi="Times New Roman" w:eastAsia="仿宋_GB2312" w:cs="Times New Roman"/>
          <w:color w:val="auto"/>
          <w:kern w:val="2"/>
          <w:sz w:val="32"/>
          <w:szCs w:val="32"/>
          <w:rtl w:val="0"/>
          <w:lang w:val="zh-CN" w:eastAsia="zh-CN"/>
        </w:rPr>
        <w:t>56</w:t>
      </w:r>
      <w:r>
        <w:rPr>
          <w:rFonts w:hint="eastAsia" w:ascii="Times New Roman" w:hAnsi="Times New Roman" w:eastAsia="仿宋_GB2312" w:cs="Times New Roman"/>
          <w:color w:val="auto"/>
          <w:kern w:val="2"/>
          <w:sz w:val="32"/>
          <w:szCs w:val="32"/>
          <w:rtl w:val="0"/>
          <w:lang w:val="zh-CN" w:eastAsia="zh-CN"/>
        </w:rPr>
        <w:t>，</w:t>
      </w:r>
      <w:r>
        <w:rPr>
          <w:rFonts w:hint="default" w:ascii="Times New Roman" w:hAnsi="Times New Roman" w:eastAsia="仿宋_GB2312" w:cs="Times New Roman"/>
          <w:color w:val="auto"/>
          <w:kern w:val="2"/>
          <w:sz w:val="32"/>
          <w:szCs w:val="32"/>
          <w:rtl w:val="0"/>
          <w:lang w:val="zh-CN" w:eastAsia="zh-CN"/>
        </w:rPr>
        <w:t>525.12</w:t>
      </w:r>
      <w:r>
        <w:rPr>
          <w:rFonts w:hint="eastAsia" w:ascii="Times New Roman" w:hAnsi="Times New Roman" w:eastAsia="仿宋_GB2312" w:cs="Times New Roman"/>
          <w:color w:val="auto"/>
          <w:kern w:val="2"/>
          <w:sz w:val="32"/>
          <w:szCs w:val="32"/>
          <w:rtl w:val="0"/>
          <w:lang w:val="en-US" w:eastAsia="zh-CN"/>
        </w:rPr>
        <w:t>万元。与2022年度决算相比，收支各增加</w:t>
      </w:r>
      <w:r>
        <w:rPr>
          <w:rFonts w:hint="eastAsia" w:ascii="Times New Roman" w:hAnsi="Times New Roman" w:eastAsia="仿宋_GB2312" w:cs="Times New Roman"/>
          <w:color w:val="auto"/>
          <w:kern w:val="2"/>
          <w:sz w:val="32"/>
          <w:szCs w:val="32"/>
          <w:rtl w:val="0"/>
          <w:lang w:val="zh-CN" w:eastAsia="zh-CN"/>
        </w:rPr>
        <w:t>47，051.77</w:t>
      </w:r>
      <w:r>
        <w:rPr>
          <w:rFonts w:hint="eastAsia" w:ascii="Times New Roman" w:hAnsi="Times New Roman" w:eastAsia="仿宋_GB2312" w:cs="Times New Roman"/>
          <w:color w:val="auto"/>
          <w:kern w:val="2"/>
          <w:sz w:val="32"/>
          <w:szCs w:val="32"/>
          <w:rtl w:val="0"/>
          <w:lang w:val="en-US" w:eastAsia="zh-CN"/>
        </w:rPr>
        <w:t>万元，增长</w:t>
      </w:r>
      <w:r>
        <w:rPr>
          <w:rFonts w:hint="eastAsia" w:ascii="Times New Roman" w:hAnsi="Times New Roman" w:eastAsia="仿宋_GB2312" w:cs="Times New Roman"/>
          <w:color w:val="auto"/>
          <w:kern w:val="2"/>
          <w:sz w:val="32"/>
          <w:szCs w:val="32"/>
          <w:rtl w:val="0"/>
          <w:lang w:val="zh-CN" w:eastAsia="zh-CN"/>
        </w:rPr>
        <w:t>496.</w:t>
      </w:r>
      <w:r>
        <w:rPr>
          <w:rFonts w:hint="eastAsia" w:ascii="Times New Roman" w:hAnsi="Times New Roman" w:eastAsia="仿宋_GB2312" w:cs="Times New Roman"/>
          <w:color w:val="auto"/>
          <w:kern w:val="2"/>
          <w:sz w:val="32"/>
          <w:szCs w:val="32"/>
          <w:rtl w:val="0"/>
          <w:lang w:val="en-US" w:eastAsia="zh-CN"/>
        </w:rPr>
        <w:t>7%，主要原因是按照市财政统一安排，2022年度部分支出列入2023年度预算，因此2023年度收入较高。</w:t>
      </w:r>
    </w:p>
    <w:p>
      <w:pPr>
        <w:adjustRightInd w:val="0"/>
        <w:snapToGrid w:val="0"/>
        <w:spacing w:line="240" w:lineRule="auto"/>
        <w:ind w:firstLine="420" w:firstLineChars="200"/>
        <w:jc w:val="center"/>
        <w:rPr>
          <w:rFonts w:hint="eastAsia" w:ascii="仿宋_GB2312" w:hAnsi="Times New Roman" w:eastAsia="仿宋_GB2312" w:cs="DengXian-Regular"/>
          <w:sz w:val="32"/>
          <w:szCs w:val="32"/>
          <w:lang w:val="en-US" w:eastAsia="zh-CN"/>
        </w:rPr>
      </w:pPr>
      <w:r>
        <w:rPr>
          <w:rFonts w:hint="eastAsia" w:ascii="Times New Roman" w:hAnsi="Times New Roman" w:eastAsia="宋体"/>
        </w:rPr>
        <w:drawing>
          <wp:inline distT="0" distB="0" distL="114300" distR="114300">
            <wp:extent cx="5256530" cy="2988310"/>
            <wp:effectExtent l="5080" t="4445" r="15240" b="17145"/>
            <wp:docPr id="25" name="图表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pPr>
        <w:adjustRightInd w:val="0"/>
        <w:snapToGrid w:val="0"/>
        <w:spacing w:line="580" w:lineRule="exact"/>
        <w:ind w:firstLine="640" w:firstLineChars="200"/>
        <w:outlineLvl w:val="1"/>
        <w:rPr>
          <w:rFonts w:ascii="仿宋_GB2312" w:hAnsi="Times New Roman" w:eastAsia="仿宋_GB2312" w:cs="DengXian-Regular"/>
          <w:sz w:val="32"/>
          <w:szCs w:val="32"/>
          <w:highlight w:val="yellow"/>
        </w:rPr>
      </w:pPr>
      <w:r>
        <w:rPr>
          <w:rFonts w:hint="eastAsia" w:ascii="黑体" w:hAnsi="Calibri" w:eastAsia="黑体" w:cs="Times New Roman"/>
          <w:sz w:val="32"/>
          <w:szCs w:val="32"/>
        </w:rPr>
        <w:t>二、收入决算情况说明</w:t>
      </w:r>
    </w:p>
    <w:p>
      <w:pPr>
        <w:autoSpaceDE w:val="0"/>
        <w:autoSpaceDN w:val="0"/>
        <w:adjustRightInd w:val="0"/>
        <w:spacing w:line="580" w:lineRule="exact"/>
        <w:ind w:firstLine="640" w:firstLineChars="200"/>
        <w:jc w:val="left"/>
        <w:rPr>
          <w:rFonts w:hint="eastAsia" w:ascii="Times New Roman" w:hAnsi="Times New Roman" w:eastAsia="仿宋_GB2312" w:cs="Times New Roman"/>
          <w:color w:val="auto"/>
          <w:kern w:val="2"/>
          <w:sz w:val="32"/>
          <w:szCs w:val="32"/>
          <w:rtl w:val="0"/>
          <w:lang w:val="en-US" w:eastAsia="zh-CN"/>
        </w:rPr>
      </w:pPr>
      <w:r>
        <w:rPr>
          <w:rFonts w:hint="eastAsia" w:ascii="Times New Roman" w:hAnsi="Times New Roman" w:eastAsia="仿宋_GB2312" w:cs="Times New Roman"/>
          <w:color w:val="auto"/>
          <w:kern w:val="2"/>
          <w:sz w:val="32"/>
          <w:szCs w:val="32"/>
          <w:rtl w:val="0"/>
          <w:lang w:val="en-US" w:eastAsia="zh-CN"/>
        </w:rPr>
        <w:t>本单位2023年度收入合计</w:t>
      </w:r>
      <w:r>
        <w:rPr>
          <w:rFonts w:hint="default" w:ascii="Times New Roman" w:hAnsi="Times New Roman" w:eastAsia="仿宋_GB2312" w:cs="Times New Roman"/>
          <w:color w:val="auto"/>
          <w:kern w:val="2"/>
          <w:sz w:val="32"/>
          <w:szCs w:val="32"/>
          <w:rtl w:val="0"/>
          <w:lang w:val="en-US" w:eastAsia="zh-CN"/>
        </w:rPr>
        <w:t>56</w:t>
      </w:r>
      <w:r>
        <w:rPr>
          <w:rFonts w:hint="eastAsia" w:ascii="Times New Roman" w:hAnsi="Times New Roman" w:eastAsia="仿宋_GB2312" w:cs="Times New Roman"/>
          <w:color w:val="auto"/>
          <w:kern w:val="2"/>
          <w:sz w:val="32"/>
          <w:szCs w:val="32"/>
          <w:rtl w:val="0"/>
          <w:lang w:val="en-US" w:eastAsia="zh-CN"/>
        </w:rPr>
        <w:t>，</w:t>
      </w:r>
      <w:r>
        <w:rPr>
          <w:rFonts w:hint="default" w:ascii="Times New Roman" w:hAnsi="Times New Roman" w:eastAsia="仿宋_GB2312" w:cs="Times New Roman"/>
          <w:color w:val="auto"/>
          <w:kern w:val="2"/>
          <w:sz w:val="32"/>
          <w:szCs w:val="32"/>
          <w:rtl w:val="0"/>
          <w:lang w:val="en-US" w:eastAsia="zh-CN"/>
        </w:rPr>
        <w:t>491.37</w:t>
      </w:r>
      <w:r>
        <w:rPr>
          <w:rFonts w:hint="eastAsia" w:ascii="Times New Roman" w:hAnsi="Times New Roman" w:eastAsia="仿宋_GB2312" w:cs="Times New Roman"/>
          <w:color w:val="auto"/>
          <w:kern w:val="2"/>
          <w:sz w:val="32"/>
          <w:szCs w:val="32"/>
          <w:rtl w:val="0"/>
          <w:lang w:val="en-US" w:eastAsia="zh-CN"/>
        </w:rPr>
        <w:t>万元，其中：财政拨款收入</w:t>
      </w:r>
      <w:r>
        <w:rPr>
          <w:rFonts w:hint="default" w:ascii="Times New Roman" w:hAnsi="Times New Roman" w:eastAsia="仿宋_GB2312" w:cs="Times New Roman"/>
          <w:color w:val="auto"/>
          <w:kern w:val="2"/>
          <w:sz w:val="32"/>
          <w:szCs w:val="32"/>
          <w:rtl w:val="0"/>
          <w:lang w:val="zh-CN" w:eastAsia="zh-CN"/>
        </w:rPr>
        <w:t>56</w:t>
      </w:r>
      <w:r>
        <w:rPr>
          <w:rFonts w:hint="eastAsia" w:ascii="Times New Roman" w:hAnsi="Times New Roman" w:eastAsia="仿宋_GB2312" w:cs="Times New Roman"/>
          <w:color w:val="auto"/>
          <w:kern w:val="2"/>
          <w:sz w:val="32"/>
          <w:szCs w:val="32"/>
          <w:rtl w:val="0"/>
          <w:lang w:val="zh-CN" w:eastAsia="zh-CN"/>
        </w:rPr>
        <w:t>，</w:t>
      </w:r>
      <w:r>
        <w:rPr>
          <w:rFonts w:hint="default" w:ascii="Times New Roman" w:hAnsi="Times New Roman" w:eastAsia="仿宋_GB2312" w:cs="Times New Roman"/>
          <w:color w:val="auto"/>
          <w:kern w:val="2"/>
          <w:sz w:val="32"/>
          <w:szCs w:val="32"/>
          <w:rtl w:val="0"/>
          <w:lang w:val="zh-CN" w:eastAsia="zh-CN"/>
        </w:rPr>
        <w:t>491.37</w:t>
      </w:r>
      <w:r>
        <w:rPr>
          <w:rFonts w:hint="eastAsia" w:ascii="Times New Roman" w:hAnsi="Times New Roman" w:eastAsia="仿宋_GB2312" w:cs="Times New Roman"/>
          <w:color w:val="auto"/>
          <w:kern w:val="2"/>
          <w:sz w:val="32"/>
          <w:szCs w:val="32"/>
          <w:rtl w:val="0"/>
          <w:lang w:val="en-US" w:eastAsia="zh-CN"/>
        </w:rPr>
        <w:t>万元，占100%；上级补助收入0万元，占0%；事业收入0万元，占0%；经营收入0万元，占0%；附属单位上缴收入0万元，占0%；其他收入0万元，占0%。</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ascii="Times New Roman" w:hAnsi="Times New Roman" w:eastAsia="仿宋_GB2312"/>
          <w:kern w:val="2"/>
          <w:sz w:val="32"/>
          <w:szCs w:val="32"/>
          <w:highlight w:val="yellow"/>
          <w:lang w:val="zh-CN"/>
        </w:rPr>
        <w:drawing>
          <wp:anchor distT="0" distB="0" distL="114300" distR="114300" simplePos="0" relativeHeight="251669504" behindDoc="0" locked="0" layoutInCell="1" allowOverlap="1">
            <wp:simplePos x="0" y="0"/>
            <wp:positionH relativeFrom="column">
              <wp:posOffset>243840</wp:posOffset>
            </wp:positionH>
            <wp:positionV relativeFrom="page">
              <wp:posOffset>965200</wp:posOffset>
            </wp:positionV>
            <wp:extent cx="5256530" cy="2988310"/>
            <wp:effectExtent l="5080" t="4445" r="15240" b="17145"/>
            <wp:wrapTopAndBottom/>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Pr>
          <w:rFonts w:hint="eastAsia" w:ascii="黑体" w:hAnsi="Calibri" w:eastAsia="黑体" w:cs="Times New Roman"/>
          <w:sz w:val="32"/>
          <w:szCs w:val="32"/>
        </w:rPr>
        <w:t>三、支出决算情况说明</w:t>
      </w:r>
    </w:p>
    <w:p>
      <w:pPr>
        <w:autoSpaceDE w:val="0"/>
        <w:autoSpaceDN w:val="0"/>
        <w:adjustRightInd w:val="0"/>
        <w:spacing w:line="580" w:lineRule="exact"/>
        <w:ind w:firstLine="640" w:firstLineChars="200"/>
        <w:jc w:val="left"/>
        <w:rPr>
          <w:rFonts w:hint="eastAsia" w:ascii="Times New Roman" w:hAnsi="Times New Roman" w:eastAsia="仿宋_GB2312" w:cs="Times New Roman"/>
          <w:color w:val="auto"/>
          <w:kern w:val="2"/>
          <w:sz w:val="32"/>
          <w:szCs w:val="32"/>
          <w:lang w:val="zh-CN" w:eastAsia="zh-CN"/>
        </w:rPr>
      </w:pPr>
      <w:r>
        <w:rPr>
          <w:rFonts w:hint="eastAsia" w:ascii="Times New Roman" w:hAnsi="Times New Roman" w:eastAsia="仿宋_GB2312" w:cs="Times New Roman"/>
          <w:color w:val="auto"/>
          <w:kern w:val="2"/>
          <w:sz w:val="32"/>
          <w:szCs w:val="32"/>
          <w:lang w:val="zh-CN" w:eastAsia="zh-CN"/>
        </w:rPr>
        <w:t>本单位2023年度支出合计</w:t>
      </w:r>
      <w:r>
        <w:rPr>
          <w:rFonts w:hint="default" w:ascii="Times New Roman" w:hAnsi="Times New Roman" w:eastAsia="仿宋_GB2312" w:cs="Times New Roman"/>
          <w:color w:val="auto"/>
          <w:kern w:val="2"/>
          <w:sz w:val="32"/>
          <w:szCs w:val="32"/>
          <w:lang w:val="zh-CN" w:eastAsia="zh-CN"/>
        </w:rPr>
        <w:t>56</w:t>
      </w:r>
      <w:r>
        <w:rPr>
          <w:rFonts w:hint="eastAsia" w:ascii="Times New Roman" w:hAnsi="Times New Roman" w:eastAsia="仿宋_GB2312" w:cs="Times New Roman"/>
          <w:color w:val="auto"/>
          <w:kern w:val="2"/>
          <w:sz w:val="32"/>
          <w:szCs w:val="32"/>
          <w:lang w:val="zh-CN" w:eastAsia="zh-CN"/>
        </w:rPr>
        <w:t>，</w:t>
      </w:r>
      <w:r>
        <w:rPr>
          <w:rFonts w:hint="default" w:ascii="Times New Roman" w:hAnsi="Times New Roman" w:eastAsia="仿宋_GB2312" w:cs="Times New Roman"/>
          <w:color w:val="auto"/>
          <w:kern w:val="2"/>
          <w:sz w:val="32"/>
          <w:szCs w:val="32"/>
          <w:lang w:val="zh-CN" w:eastAsia="zh-CN"/>
        </w:rPr>
        <w:t>521.4</w:t>
      </w:r>
      <w:r>
        <w:rPr>
          <w:rFonts w:hint="eastAsia" w:ascii="Times New Roman" w:hAnsi="Times New Roman" w:eastAsia="仿宋_GB2312" w:cs="Times New Roman"/>
          <w:color w:val="auto"/>
          <w:kern w:val="2"/>
          <w:sz w:val="32"/>
          <w:szCs w:val="32"/>
          <w:lang w:val="zh-CN" w:eastAsia="zh-CN"/>
        </w:rPr>
        <w:t>万元，其中：基本支出</w:t>
      </w:r>
      <w:r>
        <w:rPr>
          <w:rFonts w:hint="default" w:ascii="Times New Roman" w:hAnsi="Times New Roman" w:eastAsia="仿宋_GB2312" w:cs="Times New Roman"/>
          <w:color w:val="auto"/>
          <w:kern w:val="2"/>
          <w:sz w:val="32"/>
          <w:szCs w:val="32"/>
          <w:lang w:val="zh-CN" w:eastAsia="zh-CN"/>
        </w:rPr>
        <w:t>657.54</w:t>
      </w:r>
      <w:r>
        <w:rPr>
          <w:rFonts w:hint="eastAsia" w:ascii="Times New Roman" w:hAnsi="Times New Roman" w:eastAsia="仿宋_GB2312" w:cs="Times New Roman"/>
          <w:color w:val="auto"/>
          <w:kern w:val="2"/>
          <w:sz w:val="32"/>
          <w:szCs w:val="32"/>
          <w:lang w:val="zh-CN" w:eastAsia="zh-CN"/>
        </w:rPr>
        <w:t>万元，占</w:t>
      </w:r>
      <w:r>
        <w:rPr>
          <w:rFonts w:hint="default" w:ascii="Times New Roman" w:hAnsi="Times New Roman" w:eastAsia="仿宋_GB2312" w:cs="Times New Roman"/>
          <w:color w:val="auto"/>
          <w:kern w:val="2"/>
          <w:sz w:val="32"/>
          <w:szCs w:val="32"/>
          <w:lang w:val="zh-CN" w:eastAsia="zh-CN"/>
        </w:rPr>
        <w:t>1.</w:t>
      </w:r>
      <w:r>
        <w:rPr>
          <w:rFonts w:hint="eastAsia" w:ascii="Times New Roman" w:hAnsi="Times New Roman" w:eastAsia="仿宋_GB2312" w:cs="Times New Roman"/>
          <w:color w:val="auto"/>
          <w:kern w:val="2"/>
          <w:sz w:val="32"/>
          <w:szCs w:val="32"/>
          <w:lang w:val="en-US" w:eastAsia="zh-CN"/>
        </w:rPr>
        <w:t>2</w:t>
      </w:r>
      <w:r>
        <w:rPr>
          <w:rFonts w:hint="eastAsia" w:ascii="Times New Roman" w:hAnsi="Times New Roman" w:eastAsia="仿宋_GB2312" w:cs="Times New Roman"/>
          <w:color w:val="auto"/>
          <w:kern w:val="2"/>
          <w:sz w:val="32"/>
          <w:szCs w:val="32"/>
          <w:lang w:val="zh-CN" w:eastAsia="zh-CN"/>
        </w:rPr>
        <w:t>%；项目支出</w:t>
      </w:r>
      <w:r>
        <w:rPr>
          <w:rFonts w:hint="default" w:ascii="Times New Roman" w:hAnsi="Times New Roman" w:eastAsia="仿宋_GB2312" w:cs="Times New Roman"/>
          <w:color w:val="auto"/>
          <w:kern w:val="2"/>
          <w:sz w:val="32"/>
          <w:szCs w:val="32"/>
          <w:lang w:val="zh-CN" w:eastAsia="zh-CN"/>
        </w:rPr>
        <w:t>55</w:t>
      </w:r>
      <w:r>
        <w:rPr>
          <w:rFonts w:hint="eastAsia" w:ascii="Times New Roman" w:hAnsi="Times New Roman" w:eastAsia="仿宋_GB2312" w:cs="Times New Roman"/>
          <w:color w:val="auto"/>
          <w:kern w:val="2"/>
          <w:sz w:val="32"/>
          <w:szCs w:val="32"/>
          <w:lang w:val="zh-CN" w:eastAsia="zh-CN"/>
        </w:rPr>
        <w:t>，</w:t>
      </w:r>
      <w:r>
        <w:rPr>
          <w:rFonts w:hint="default" w:ascii="Times New Roman" w:hAnsi="Times New Roman" w:eastAsia="仿宋_GB2312" w:cs="Times New Roman"/>
          <w:color w:val="auto"/>
          <w:kern w:val="2"/>
          <w:sz w:val="32"/>
          <w:szCs w:val="32"/>
          <w:lang w:val="zh-CN" w:eastAsia="zh-CN"/>
        </w:rPr>
        <w:t>863.85</w:t>
      </w:r>
      <w:r>
        <w:rPr>
          <w:rFonts w:hint="eastAsia" w:ascii="Times New Roman" w:hAnsi="Times New Roman" w:eastAsia="仿宋_GB2312" w:cs="Times New Roman"/>
          <w:color w:val="auto"/>
          <w:kern w:val="2"/>
          <w:sz w:val="32"/>
          <w:szCs w:val="32"/>
          <w:lang w:val="zh-CN" w:eastAsia="zh-CN"/>
        </w:rPr>
        <w:t>万元，占</w:t>
      </w:r>
      <w:r>
        <w:rPr>
          <w:rFonts w:hint="default" w:ascii="Times New Roman" w:hAnsi="Times New Roman" w:eastAsia="仿宋_GB2312" w:cs="Times New Roman"/>
          <w:color w:val="auto"/>
          <w:kern w:val="2"/>
          <w:sz w:val="32"/>
          <w:szCs w:val="32"/>
          <w:lang w:val="zh-CN" w:eastAsia="zh-CN"/>
        </w:rPr>
        <w:t>98.8</w:t>
      </w:r>
      <w:r>
        <w:rPr>
          <w:rFonts w:hint="eastAsia" w:ascii="Times New Roman" w:hAnsi="Times New Roman" w:eastAsia="仿宋_GB2312" w:cs="Times New Roman"/>
          <w:color w:val="auto"/>
          <w:kern w:val="2"/>
          <w:sz w:val="32"/>
          <w:szCs w:val="32"/>
          <w:lang w:val="zh-CN" w:eastAsia="zh-CN"/>
        </w:rPr>
        <w:t>%；经营支出</w:t>
      </w:r>
      <w:r>
        <w:rPr>
          <w:rFonts w:hint="eastAsia" w:ascii="Times New Roman" w:hAnsi="Times New Roman" w:eastAsia="仿宋_GB2312" w:cs="Times New Roman"/>
          <w:color w:val="auto"/>
          <w:kern w:val="2"/>
          <w:sz w:val="32"/>
          <w:szCs w:val="32"/>
          <w:lang w:val="en-US" w:eastAsia="zh-CN"/>
        </w:rPr>
        <w:t>0</w:t>
      </w:r>
      <w:r>
        <w:rPr>
          <w:rFonts w:hint="eastAsia" w:ascii="Times New Roman" w:hAnsi="Times New Roman" w:eastAsia="仿宋_GB2312" w:cs="Times New Roman"/>
          <w:color w:val="auto"/>
          <w:kern w:val="2"/>
          <w:sz w:val="32"/>
          <w:szCs w:val="32"/>
          <w:lang w:val="zh-CN" w:eastAsia="zh-CN"/>
        </w:rPr>
        <w:t>万元，占</w:t>
      </w:r>
      <w:r>
        <w:rPr>
          <w:rFonts w:hint="eastAsia" w:ascii="Times New Roman" w:hAnsi="Times New Roman" w:eastAsia="仿宋_GB2312" w:cs="Times New Roman"/>
          <w:color w:val="auto"/>
          <w:kern w:val="2"/>
          <w:sz w:val="32"/>
          <w:szCs w:val="32"/>
          <w:lang w:val="en-US" w:eastAsia="zh-CN"/>
        </w:rPr>
        <w:t>0</w:t>
      </w:r>
      <w:r>
        <w:rPr>
          <w:rFonts w:hint="eastAsia" w:ascii="Times New Roman" w:hAnsi="Times New Roman" w:eastAsia="仿宋_GB2312" w:cs="Times New Roman"/>
          <w:color w:val="auto"/>
          <w:kern w:val="2"/>
          <w:sz w:val="32"/>
          <w:szCs w:val="32"/>
          <w:lang w:val="zh-CN" w:eastAsia="zh-CN"/>
        </w:rPr>
        <w:t>%；上缴上级支出</w:t>
      </w:r>
      <w:r>
        <w:rPr>
          <w:rFonts w:hint="eastAsia" w:ascii="Times New Roman" w:hAnsi="Times New Roman" w:eastAsia="仿宋_GB2312" w:cs="Times New Roman"/>
          <w:color w:val="auto"/>
          <w:kern w:val="2"/>
          <w:sz w:val="32"/>
          <w:szCs w:val="32"/>
          <w:lang w:val="en-US" w:eastAsia="zh-CN"/>
        </w:rPr>
        <w:t>0</w:t>
      </w:r>
      <w:r>
        <w:rPr>
          <w:rFonts w:hint="eastAsia" w:ascii="Times New Roman" w:hAnsi="Times New Roman" w:eastAsia="仿宋_GB2312" w:cs="Times New Roman"/>
          <w:color w:val="auto"/>
          <w:kern w:val="2"/>
          <w:sz w:val="32"/>
          <w:szCs w:val="32"/>
          <w:lang w:val="zh-CN" w:eastAsia="zh-CN"/>
        </w:rPr>
        <w:t>万元，占</w:t>
      </w:r>
      <w:r>
        <w:rPr>
          <w:rFonts w:hint="eastAsia" w:ascii="Times New Roman" w:hAnsi="Times New Roman" w:eastAsia="仿宋_GB2312" w:cs="Times New Roman"/>
          <w:color w:val="auto"/>
          <w:kern w:val="2"/>
          <w:sz w:val="32"/>
          <w:szCs w:val="32"/>
          <w:lang w:val="en-US" w:eastAsia="zh-CN"/>
        </w:rPr>
        <w:t>0</w:t>
      </w:r>
      <w:r>
        <w:rPr>
          <w:rFonts w:hint="eastAsia" w:ascii="Times New Roman" w:hAnsi="Times New Roman" w:eastAsia="仿宋_GB2312" w:cs="Times New Roman"/>
          <w:color w:val="auto"/>
          <w:kern w:val="2"/>
          <w:sz w:val="32"/>
          <w:szCs w:val="32"/>
          <w:lang w:val="zh-CN" w:eastAsia="zh-CN"/>
        </w:rPr>
        <w:t>%；对附属单位补助支出</w:t>
      </w:r>
      <w:r>
        <w:rPr>
          <w:rFonts w:hint="eastAsia" w:ascii="Times New Roman" w:hAnsi="Times New Roman" w:eastAsia="仿宋_GB2312" w:cs="Times New Roman"/>
          <w:color w:val="auto"/>
          <w:kern w:val="2"/>
          <w:sz w:val="32"/>
          <w:szCs w:val="32"/>
          <w:lang w:val="en-US" w:eastAsia="zh-CN"/>
        </w:rPr>
        <w:t>0</w:t>
      </w:r>
      <w:r>
        <w:rPr>
          <w:rFonts w:hint="eastAsia" w:ascii="Times New Roman" w:hAnsi="Times New Roman" w:eastAsia="仿宋_GB2312" w:cs="Times New Roman"/>
          <w:color w:val="auto"/>
          <w:kern w:val="2"/>
          <w:sz w:val="32"/>
          <w:szCs w:val="32"/>
          <w:lang w:val="zh-CN" w:eastAsia="zh-CN"/>
        </w:rPr>
        <w:t>万元，占</w:t>
      </w:r>
      <w:r>
        <w:rPr>
          <w:rFonts w:hint="eastAsia" w:ascii="Times New Roman" w:hAnsi="Times New Roman" w:eastAsia="仿宋_GB2312" w:cs="Times New Roman"/>
          <w:color w:val="auto"/>
          <w:kern w:val="2"/>
          <w:sz w:val="32"/>
          <w:szCs w:val="32"/>
          <w:lang w:val="en-US" w:eastAsia="zh-CN"/>
        </w:rPr>
        <w:t>0</w:t>
      </w:r>
      <w:r>
        <w:rPr>
          <w:rFonts w:hint="eastAsia" w:ascii="Times New Roman" w:hAnsi="Times New Roman" w:eastAsia="仿宋_GB2312" w:cs="Times New Roman"/>
          <w:color w:val="auto"/>
          <w:kern w:val="2"/>
          <w:sz w:val="32"/>
          <w:szCs w:val="32"/>
          <w:lang w:val="zh-CN" w:eastAsia="zh-CN"/>
        </w:rPr>
        <w:t>%。</w:t>
      </w:r>
    </w:p>
    <w:p>
      <w:pPr>
        <w:autoSpaceDE w:val="0"/>
        <w:autoSpaceDN w:val="0"/>
        <w:adjustRightInd w:val="0"/>
        <w:jc w:val="center"/>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drawing>
          <wp:inline distT="0" distB="0" distL="114300" distR="114300">
            <wp:extent cx="5256530" cy="2988310"/>
            <wp:effectExtent l="5080" t="4445" r="15240" b="17145"/>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pPr>
        <w:autoSpaceDE w:val="0"/>
        <w:autoSpaceDN w:val="0"/>
        <w:adjustRightInd w:val="0"/>
        <w:jc w:val="center"/>
        <w:rPr>
          <w:rFonts w:ascii="Times New Roman" w:hAnsi="Times New Roman" w:eastAsia="仿宋_GB2312" w:cs="Times New Roman"/>
          <w:sz w:val="32"/>
          <w:szCs w:val="32"/>
          <w:highlight w:val="none"/>
        </w:rPr>
      </w:pPr>
    </w:p>
    <w:p>
      <w:pPr>
        <w:autoSpaceDE w:val="0"/>
        <w:autoSpaceDN w:val="0"/>
        <w:adjustRightInd w:val="0"/>
        <w:jc w:val="center"/>
        <w:rPr>
          <w:rFonts w:hint="eastAsia" w:ascii="Times New Roman" w:hAnsi="Times New Roman" w:eastAsia="仿宋_GB2312" w:cs="Times New Roman"/>
          <w:sz w:val="32"/>
          <w:szCs w:val="32"/>
          <w:highlight w:val="none"/>
        </w:rPr>
      </w:pPr>
    </w:p>
    <w:p>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（一）财政拨款收支与2022年度决算对比情况</w:t>
      </w:r>
    </w:p>
    <w:p>
      <w:pPr>
        <w:autoSpaceDE w:val="0"/>
        <w:autoSpaceDN w:val="0"/>
        <w:adjustRightInd w:val="0"/>
        <w:spacing w:line="580" w:lineRule="exact"/>
        <w:ind w:firstLine="600"/>
        <w:jc w:val="left"/>
        <w:rPr>
          <w:rFonts w:hint="eastAsia" w:ascii="Times New Roman" w:hAnsi="Times New Roman" w:eastAsia="仿宋_GB2312" w:cs="Times New Roman"/>
          <w:color w:val="auto"/>
          <w:kern w:val="2"/>
          <w:sz w:val="32"/>
          <w:szCs w:val="32"/>
          <w:rtl w:val="0"/>
          <w:lang w:val="zh-CN" w:eastAsia="zh-CN"/>
        </w:rPr>
      </w:pPr>
      <w:r>
        <w:rPr>
          <w:rFonts w:hint="eastAsia" w:ascii="Times New Roman" w:hAnsi="Times New Roman" w:eastAsia="仿宋_GB2312" w:cs="Times New Roman"/>
          <w:color w:val="auto"/>
          <w:kern w:val="2"/>
          <w:sz w:val="32"/>
          <w:szCs w:val="32"/>
          <w:rtl w:val="0"/>
          <w:lang w:val="zh-CN" w:eastAsia="zh-CN"/>
        </w:rPr>
        <w:t>本单位2023年度</w:t>
      </w:r>
      <w:r>
        <w:rPr>
          <w:rFonts w:hint="eastAsia" w:ascii="Times New Roman" w:hAnsi="Times New Roman" w:eastAsia="仿宋_GB2312" w:cs="Times New Roman"/>
          <w:color w:val="auto"/>
          <w:kern w:val="2"/>
          <w:sz w:val="32"/>
          <w:szCs w:val="32"/>
          <w:rtl w:val="0"/>
          <w:lang w:val="en-US" w:eastAsia="zh-CN"/>
        </w:rPr>
        <w:t>形成的财政拨款收支均为一般公共预算财政拨款，</w:t>
      </w:r>
      <w:r>
        <w:rPr>
          <w:rFonts w:hint="eastAsia" w:ascii="Times New Roman" w:hAnsi="Times New Roman" w:eastAsia="仿宋_GB2312" w:cs="Times New Roman"/>
          <w:color w:val="auto"/>
          <w:kern w:val="2"/>
          <w:sz w:val="32"/>
          <w:szCs w:val="32"/>
          <w:rtl w:val="0"/>
          <w:lang w:val="zh-CN" w:eastAsia="zh-CN"/>
        </w:rPr>
        <w:t>本年度收入</w:t>
      </w:r>
      <w:r>
        <w:rPr>
          <w:rFonts w:hint="default" w:ascii="Times New Roman" w:hAnsi="Times New Roman" w:eastAsia="仿宋_GB2312" w:cs="Times New Roman"/>
          <w:color w:val="auto"/>
          <w:kern w:val="2"/>
          <w:sz w:val="32"/>
          <w:szCs w:val="32"/>
          <w:rtl w:val="0"/>
          <w:lang w:val="zh-CN" w:eastAsia="zh-CN"/>
        </w:rPr>
        <w:t>56</w:t>
      </w:r>
      <w:r>
        <w:rPr>
          <w:rFonts w:hint="eastAsia" w:ascii="Times New Roman" w:hAnsi="Times New Roman" w:eastAsia="仿宋_GB2312" w:cs="Times New Roman"/>
          <w:color w:val="auto"/>
          <w:kern w:val="2"/>
          <w:sz w:val="32"/>
          <w:szCs w:val="32"/>
          <w:rtl w:val="0"/>
          <w:lang w:val="zh-CN" w:eastAsia="zh-CN"/>
        </w:rPr>
        <w:t>，</w:t>
      </w:r>
      <w:r>
        <w:rPr>
          <w:rFonts w:hint="default" w:ascii="Times New Roman" w:hAnsi="Times New Roman" w:eastAsia="仿宋_GB2312" w:cs="Times New Roman"/>
          <w:color w:val="auto"/>
          <w:kern w:val="2"/>
          <w:sz w:val="32"/>
          <w:szCs w:val="32"/>
          <w:rtl w:val="0"/>
          <w:lang w:val="zh-CN" w:eastAsia="zh-CN"/>
        </w:rPr>
        <w:t>491.37</w:t>
      </w:r>
      <w:r>
        <w:rPr>
          <w:rFonts w:hint="eastAsia" w:ascii="Times New Roman" w:hAnsi="Times New Roman" w:eastAsia="仿宋_GB2312" w:cs="Times New Roman"/>
          <w:color w:val="auto"/>
          <w:kern w:val="2"/>
          <w:sz w:val="32"/>
          <w:szCs w:val="32"/>
          <w:rtl w:val="0"/>
          <w:lang w:val="zh-CN" w:eastAsia="zh-CN"/>
        </w:rPr>
        <w:t>万元，比2022年度增加47，114.73万元，增长502.</w:t>
      </w:r>
      <w:r>
        <w:rPr>
          <w:rFonts w:hint="eastAsia" w:ascii="Times New Roman" w:hAnsi="Times New Roman" w:eastAsia="仿宋_GB2312" w:cs="Times New Roman"/>
          <w:color w:val="auto"/>
          <w:kern w:val="2"/>
          <w:sz w:val="32"/>
          <w:szCs w:val="32"/>
          <w:rtl w:val="0"/>
          <w:lang w:val="en-US" w:eastAsia="zh-CN"/>
        </w:rPr>
        <w:t>3</w:t>
      </w:r>
      <w:r>
        <w:rPr>
          <w:rFonts w:hint="eastAsia" w:ascii="Times New Roman" w:hAnsi="Times New Roman" w:eastAsia="仿宋_GB2312" w:cs="Times New Roman"/>
          <w:color w:val="auto"/>
          <w:kern w:val="2"/>
          <w:sz w:val="32"/>
          <w:szCs w:val="32"/>
          <w:rtl w:val="0"/>
          <w:lang w:val="zh-CN" w:eastAsia="zh-CN"/>
        </w:rPr>
        <w:t>%，主要是</w:t>
      </w:r>
      <w:r>
        <w:rPr>
          <w:rFonts w:hint="eastAsia" w:ascii="Times New Roman" w:hAnsi="Times New Roman" w:eastAsia="仿宋_GB2312" w:cs="Times New Roman"/>
          <w:color w:val="auto"/>
          <w:kern w:val="2"/>
          <w:sz w:val="32"/>
          <w:szCs w:val="32"/>
          <w:rtl w:val="0"/>
          <w:lang w:val="en-US" w:eastAsia="zh-CN"/>
        </w:rPr>
        <w:t>按照市财政统一安排，2022年度部分支出列入2023年度预算，因此2023年度收入较高</w:t>
      </w:r>
      <w:r>
        <w:rPr>
          <w:rFonts w:hint="eastAsia" w:ascii="Times New Roman" w:hAnsi="Times New Roman" w:eastAsia="仿宋_GB2312" w:cs="Times New Roman"/>
          <w:color w:val="auto"/>
          <w:kern w:val="2"/>
          <w:sz w:val="32"/>
          <w:szCs w:val="32"/>
          <w:rtl w:val="0"/>
          <w:lang w:val="zh-CN" w:eastAsia="zh-CN"/>
        </w:rPr>
        <w:t>；本年度支出</w:t>
      </w:r>
      <w:r>
        <w:rPr>
          <w:rFonts w:hint="default" w:ascii="Times New Roman" w:hAnsi="Times New Roman" w:eastAsia="仿宋_GB2312" w:cs="Times New Roman"/>
          <w:color w:val="auto"/>
          <w:kern w:val="2"/>
          <w:sz w:val="32"/>
          <w:szCs w:val="32"/>
          <w:rtl w:val="0"/>
          <w:lang w:val="zh-CN" w:eastAsia="zh-CN"/>
        </w:rPr>
        <w:t>56</w:t>
      </w:r>
      <w:r>
        <w:rPr>
          <w:rFonts w:hint="eastAsia" w:ascii="Times New Roman" w:hAnsi="Times New Roman" w:eastAsia="仿宋_GB2312" w:cs="Times New Roman"/>
          <w:color w:val="auto"/>
          <w:kern w:val="2"/>
          <w:sz w:val="32"/>
          <w:szCs w:val="32"/>
          <w:rtl w:val="0"/>
          <w:lang w:val="zh-CN" w:eastAsia="zh-CN"/>
        </w:rPr>
        <w:t>，</w:t>
      </w:r>
      <w:r>
        <w:rPr>
          <w:rFonts w:hint="default" w:ascii="Times New Roman" w:hAnsi="Times New Roman" w:eastAsia="仿宋_GB2312" w:cs="Times New Roman"/>
          <w:color w:val="auto"/>
          <w:kern w:val="2"/>
          <w:sz w:val="32"/>
          <w:szCs w:val="32"/>
          <w:rtl w:val="0"/>
          <w:lang w:val="zh-CN" w:eastAsia="zh-CN"/>
        </w:rPr>
        <w:t>521.4</w:t>
      </w:r>
      <w:r>
        <w:rPr>
          <w:rFonts w:hint="eastAsia" w:ascii="Times New Roman" w:hAnsi="Times New Roman" w:eastAsia="仿宋_GB2312" w:cs="Times New Roman"/>
          <w:color w:val="auto"/>
          <w:kern w:val="2"/>
          <w:sz w:val="32"/>
          <w:szCs w:val="32"/>
          <w:rtl w:val="0"/>
          <w:lang w:val="zh-CN" w:eastAsia="zh-CN"/>
        </w:rPr>
        <w:t>万元，增加47，085.54万元，增长499%，主要是</w:t>
      </w:r>
      <w:r>
        <w:rPr>
          <w:rFonts w:hint="eastAsia" w:ascii="Times New Roman" w:hAnsi="Times New Roman" w:eastAsia="仿宋_GB2312" w:cs="Times New Roman"/>
          <w:color w:val="auto"/>
          <w:kern w:val="2"/>
          <w:sz w:val="32"/>
          <w:szCs w:val="32"/>
          <w:rtl w:val="0"/>
          <w:lang w:val="en-US" w:eastAsia="zh-CN"/>
        </w:rPr>
        <w:t>按照市财政统一安排，2022年度部分支出列入2023年度预算，因此2023年度支出增加</w:t>
      </w:r>
      <w:r>
        <w:rPr>
          <w:rFonts w:hint="eastAsia" w:ascii="Times New Roman" w:hAnsi="Times New Roman" w:eastAsia="仿宋_GB2312" w:cs="Times New Roman"/>
          <w:color w:val="auto"/>
          <w:kern w:val="2"/>
          <w:sz w:val="32"/>
          <w:szCs w:val="32"/>
          <w:rtl w:val="0"/>
          <w:lang w:val="zh-CN" w:eastAsia="zh-CN"/>
        </w:rPr>
        <w:t>。</w:t>
      </w:r>
    </w:p>
    <w:p>
      <w:pPr>
        <w:adjustRightInd w:val="0"/>
        <w:snapToGrid w:val="0"/>
        <w:spacing w:line="240" w:lineRule="auto"/>
        <w:jc w:val="center"/>
        <w:rPr>
          <w:rFonts w:hint="eastAsia" w:ascii="仿宋_GB2312" w:hAnsi="Times New Roman" w:eastAsia="仿宋_GB2312" w:cs="DengXian-Regular"/>
          <w:sz w:val="32"/>
          <w:szCs w:val="32"/>
          <w:lang w:eastAsia="zh-CN"/>
        </w:rPr>
      </w:pPr>
      <w:r>
        <w:rPr>
          <w:rFonts w:ascii="Times New Roman" w:hAnsi="Times New Roman" w:eastAsia="仿宋_GB2312"/>
          <w:sz w:val="32"/>
          <w:szCs w:val="32"/>
        </w:rPr>
        <w:drawing>
          <wp:inline distT="0" distB="0" distL="114300" distR="114300">
            <wp:extent cx="5256530" cy="2988310"/>
            <wp:effectExtent l="5080" t="4445" r="15240" b="17145"/>
            <wp:docPr id="31" name="图表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pPr>
        <w:snapToGrid w:val="0"/>
        <w:spacing w:line="580" w:lineRule="exact"/>
        <w:ind w:firstLine="643" w:firstLineChars="200"/>
        <w:outlineLvl w:val="2"/>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utoSpaceDE w:val="0"/>
        <w:autoSpaceDN w:val="0"/>
        <w:adjustRightInd w:val="0"/>
        <w:spacing w:line="580" w:lineRule="exact"/>
        <w:ind w:firstLine="600"/>
        <w:jc w:val="left"/>
        <w:rPr>
          <w:rFonts w:hint="eastAsia" w:ascii="Times New Roman" w:hAnsi="Times New Roman" w:eastAsia="仿宋_GB2312" w:cs="Times New Roman"/>
          <w:color w:val="auto"/>
          <w:kern w:val="2"/>
          <w:sz w:val="32"/>
          <w:szCs w:val="32"/>
          <w:rtl w:val="0"/>
          <w:lang w:val="en-US" w:eastAsia="zh-CN"/>
        </w:rPr>
      </w:pPr>
      <w:r>
        <w:rPr>
          <w:rFonts w:hint="eastAsia" w:ascii="Times New Roman" w:hAnsi="Times New Roman" w:eastAsia="仿宋_GB2312" w:cs="Times New Roman"/>
          <w:color w:val="auto"/>
          <w:kern w:val="2"/>
          <w:sz w:val="32"/>
          <w:szCs w:val="32"/>
          <w:rtl w:val="0"/>
          <w:lang w:val="en-US" w:eastAsia="zh-CN"/>
        </w:rPr>
        <w:t>本单位2023年度形成的财政拨款收支均为一般公共预算财政拨款，本年度收入</w:t>
      </w:r>
      <w:r>
        <w:rPr>
          <w:rFonts w:hint="default" w:ascii="Times New Roman" w:hAnsi="Times New Roman" w:eastAsia="仿宋_GB2312" w:cs="Times New Roman"/>
          <w:color w:val="auto"/>
          <w:kern w:val="2"/>
          <w:sz w:val="32"/>
          <w:szCs w:val="32"/>
          <w:rtl w:val="0"/>
          <w:lang w:val="zh-CN" w:eastAsia="zh-CN"/>
        </w:rPr>
        <w:t>56</w:t>
      </w:r>
      <w:r>
        <w:rPr>
          <w:rFonts w:hint="eastAsia" w:ascii="Times New Roman" w:hAnsi="Times New Roman" w:eastAsia="仿宋_GB2312" w:cs="Times New Roman"/>
          <w:color w:val="auto"/>
          <w:kern w:val="2"/>
          <w:sz w:val="32"/>
          <w:szCs w:val="32"/>
          <w:rtl w:val="0"/>
          <w:lang w:val="zh-CN" w:eastAsia="zh-CN"/>
        </w:rPr>
        <w:t>，</w:t>
      </w:r>
      <w:r>
        <w:rPr>
          <w:rFonts w:hint="default" w:ascii="Times New Roman" w:hAnsi="Times New Roman" w:eastAsia="仿宋_GB2312" w:cs="Times New Roman"/>
          <w:color w:val="auto"/>
          <w:kern w:val="2"/>
          <w:sz w:val="32"/>
          <w:szCs w:val="32"/>
          <w:rtl w:val="0"/>
          <w:lang w:val="zh-CN" w:eastAsia="zh-CN"/>
        </w:rPr>
        <w:t>491.37</w:t>
      </w:r>
      <w:r>
        <w:rPr>
          <w:rFonts w:hint="eastAsia" w:ascii="Times New Roman" w:hAnsi="Times New Roman" w:eastAsia="仿宋_GB2312" w:cs="Times New Roman"/>
          <w:color w:val="auto"/>
          <w:kern w:val="2"/>
          <w:sz w:val="32"/>
          <w:szCs w:val="32"/>
          <w:rtl w:val="0"/>
          <w:lang w:val="en-US" w:eastAsia="zh-CN"/>
        </w:rPr>
        <w:t>万元，完成年初预算的</w:t>
      </w:r>
      <w:r>
        <w:rPr>
          <w:rFonts w:hint="default" w:ascii="Times New Roman" w:hAnsi="Times New Roman" w:eastAsia="仿宋_GB2312" w:cs="Times New Roman"/>
          <w:color w:val="auto"/>
          <w:kern w:val="2"/>
          <w:sz w:val="32"/>
          <w:szCs w:val="32"/>
          <w:rtl w:val="0"/>
          <w:lang w:val="zh-CN" w:eastAsia="zh-CN"/>
        </w:rPr>
        <w:t>87.</w:t>
      </w:r>
      <w:r>
        <w:rPr>
          <w:rFonts w:hint="eastAsia" w:ascii="Times New Roman" w:hAnsi="Times New Roman" w:eastAsia="仿宋_GB2312" w:cs="Times New Roman"/>
          <w:color w:val="auto"/>
          <w:kern w:val="2"/>
          <w:sz w:val="32"/>
          <w:szCs w:val="32"/>
          <w:rtl w:val="0"/>
          <w:lang w:val="en-US" w:eastAsia="zh-CN"/>
        </w:rPr>
        <w:t>3%，比年初预算</w:t>
      </w:r>
      <w:r>
        <w:rPr>
          <w:rFonts w:hint="eastAsia" w:ascii="Times New Roman" w:hAnsi="Times New Roman" w:eastAsia="仿宋_GB2312" w:cs="Times New Roman"/>
          <w:color w:val="auto"/>
          <w:kern w:val="2"/>
          <w:sz w:val="32"/>
          <w:szCs w:val="32"/>
          <w:rtl w:val="0"/>
          <w:lang w:val="zh-CN" w:eastAsia="zh-CN"/>
        </w:rPr>
        <w:t>减少8，247.51</w:t>
      </w:r>
      <w:r>
        <w:rPr>
          <w:rFonts w:hint="eastAsia" w:ascii="Times New Roman" w:hAnsi="Times New Roman" w:eastAsia="仿宋_GB2312" w:cs="Times New Roman"/>
          <w:color w:val="auto"/>
          <w:kern w:val="2"/>
          <w:sz w:val="32"/>
          <w:szCs w:val="32"/>
          <w:rtl w:val="0"/>
          <w:lang w:val="en-US" w:eastAsia="zh-CN"/>
        </w:rPr>
        <w:t>万元，决算数小于预算数主要原因是预算项目调整；本年度支出</w:t>
      </w:r>
      <w:r>
        <w:rPr>
          <w:rFonts w:hint="default" w:ascii="Times New Roman" w:hAnsi="Times New Roman" w:eastAsia="仿宋_GB2312" w:cs="Times New Roman"/>
          <w:color w:val="auto"/>
          <w:kern w:val="2"/>
          <w:sz w:val="32"/>
          <w:szCs w:val="32"/>
          <w:rtl w:val="0"/>
          <w:lang w:val="zh-CN" w:eastAsia="zh-CN"/>
        </w:rPr>
        <w:t>56</w:t>
      </w:r>
      <w:r>
        <w:rPr>
          <w:rFonts w:hint="eastAsia" w:ascii="Times New Roman" w:hAnsi="Times New Roman" w:eastAsia="仿宋_GB2312" w:cs="Times New Roman"/>
          <w:color w:val="auto"/>
          <w:kern w:val="2"/>
          <w:sz w:val="32"/>
          <w:szCs w:val="32"/>
          <w:rtl w:val="0"/>
          <w:lang w:val="zh-CN" w:eastAsia="zh-CN"/>
        </w:rPr>
        <w:t>，</w:t>
      </w:r>
      <w:r>
        <w:rPr>
          <w:rFonts w:hint="default" w:ascii="Times New Roman" w:hAnsi="Times New Roman" w:eastAsia="仿宋_GB2312" w:cs="Times New Roman"/>
          <w:color w:val="auto"/>
          <w:kern w:val="2"/>
          <w:sz w:val="32"/>
          <w:szCs w:val="32"/>
          <w:rtl w:val="0"/>
          <w:lang w:val="zh-CN" w:eastAsia="zh-CN"/>
        </w:rPr>
        <w:t>521.4</w:t>
      </w:r>
      <w:r>
        <w:rPr>
          <w:rFonts w:hint="eastAsia" w:ascii="Times New Roman" w:hAnsi="Times New Roman" w:eastAsia="仿宋_GB2312" w:cs="Times New Roman"/>
          <w:color w:val="auto"/>
          <w:kern w:val="2"/>
          <w:sz w:val="32"/>
          <w:szCs w:val="32"/>
          <w:rtl w:val="0"/>
          <w:lang w:val="en-US" w:eastAsia="zh-CN"/>
        </w:rPr>
        <w:t>万元，完成年初预算的</w:t>
      </w:r>
      <w:r>
        <w:rPr>
          <w:rFonts w:hint="default" w:ascii="Times New Roman" w:hAnsi="Times New Roman" w:eastAsia="仿宋_GB2312" w:cs="Times New Roman"/>
          <w:color w:val="auto"/>
          <w:kern w:val="2"/>
          <w:sz w:val="32"/>
          <w:szCs w:val="32"/>
          <w:rtl w:val="0"/>
          <w:lang w:val="zh-CN" w:eastAsia="zh-CN"/>
        </w:rPr>
        <w:t>87.3</w:t>
      </w:r>
      <w:r>
        <w:rPr>
          <w:rFonts w:hint="eastAsia" w:ascii="Times New Roman" w:hAnsi="Times New Roman" w:eastAsia="仿宋_GB2312" w:cs="Times New Roman"/>
          <w:color w:val="auto"/>
          <w:kern w:val="2"/>
          <w:sz w:val="32"/>
          <w:szCs w:val="32"/>
          <w:rtl w:val="0"/>
          <w:lang w:val="en-US" w:eastAsia="zh-CN"/>
        </w:rPr>
        <w:t>%，比年初预算</w:t>
      </w:r>
      <w:r>
        <w:rPr>
          <w:rFonts w:hint="eastAsia" w:ascii="Times New Roman" w:hAnsi="Times New Roman" w:eastAsia="仿宋_GB2312" w:cs="Times New Roman"/>
          <w:color w:val="auto"/>
          <w:kern w:val="2"/>
          <w:sz w:val="32"/>
          <w:szCs w:val="32"/>
          <w:rtl w:val="0"/>
          <w:lang w:val="zh-CN" w:eastAsia="zh-CN"/>
        </w:rPr>
        <w:t>减少8，217.48</w:t>
      </w:r>
      <w:r>
        <w:rPr>
          <w:rFonts w:hint="eastAsia" w:ascii="Times New Roman" w:hAnsi="Times New Roman" w:eastAsia="仿宋_GB2312" w:cs="Times New Roman"/>
          <w:color w:val="auto"/>
          <w:kern w:val="2"/>
          <w:sz w:val="32"/>
          <w:szCs w:val="32"/>
          <w:rtl w:val="0"/>
          <w:lang w:val="en-US" w:eastAsia="zh-CN"/>
        </w:rPr>
        <w:t>万元，决算数小于预算数主要原因是预算项目调整。</w:t>
      </w:r>
    </w:p>
    <w:p>
      <w:pPr>
        <w:adjustRightInd w:val="0"/>
        <w:snapToGrid w:val="0"/>
        <w:spacing w:line="240" w:lineRule="auto"/>
        <w:jc w:val="center"/>
        <w:rPr>
          <w:rFonts w:hint="eastAsia" w:ascii="仿宋_GB2312" w:hAnsi="Times New Roman" w:eastAsia="仿宋_GB2312" w:cs="DengXian-Regular"/>
          <w:sz w:val="32"/>
          <w:szCs w:val="32"/>
          <w:highlight w:val="none"/>
          <w:lang w:val="en-US" w:eastAsia="zh-CN"/>
        </w:rPr>
      </w:pPr>
      <w:r>
        <w:rPr>
          <w:rFonts w:ascii="Times New Roman" w:hAnsi="Times New Roman" w:eastAsia="仿宋_GB2312"/>
          <w:sz w:val="32"/>
          <w:szCs w:val="32"/>
          <w:highlight w:val="none"/>
        </w:rPr>
        <w:drawing>
          <wp:inline distT="0" distB="0" distL="114300" distR="114300">
            <wp:extent cx="5256530" cy="2988310"/>
            <wp:effectExtent l="5080" t="4445" r="15240" b="17145"/>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pPr>
        <w:numPr>
          <w:ilvl w:val="0"/>
          <w:numId w:val="1"/>
        </w:numPr>
        <w:adjustRightInd w:val="0"/>
        <w:snapToGrid w:val="0"/>
        <w:spacing w:line="580" w:lineRule="exact"/>
        <w:ind w:left="420" w:left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utoSpaceDE w:val="0"/>
        <w:autoSpaceDN w:val="0"/>
        <w:adjustRightInd w:val="0"/>
        <w:spacing w:line="580" w:lineRule="exact"/>
        <w:ind w:firstLine="600"/>
        <w:jc w:val="left"/>
        <w:rPr>
          <w:rFonts w:hint="eastAsia" w:ascii="Times New Roman" w:hAnsi="Times New Roman" w:eastAsia="仿宋_GB2312" w:cs="Times New Roman"/>
          <w:color w:val="auto"/>
          <w:kern w:val="2"/>
          <w:sz w:val="32"/>
          <w:szCs w:val="32"/>
          <w:rtl w:val="0"/>
          <w:lang w:val="en-US" w:eastAsia="zh-CN"/>
        </w:rPr>
      </w:pPr>
      <w:r>
        <w:rPr>
          <w:rFonts w:hint="eastAsia" w:ascii="Times New Roman" w:hAnsi="Times New Roman" w:eastAsia="仿宋_GB2312" w:cs="Times New Roman"/>
          <w:color w:val="auto"/>
          <w:kern w:val="2"/>
          <w:sz w:val="32"/>
          <w:szCs w:val="32"/>
          <w:rtl w:val="0"/>
          <w:lang w:val="en-US" w:eastAsia="zh-CN"/>
        </w:rPr>
        <w:t>2023年度财政拨款支出</w:t>
      </w:r>
      <w:r>
        <w:rPr>
          <w:rFonts w:hint="default" w:ascii="Times New Roman" w:hAnsi="Times New Roman" w:eastAsia="仿宋_GB2312" w:cs="Times New Roman"/>
          <w:color w:val="auto"/>
          <w:kern w:val="2"/>
          <w:sz w:val="32"/>
          <w:szCs w:val="32"/>
          <w:rtl w:val="0"/>
          <w:lang w:val="zh-CN" w:eastAsia="zh-CN"/>
        </w:rPr>
        <w:t>56</w:t>
      </w:r>
      <w:r>
        <w:rPr>
          <w:rFonts w:hint="eastAsia" w:ascii="Times New Roman" w:hAnsi="Times New Roman" w:eastAsia="仿宋_GB2312" w:cs="Times New Roman"/>
          <w:color w:val="auto"/>
          <w:kern w:val="2"/>
          <w:sz w:val="32"/>
          <w:szCs w:val="32"/>
          <w:rtl w:val="0"/>
          <w:lang w:val="zh-CN" w:eastAsia="zh-CN"/>
        </w:rPr>
        <w:t>，</w:t>
      </w:r>
      <w:r>
        <w:rPr>
          <w:rFonts w:hint="default" w:ascii="Times New Roman" w:hAnsi="Times New Roman" w:eastAsia="仿宋_GB2312" w:cs="Times New Roman"/>
          <w:color w:val="auto"/>
          <w:kern w:val="2"/>
          <w:sz w:val="32"/>
          <w:szCs w:val="32"/>
          <w:rtl w:val="0"/>
          <w:lang w:val="zh-CN" w:eastAsia="zh-CN"/>
        </w:rPr>
        <w:t>521.4</w:t>
      </w:r>
      <w:r>
        <w:rPr>
          <w:rFonts w:hint="eastAsia" w:ascii="Times New Roman" w:hAnsi="Times New Roman" w:eastAsia="仿宋_GB2312" w:cs="Times New Roman"/>
          <w:color w:val="auto"/>
          <w:kern w:val="2"/>
          <w:sz w:val="32"/>
          <w:szCs w:val="32"/>
          <w:rtl w:val="0"/>
          <w:lang w:val="en-US" w:eastAsia="zh-CN"/>
        </w:rPr>
        <w:t>万元，主要用于以下方面：</w:t>
      </w:r>
    </w:p>
    <w:p>
      <w:pPr>
        <w:autoSpaceDE w:val="0"/>
        <w:autoSpaceDN w:val="0"/>
        <w:adjustRightInd w:val="0"/>
        <w:spacing w:line="580" w:lineRule="exact"/>
        <w:ind w:firstLine="600"/>
        <w:jc w:val="left"/>
        <w:rPr>
          <w:rFonts w:hint="eastAsia" w:ascii="Times New Roman" w:hAnsi="Times New Roman" w:eastAsia="仿宋_GB2312" w:cs="Times New Roman"/>
          <w:color w:val="auto"/>
          <w:kern w:val="2"/>
          <w:sz w:val="32"/>
          <w:szCs w:val="32"/>
          <w:rtl w:val="0"/>
          <w:lang w:val="en-US" w:eastAsia="zh-CN"/>
        </w:rPr>
      </w:pPr>
      <w:r>
        <w:rPr>
          <w:rFonts w:hint="default" w:ascii="Times New Roman" w:hAnsi="Times New Roman" w:eastAsia="仿宋_GB2312" w:cs="Times New Roman"/>
          <w:color w:val="auto"/>
          <w:kern w:val="2"/>
          <w:sz w:val="32"/>
          <w:szCs w:val="32"/>
          <w:rtl w:val="0"/>
          <w:lang w:val="zh-CN" w:eastAsia="zh-CN"/>
        </w:rPr>
        <w:t>一般公共服务（类）支出633.27万元，占1.1%；社会保障和就业（类）支出61.68万元，占0.1%；卫生健康（类）支出37.99万元，占0.</w:t>
      </w:r>
      <w:r>
        <w:rPr>
          <w:rFonts w:hint="eastAsia" w:ascii="Times New Roman" w:hAnsi="Times New Roman" w:eastAsia="仿宋_GB2312" w:cs="Times New Roman"/>
          <w:color w:val="auto"/>
          <w:kern w:val="2"/>
          <w:sz w:val="32"/>
          <w:szCs w:val="32"/>
          <w:rtl w:val="0"/>
          <w:lang w:val="en-US" w:eastAsia="zh-CN"/>
        </w:rPr>
        <w:t>1</w:t>
      </w:r>
      <w:r>
        <w:rPr>
          <w:rFonts w:hint="default" w:ascii="Times New Roman" w:hAnsi="Times New Roman" w:eastAsia="仿宋_GB2312" w:cs="Times New Roman"/>
          <w:color w:val="auto"/>
          <w:kern w:val="2"/>
          <w:sz w:val="32"/>
          <w:szCs w:val="32"/>
          <w:rtl w:val="0"/>
          <w:lang w:val="zh-CN" w:eastAsia="zh-CN"/>
        </w:rPr>
        <w:t>%；资源勘探信息等（类）支出55</w:t>
      </w:r>
      <w:r>
        <w:rPr>
          <w:rFonts w:hint="eastAsia" w:ascii="Times New Roman" w:hAnsi="Times New Roman" w:eastAsia="仿宋_GB2312" w:cs="Times New Roman"/>
          <w:color w:val="auto"/>
          <w:kern w:val="2"/>
          <w:sz w:val="32"/>
          <w:szCs w:val="32"/>
          <w:rtl w:val="0"/>
          <w:lang w:val="zh-CN" w:eastAsia="zh-CN"/>
        </w:rPr>
        <w:t>，</w:t>
      </w:r>
      <w:r>
        <w:rPr>
          <w:rFonts w:hint="default" w:ascii="Times New Roman" w:hAnsi="Times New Roman" w:eastAsia="仿宋_GB2312" w:cs="Times New Roman"/>
          <w:color w:val="auto"/>
          <w:kern w:val="2"/>
          <w:sz w:val="32"/>
          <w:szCs w:val="32"/>
          <w:rtl w:val="0"/>
          <w:lang w:val="zh-CN" w:eastAsia="zh-CN"/>
        </w:rPr>
        <w:t>528.82万元，占98.2%；住房保障（类）支出50万元，占0.</w:t>
      </w:r>
      <w:r>
        <w:rPr>
          <w:rFonts w:hint="eastAsia" w:ascii="Times New Roman" w:hAnsi="Times New Roman" w:eastAsia="仿宋_GB2312" w:cs="Times New Roman"/>
          <w:color w:val="auto"/>
          <w:kern w:val="2"/>
          <w:sz w:val="32"/>
          <w:szCs w:val="32"/>
          <w:rtl w:val="0"/>
          <w:lang w:val="en-US" w:eastAsia="zh-CN"/>
        </w:rPr>
        <w:t>1</w:t>
      </w:r>
      <w:r>
        <w:rPr>
          <w:rFonts w:hint="default" w:ascii="Times New Roman" w:hAnsi="Times New Roman" w:eastAsia="仿宋_GB2312" w:cs="Times New Roman"/>
          <w:color w:val="auto"/>
          <w:kern w:val="2"/>
          <w:sz w:val="32"/>
          <w:szCs w:val="32"/>
          <w:rtl w:val="0"/>
          <w:lang w:val="zh-CN" w:eastAsia="zh-CN"/>
        </w:rPr>
        <w:t>%；其他（类）支出209.64万元，占0.</w:t>
      </w:r>
      <w:r>
        <w:rPr>
          <w:rFonts w:hint="eastAsia" w:ascii="Times New Roman" w:hAnsi="Times New Roman" w:eastAsia="仿宋_GB2312" w:cs="Times New Roman"/>
          <w:color w:val="auto"/>
          <w:kern w:val="2"/>
          <w:sz w:val="32"/>
          <w:szCs w:val="32"/>
          <w:rtl w:val="0"/>
          <w:lang w:val="en-US" w:eastAsia="zh-CN"/>
        </w:rPr>
        <w:t>4</w:t>
      </w:r>
      <w:r>
        <w:rPr>
          <w:rFonts w:hint="default" w:ascii="Times New Roman" w:hAnsi="Times New Roman" w:eastAsia="仿宋_GB2312" w:cs="Times New Roman"/>
          <w:color w:val="auto"/>
          <w:kern w:val="2"/>
          <w:sz w:val="32"/>
          <w:szCs w:val="32"/>
          <w:rtl w:val="0"/>
          <w:lang w:val="zh-CN" w:eastAsia="zh-CN"/>
        </w:rPr>
        <w:t>%</w:t>
      </w:r>
      <w:r>
        <w:rPr>
          <w:rFonts w:hint="eastAsia" w:ascii="Times New Roman" w:hAnsi="Times New Roman" w:eastAsia="仿宋_GB2312" w:cs="Times New Roman"/>
          <w:color w:val="auto"/>
          <w:kern w:val="2"/>
          <w:sz w:val="32"/>
          <w:szCs w:val="32"/>
          <w:rtl w:val="0"/>
          <w:lang w:val="zh-CN" w:eastAsia="zh-CN"/>
        </w:rPr>
        <w:t>。</w:t>
      </w:r>
    </w:p>
    <w:p>
      <w:pPr>
        <w:adjustRightInd w:val="0"/>
        <w:snapToGrid w:val="0"/>
        <w:spacing w:line="240" w:lineRule="auto"/>
        <w:jc w:val="center"/>
        <w:rPr>
          <w:rFonts w:hint="eastAsia" w:ascii="仿宋_GB2312" w:hAnsi="Times New Roman" w:eastAsia="仿宋_GB2312" w:cs="DengXian-Regular"/>
          <w:sz w:val="32"/>
          <w:szCs w:val="32"/>
          <w:lang w:val="en-US" w:eastAsia="zh-CN"/>
        </w:rPr>
      </w:pPr>
      <w:r>
        <w:rPr>
          <w:rFonts w:ascii="Times New Roman" w:hAnsi="Times New Roman" w:eastAsia="仿宋_GB2312"/>
          <w:kern w:val="2"/>
          <w:sz w:val="32"/>
          <w:szCs w:val="32"/>
          <w:lang w:val="zh-CN"/>
        </w:rPr>
        <w:drawing>
          <wp:inline distT="0" distB="0" distL="114300" distR="114300">
            <wp:extent cx="5256530" cy="2807335"/>
            <wp:effectExtent l="4445" t="4445" r="15875" b="7620"/>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pPr>
        <w:adjustRightInd w:val="0"/>
        <w:snapToGrid w:val="0"/>
        <w:spacing w:line="580" w:lineRule="exact"/>
        <w:ind w:left="420" w:left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2023年度财政拨款基本支出</w:t>
      </w:r>
      <w:r>
        <w:rPr>
          <w:rFonts w:hint="default" w:ascii="Times New Roman" w:hAnsi="Times New Roman" w:eastAsia="仿宋_GB2312" w:cs="Times New Roman"/>
          <w:color w:val="auto"/>
          <w:kern w:val="2"/>
          <w:sz w:val="32"/>
          <w:szCs w:val="32"/>
          <w:lang w:val="zh-CN" w:eastAsia="zh-CN" w:bidi="ar-SA"/>
        </w:rPr>
        <w:t>657.54</w:t>
      </w:r>
      <w:r>
        <w:rPr>
          <w:rFonts w:hint="eastAsia" w:ascii="Times New Roman" w:hAnsi="Times New Roman" w:eastAsia="仿宋_GB2312" w:cs="Times New Roman"/>
          <w:color w:val="auto"/>
          <w:kern w:val="2"/>
          <w:sz w:val="32"/>
          <w:szCs w:val="32"/>
          <w:lang w:val="zh-CN" w:eastAsia="zh-CN" w:bidi="ar-SA"/>
        </w:rPr>
        <w:t>万元，其中：</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人员经费</w:t>
      </w:r>
      <w:r>
        <w:rPr>
          <w:rFonts w:hint="default" w:ascii="Times New Roman" w:hAnsi="Times New Roman" w:eastAsia="仿宋_GB2312" w:cs="Times New Roman"/>
          <w:color w:val="auto"/>
          <w:kern w:val="2"/>
          <w:sz w:val="32"/>
          <w:szCs w:val="32"/>
          <w:lang w:val="zh-CN" w:eastAsia="zh-CN" w:bidi="ar-SA"/>
        </w:rPr>
        <w:t>602.45</w:t>
      </w:r>
      <w:r>
        <w:rPr>
          <w:rFonts w:hint="eastAsia" w:ascii="Times New Roman" w:hAnsi="Times New Roman" w:eastAsia="仿宋_GB2312" w:cs="Times New Roman"/>
          <w:color w:val="auto"/>
          <w:kern w:val="2"/>
          <w:sz w:val="32"/>
          <w:szCs w:val="32"/>
          <w:lang w:val="zh-CN" w:eastAsia="zh-CN" w:bidi="ar-SA"/>
        </w:rPr>
        <w:t>万元，主要包括基本工资、津贴补贴、奖金、绩效工资、机关事业单位基本养老保险缴费、职工基本医疗保险缴费、公务员医疗补助缴费、住房公积金、其他社会保障缴费、其他工资福利支出、退休费、其他对个人和家庭的补助支出。</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eastAsia"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公用经费</w:t>
      </w:r>
      <w:r>
        <w:rPr>
          <w:rFonts w:hint="default" w:ascii="Times New Roman" w:hAnsi="Times New Roman" w:eastAsia="仿宋_GB2312" w:cs="Times New Roman"/>
          <w:color w:val="auto"/>
          <w:kern w:val="2"/>
          <w:sz w:val="32"/>
          <w:szCs w:val="32"/>
          <w:lang w:val="zh-CN" w:eastAsia="zh-CN" w:bidi="ar-SA"/>
        </w:rPr>
        <w:t>55.09</w:t>
      </w:r>
      <w:r>
        <w:rPr>
          <w:rFonts w:hint="eastAsia" w:ascii="Times New Roman" w:hAnsi="Times New Roman" w:eastAsia="仿宋_GB2312" w:cs="Times New Roman"/>
          <w:color w:val="auto"/>
          <w:kern w:val="2"/>
          <w:sz w:val="32"/>
          <w:szCs w:val="32"/>
          <w:lang w:val="zh-CN" w:eastAsia="zh-CN" w:bidi="ar-SA"/>
        </w:rPr>
        <w:t>万元，主要包括办公费、邮电费、差旅费、维修（护）费、培训费、工会经费、福利费、公务用车运行维护费、其他交通费用、其他商品和服务支出。</w:t>
      </w:r>
    </w:p>
    <w:p>
      <w:pPr>
        <w:keepNext/>
        <w:keepLines/>
        <w:snapToGrid w:val="0"/>
        <w:spacing w:line="580" w:lineRule="exact"/>
        <w:ind w:firstLine="640" w:firstLineChars="200"/>
        <w:outlineLvl w:val="1"/>
        <w:rPr>
          <w:rFonts w:ascii="黑体" w:hAnsi="Calibri" w:eastAsia="黑体" w:cs="Times New Roman"/>
          <w:color w:val="auto"/>
          <w:sz w:val="32"/>
          <w:szCs w:val="32"/>
        </w:rPr>
      </w:pPr>
      <w:r>
        <w:rPr>
          <w:rFonts w:hint="eastAsia" w:ascii="黑体" w:hAnsi="Calibri" w:eastAsia="黑体" w:cs="Times New Roman"/>
          <w:color w:val="auto"/>
          <w:sz w:val="32"/>
          <w:szCs w:val="32"/>
        </w:rPr>
        <w:t>五、财政拨款“三公”经费支出决算情况说明</w:t>
      </w:r>
    </w:p>
    <w:p>
      <w:pPr>
        <w:adjustRightInd w:val="0"/>
        <w:snapToGrid w:val="0"/>
        <w:spacing w:line="580" w:lineRule="exact"/>
        <w:ind w:firstLine="643" w:firstLineChars="200"/>
        <w:outlineLvl w:val="2"/>
        <w:rPr>
          <w:rFonts w:ascii="楷体_GB2312" w:hAnsi="Times New Roman" w:eastAsia="楷体_GB2312" w:cs="DengXian-Bold"/>
          <w:b/>
          <w:bCs/>
          <w:color w:val="auto"/>
          <w:sz w:val="32"/>
          <w:szCs w:val="32"/>
        </w:rPr>
      </w:pPr>
      <w:r>
        <w:rPr>
          <w:rFonts w:hint="eastAsia" w:ascii="楷体_GB2312" w:hAnsi="Times New Roman" w:eastAsia="楷体_GB2312" w:cs="DengXian-Bold"/>
          <w:b/>
          <w:bCs/>
          <w:color w:val="auto"/>
          <w:sz w:val="32"/>
          <w:szCs w:val="32"/>
        </w:rPr>
        <w:t>（一）“三公”经费财政拨款支出决算总体情况说明</w:t>
      </w:r>
    </w:p>
    <w:p>
      <w:pPr>
        <w:adjustRightInd w:val="0"/>
        <w:snapToGrid w:val="0"/>
        <w:spacing w:line="580" w:lineRule="exact"/>
        <w:ind w:firstLine="660" w:firstLineChars="200"/>
        <w:rPr>
          <w:rFonts w:hint="default" w:ascii="Times New Roman" w:hAnsi="Times New Roman" w:eastAsia="仿宋_GB2312" w:cs="Times New Roman"/>
          <w:i w:val="0"/>
          <w:iCs w:val="0"/>
          <w:caps w:val="0"/>
          <w:color w:val="auto"/>
          <w:spacing w:val="0"/>
          <w:kern w:val="0"/>
          <w:sz w:val="33"/>
          <w:szCs w:val="33"/>
          <w:highlight w:val="none"/>
          <w:shd w:val="clear" w:fill="FFFFFF"/>
          <w:lang w:val="en-US" w:eastAsia="zh-CN" w:bidi="ar"/>
        </w:rPr>
      </w:pP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本单位2023年度“三公”经费财政拨款支出预算为</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2.86</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万元，支出决算为</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2.79</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万元，完成预算的</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97.</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5</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%，较预算减少0.07万元，降低2.5%，主要是</w:t>
      </w:r>
      <w:r>
        <w:rPr>
          <w:rFonts w:hint="eastAsia" w:ascii="Times New Roman" w:hAnsi="Times New Roman" w:eastAsia="仿宋_GB2312" w:cs="Times New Roman"/>
          <w:i w:val="0"/>
          <w:iCs w:val="0"/>
          <w:caps w:val="0"/>
          <w:color w:val="auto"/>
          <w:spacing w:val="0"/>
          <w:kern w:val="0"/>
          <w:sz w:val="33"/>
          <w:szCs w:val="33"/>
          <w:highlight w:val="none"/>
          <w:shd w:val="clear" w:fill="FFFFFF"/>
          <w:rtl w:val="0"/>
          <w:lang w:val="en-US" w:eastAsia="zh-CN" w:bidi="ar"/>
        </w:rPr>
        <w:t>我单位认真贯彻落实关于厉行节约的各项要求，采取有力措施，严格控制“三公”经费支出</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w:t>
      </w:r>
      <w:r>
        <w:rPr>
          <w:rFonts w:hint="default" w:ascii="Times New Roman" w:hAnsi="Times New Roman" w:eastAsia="仿宋_GB2312" w:cs="Times New Roman"/>
          <w:i w:val="0"/>
          <w:iCs w:val="0"/>
          <w:caps w:val="0"/>
          <w:color w:val="auto"/>
          <w:spacing w:val="0"/>
          <w:kern w:val="0"/>
          <w:sz w:val="33"/>
          <w:szCs w:val="33"/>
          <w:highlight w:val="none"/>
          <w:shd w:val="clear" w:fill="FFFFFF"/>
          <w:lang w:val="zh-CN" w:eastAsia="zh-CN" w:bidi="ar"/>
        </w:rPr>
        <w:t>较2022年度决算</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增加2.05万元，增长280.</w:t>
      </w:r>
      <w:r>
        <w:rPr>
          <w:rFonts w:hint="eastAsia" w:ascii="Times New Roman" w:hAnsi="Times New Roman" w:eastAsia="仿宋_GB2312" w:cs="Times New Roman"/>
          <w:i w:val="0"/>
          <w:iCs w:val="0"/>
          <w:caps w:val="0"/>
          <w:color w:val="auto"/>
          <w:spacing w:val="0"/>
          <w:kern w:val="0"/>
          <w:sz w:val="33"/>
          <w:szCs w:val="33"/>
          <w:highlight w:val="none"/>
          <w:shd w:val="clear" w:fill="FFFFFF"/>
          <w:lang w:val="en-US" w:eastAsia="zh-CN" w:bidi="ar"/>
        </w:rPr>
        <w:t>1</w:t>
      </w:r>
      <w:r>
        <w:rPr>
          <w:rFonts w:hint="eastAsia" w:ascii="Times New Roman" w:hAnsi="Times New Roman" w:eastAsia="仿宋_GB2312" w:cs="Times New Roman"/>
          <w:i w:val="0"/>
          <w:iCs w:val="0"/>
          <w:caps w:val="0"/>
          <w:color w:val="auto"/>
          <w:spacing w:val="0"/>
          <w:kern w:val="0"/>
          <w:sz w:val="33"/>
          <w:szCs w:val="33"/>
          <w:highlight w:val="none"/>
          <w:shd w:val="clear" w:fill="FFFFFF"/>
          <w:lang w:val="zh-CN" w:eastAsia="zh-CN" w:bidi="ar"/>
        </w:rPr>
        <w:t>%，主要是公务用车修理支出增加。</w:t>
      </w:r>
    </w:p>
    <w:p>
      <w:pPr>
        <w:adjustRightInd w:val="0"/>
        <w:snapToGrid w:val="0"/>
        <w:spacing w:line="580" w:lineRule="exact"/>
        <w:ind w:firstLine="643" w:firstLineChars="200"/>
        <w:outlineLvl w:val="2"/>
        <w:rPr>
          <w:rFonts w:ascii="楷体_GB2312" w:hAnsi="Times New Roman" w:eastAsia="楷体_GB2312" w:cs="DengXian-Bold"/>
          <w:b/>
          <w:bCs/>
          <w:color w:val="auto"/>
          <w:sz w:val="32"/>
          <w:szCs w:val="32"/>
        </w:rPr>
      </w:pPr>
      <w:r>
        <w:rPr>
          <w:rFonts w:hint="eastAsia" w:ascii="楷体_GB2312" w:hAnsi="Times New Roman" w:eastAsia="楷体_GB2312" w:cs="DengXian-Bold"/>
          <w:b/>
          <w:bCs/>
          <w:color w:val="auto"/>
          <w:sz w:val="32"/>
          <w:szCs w:val="32"/>
        </w:rPr>
        <w:t>（二）“三公”经费财政拨款支出决算具体情况说明</w:t>
      </w: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eastAsia" w:ascii="楷体_GB2312" w:hAnsi="Times New Roman" w:eastAsia="楷体_GB2312" w:cs="DengXian-Bold"/>
          <w:b/>
          <w:bCs/>
          <w:color w:val="auto"/>
          <w:sz w:val="32"/>
          <w:szCs w:val="32"/>
        </w:rPr>
        <w:t>1.因公出国（境）费支出情况。</w:t>
      </w:r>
      <w:r>
        <w:rPr>
          <w:rFonts w:hint="eastAsia" w:ascii="Times New Roman" w:hAnsi="Times New Roman" w:eastAsia="仿宋_GB2312" w:cs="Times New Roman"/>
          <w:color w:val="auto"/>
          <w:kern w:val="2"/>
          <w:sz w:val="32"/>
          <w:szCs w:val="32"/>
          <w:rtl w:val="0"/>
          <w:lang w:val="en-US" w:eastAsia="zh-CN" w:bidi="ar-SA"/>
        </w:rPr>
        <w:t>本单位2023年度因公出国（境）费支出预算为0万元，支出决算0万元，完成预算的100%。</w:t>
      </w:r>
      <w:r>
        <w:rPr>
          <w:rFonts w:hint="default" w:ascii="Times New Roman" w:hAnsi="Times New Roman" w:eastAsia="仿宋_GB2312" w:cs="Times New Roman"/>
          <w:color w:val="auto"/>
          <w:kern w:val="2"/>
          <w:sz w:val="32"/>
          <w:szCs w:val="32"/>
          <w:rtl w:val="0"/>
          <w:lang w:val="en-US" w:eastAsia="zh-CN" w:bidi="ar-SA"/>
        </w:rPr>
        <w:t>因公出国（境）费支出较预算</w:t>
      </w:r>
      <w:r>
        <w:rPr>
          <w:rFonts w:hint="eastAsia" w:ascii="Times New Roman" w:hAnsi="Times New Roman" w:eastAsia="仿宋_GB2312" w:cs="Times New Roman"/>
          <w:color w:val="auto"/>
          <w:kern w:val="2"/>
          <w:sz w:val="32"/>
          <w:szCs w:val="32"/>
          <w:rtl w:val="0"/>
          <w:lang w:val="zh-CN" w:eastAsia="zh-CN" w:bidi="ar-SA"/>
        </w:rPr>
        <w:t>持平；</w:t>
      </w:r>
      <w:r>
        <w:rPr>
          <w:rFonts w:hint="default" w:ascii="Times New Roman" w:hAnsi="Times New Roman" w:eastAsia="仿宋_GB2312" w:cs="Times New Roman"/>
          <w:color w:val="auto"/>
          <w:kern w:val="2"/>
          <w:sz w:val="32"/>
          <w:szCs w:val="32"/>
          <w:rtl w:val="0"/>
          <w:lang w:val="en-US" w:eastAsia="zh-CN" w:bidi="ar-SA"/>
        </w:rPr>
        <w:t>较上年</w:t>
      </w:r>
      <w:r>
        <w:rPr>
          <w:rFonts w:hint="eastAsia" w:ascii="Times New Roman" w:hAnsi="Times New Roman" w:eastAsia="仿宋_GB2312" w:cs="Times New Roman"/>
          <w:color w:val="auto"/>
          <w:kern w:val="2"/>
          <w:sz w:val="32"/>
          <w:szCs w:val="32"/>
          <w:rtl w:val="0"/>
          <w:lang w:val="en-US" w:eastAsia="zh-CN" w:bidi="ar-SA"/>
        </w:rPr>
        <w:t>度</w:t>
      </w:r>
      <w:r>
        <w:rPr>
          <w:rFonts w:hint="eastAsia" w:ascii="Times New Roman" w:hAnsi="Times New Roman" w:eastAsia="仿宋_GB2312" w:cs="Times New Roman"/>
          <w:color w:val="auto"/>
          <w:kern w:val="2"/>
          <w:sz w:val="32"/>
          <w:szCs w:val="32"/>
          <w:rtl w:val="0"/>
          <w:lang w:val="zh-CN" w:eastAsia="zh-CN" w:bidi="ar-SA"/>
        </w:rPr>
        <w:t>持平</w:t>
      </w:r>
      <w:r>
        <w:rPr>
          <w:rFonts w:hint="eastAsia" w:ascii="Times New Roman" w:hAnsi="Times New Roman" w:eastAsia="仿宋_GB2312" w:cs="Times New Roman"/>
          <w:color w:val="auto"/>
          <w:kern w:val="2"/>
          <w:sz w:val="32"/>
          <w:szCs w:val="32"/>
          <w:rtl w:val="0"/>
          <w:lang w:val="en-US" w:eastAsia="zh-CN" w:bidi="ar-SA"/>
        </w:rPr>
        <w:t>。</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adjustRightInd w:val="0"/>
        <w:snapToGrid w:val="0"/>
        <w:spacing w:line="580" w:lineRule="exact"/>
        <w:ind w:firstLine="643" w:firstLineChars="200"/>
        <w:rPr>
          <w:rFonts w:ascii="仿宋_GB2312" w:hAnsi="Times New Roman" w:eastAsia="仿宋_GB2312" w:cs="DengXian-Bold"/>
          <w:b/>
          <w:bCs/>
          <w:color w:val="auto"/>
          <w:sz w:val="32"/>
          <w:szCs w:val="32"/>
        </w:rPr>
      </w:pPr>
      <w:r>
        <w:rPr>
          <w:rFonts w:hint="eastAsia" w:ascii="楷体_GB2312" w:hAnsi="Times New Roman" w:eastAsia="楷体_GB2312" w:cs="DengXian-Bold"/>
          <w:b/>
          <w:bCs/>
          <w:color w:val="auto"/>
          <w:sz w:val="32"/>
          <w:szCs w:val="32"/>
        </w:rPr>
        <w:t>2.公务用车购置及运行维护费支出情况。</w:t>
      </w:r>
      <w:r>
        <w:rPr>
          <w:rFonts w:hint="eastAsia" w:ascii="Times New Roman" w:hAnsi="Times New Roman" w:eastAsia="仿宋_GB2312" w:cs="Times New Roman"/>
          <w:color w:val="auto"/>
          <w:kern w:val="2"/>
          <w:sz w:val="32"/>
          <w:szCs w:val="32"/>
          <w:rtl w:val="0"/>
          <w:lang w:val="en-US" w:eastAsia="zh-CN" w:bidi="ar-SA"/>
        </w:rPr>
        <w:t>本单位2023年度公务用车购置及运行维护费预算为2.8万元，支出决算2.79万元，完成预算的99.6%。较预算</w:t>
      </w:r>
      <w:r>
        <w:rPr>
          <w:rFonts w:hint="eastAsia" w:ascii="Times New Roman" w:hAnsi="Times New Roman" w:eastAsia="仿宋_GB2312" w:cs="Times New Roman"/>
          <w:color w:val="auto"/>
          <w:kern w:val="2"/>
          <w:sz w:val="32"/>
          <w:szCs w:val="32"/>
          <w:rtl w:val="0"/>
          <w:lang w:val="zh-CN" w:eastAsia="zh-CN" w:bidi="ar-SA"/>
        </w:rPr>
        <w:t>减少0.01</w:t>
      </w:r>
      <w:r>
        <w:rPr>
          <w:rFonts w:hint="eastAsia" w:ascii="Times New Roman" w:hAnsi="Times New Roman" w:eastAsia="仿宋_GB2312" w:cs="Times New Roman"/>
          <w:color w:val="auto"/>
          <w:kern w:val="2"/>
          <w:sz w:val="32"/>
          <w:szCs w:val="32"/>
          <w:rtl w:val="0"/>
          <w:lang w:val="en-US" w:eastAsia="zh-CN" w:bidi="ar-SA"/>
        </w:rPr>
        <w:t>万元，</w:t>
      </w:r>
      <w:r>
        <w:rPr>
          <w:rFonts w:hint="eastAsia" w:ascii="Times New Roman" w:hAnsi="Times New Roman" w:eastAsia="仿宋_GB2312" w:cs="Times New Roman"/>
          <w:color w:val="auto"/>
          <w:kern w:val="2"/>
          <w:sz w:val="32"/>
          <w:szCs w:val="32"/>
          <w:rtl w:val="0"/>
          <w:lang w:val="zh-CN" w:eastAsia="zh-CN" w:bidi="ar-SA"/>
        </w:rPr>
        <w:t>降低0.</w:t>
      </w:r>
      <w:r>
        <w:rPr>
          <w:rFonts w:hint="eastAsia" w:ascii="Times New Roman" w:hAnsi="Times New Roman" w:eastAsia="仿宋_GB2312" w:cs="Times New Roman"/>
          <w:color w:val="auto"/>
          <w:kern w:val="2"/>
          <w:sz w:val="32"/>
          <w:szCs w:val="32"/>
          <w:rtl w:val="0"/>
          <w:lang w:val="en-US" w:eastAsia="zh-CN" w:bidi="ar-SA"/>
        </w:rPr>
        <w:t>5%，主要是我单位认真贯彻落实关于厉行节约的各项要求，采取有力措施，严格控制“三公”经费支出；较上年度</w:t>
      </w:r>
      <w:r>
        <w:rPr>
          <w:rFonts w:hint="eastAsia" w:ascii="Times New Roman" w:hAnsi="Times New Roman" w:eastAsia="仿宋_GB2312" w:cs="Times New Roman"/>
          <w:color w:val="auto"/>
          <w:kern w:val="2"/>
          <w:sz w:val="32"/>
          <w:szCs w:val="32"/>
          <w:rtl w:val="0"/>
          <w:lang w:val="zh-CN" w:eastAsia="zh-CN" w:bidi="ar-SA"/>
        </w:rPr>
        <w:t>增加2.05</w:t>
      </w:r>
      <w:r>
        <w:rPr>
          <w:rFonts w:hint="eastAsia" w:ascii="Times New Roman" w:hAnsi="Times New Roman" w:eastAsia="仿宋_GB2312" w:cs="Times New Roman"/>
          <w:color w:val="auto"/>
          <w:kern w:val="2"/>
          <w:sz w:val="32"/>
          <w:szCs w:val="32"/>
          <w:rtl w:val="0"/>
          <w:lang w:val="en-US" w:eastAsia="zh-CN" w:bidi="ar-SA"/>
        </w:rPr>
        <w:t>万元，</w:t>
      </w:r>
      <w:r>
        <w:rPr>
          <w:rFonts w:hint="eastAsia" w:ascii="Times New Roman" w:hAnsi="Times New Roman" w:eastAsia="仿宋_GB2312" w:cs="Times New Roman"/>
          <w:color w:val="auto"/>
          <w:kern w:val="2"/>
          <w:sz w:val="32"/>
          <w:szCs w:val="32"/>
          <w:rtl w:val="0"/>
          <w:lang w:val="zh-CN" w:eastAsia="zh-CN" w:bidi="ar-SA"/>
        </w:rPr>
        <w:t>增长280.</w:t>
      </w:r>
      <w:r>
        <w:rPr>
          <w:rFonts w:hint="eastAsia" w:ascii="Times New Roman" w:hAnsi="Times New Roman" w:eastAsia="仿宋_GB2312" w:cs="Times New Roman"/>
          <w:color w:val="auto"/>
          <w:kern w:val="2"/>
          <w:sz w:val="32"/>
          <w:szCs w:val="32"/>
          <w:rtl w:val="0"/>
          <w:lang w:val="en-US" w:eastAsia="zh-CN" w:bidi="ar-SA"/>
        </w:rPr>
        <w:t>1%，主要是</w:t>
      </w:r>
      <w:r>
        <w:rPr>
          <w:rFonts w:hint="eastAsia" w:ascii="Times New Roman" w:hAnsi="Times New Roman" w:eastAsia="仿宋_GB2312" w:cs="Times New Roman"/>
          <w:color w:val="auto"/>
          <w:kern w:val="2"/>
          <w:sz w:val="32"/>
          <w:szCs w:val="32"/>
          <w:rtl w:val="0"/>
          <w:lang w:val="zh-CN" w:eastAsia="zh-CN" w:bidi="ar-SA"/>
        </w:rPr>
        <w:t>公务用车修理支出增加</w:t>
      </w:r>
      <w:r>
        <w:rPr>
          <w:rFonts w:hint="eastAsia" w:ascii="Times New Roman" w:hAnsi="Times New Roman" w:eastAsia="仿宋_GB2312" w:cs="Times New Roman"/>
          <w:color w:val="auto"/>
          <w:kern w:val="2"/>
          <w:sz w:val="32"/>
          <w:szCs w:val="32"/>
          <w:rtl w:val="0"/>
          <w:lang w:val="en-US" w:eastAsia="zh-CN" w:bidi="ar-SA"/>
        </w:rPr>
        <w:t>。其中：</w:t>
      </w:r>
    </w:p>
    <w:p>
      <w:pPr>
        <w:adjustRightInd w:val="0"/>
        <w:snapToGrid w:val="0"/>
        <w:spacing w:line="580" w:lineRule="exact"/>
        <w:ind w:firstLine="643" w:firstLineChars="200"/>
        <w:rPr>
          <w:rFonts w:ascii="仿宋_GB2312" w:hAnsi="Times New Roman" w:eastAsia="仿宋_GB2312" w:cs="DengXian-Regular"/>
          <w:color w:val="auto"/>
          <w:sz w:val="32"/>
          <w:szCs w:val="32"/>
        </w:rPr>
      </w:pPr>
      <w:r>
        <w:rPr>
          <w:rFonts w:hint="eastAsia" w:ascii="仿宋_GB2312" w:hAnsi="Times New Roman" w:eastAsia="仿宋_GB2312" w:cs="DengXian-Regular"/>
          <w:b/>
          <w:color w:val="auto"/>
          <w:sz w:val="32"/>
          <w:szCs w:val="32"/>
        </w:rPr>
        <w:t>公务用车购置费支出</w:t>
      </w:r>
      <w:r>
        <w:rPr>
          <w:rFonts w:hint="eastAsia" w:ascii="楷体_GB2312" w:hAnsi="Times New Roman" w:eastAsia="楷体_GB2312" w:cs="DengXian-Bold"/>
          <w:b/>
          <w:bCs/>
          <w:color w:val="auto"/>
          <w:sz w:val="32"/>
          <w:szCs w:val="32"/>
          <w:lang w:val="en-US" w:eastAsia="zh-CN"/>
        </w:rPr>
        <w:t>0</w:t>
      </w:r>
      <w:r>
        <w:rPr>
          <w:rFonts w:hint="eastAsia" w:ascii="楷体_GB2312" w:hAnsi="Times New Roman" w:eastAsia="楷体_GB2312" w:cs="DengXian-Bold"/>
          <w:b/>
          <w:bCs/>
          <w:color w:val="auto"/>
          <w:sz w:val="32"/>
          <w:szCs w:val="32"/>
        </w:rPr>
        <w:t>万元</w:t>
      </w:r>
      <w:r>
        <w:rPr>
          <w:rFonts w:hint="eastAsia" w:ascii="仿宋_GB2312" w:hAnsi="Times New Roman" w:eastAsia="仿宋_GB2312" w:cs="DengXian-Regular"/>
          <w:b/>
          <w:color w:val="auto"/>
          <w:sz w:val="32"/>
          <w:szCs w:val="32"/>
        </w:rPr>
        <w:t>：</w:t>
      </w:r>
      <w:r>
        <w:rPr>
          <w:rFonts w:hint="eastAsia" w:ascii="Times New Roman" w:hAnsi="Times New Roman" w:eastAsia="仿宋_GB2312" w:cs="Times New Roman"/>
          <w:color w:val="auto"/>
          <w:kern w:val="2"/>
          <w:sz w:val="32"/>
          <w:szCs w:val="32"/>
          <w:rtl w:val="0"/>
          <w:lang w:val="en-US" w:eastAsia="zh-CN" w:bidi="ar-SA"/>
        </w:rPr>
        <w:t>本单位2023年度公务用车购置量0辆，发生公务用车购置经费支出0万元。公务用车购置费支出较预算持平；</w:t>
      </w:r>
      <w:r>
        <w:rPr>
          <w:rFonts w:hint="default" w:ascii="Times New Roman" w:hAnsi="Times New Roman" w:eastAsia="仿宋_GB2312" w:cs="Times New Roman"/>
          <w:color w:val="auto"/>
          <w:kern w:val="2"/>
          <w:sz w:val="32"/>
          <w:szCs w:val="32"/>
          <w:rtl w:val="0"/>
          <w:lang w:val="zh-CN" w:eastAsia="zh-CN" w:bidi="ar-SA"/>
        </w:rPr>
        <w:t>较上年</w:t>
      </w:r>
      <w:r>
        <w:rPr>
          <w:rFonts w:hint="eastAsia" w:ascii="Times New Roman" w:hAnsi="Times New Roman" w:eastAsia="仿宋_GB2312" w:cs="Times New Roman"/>
          <w:color w:val="auto"/>
          <w:kern w:val="2"/>
          <w:sz w:val="32"/>
          <w:szCs w:val="32"/>
          <w:rtl w:val="0"/>
          <w:lang w:val="zh-CN" w:eastAsia="zh-CN" w:bidi="ar-SA"/>
        </w:rPr>
        <w:t>度持平</w:t>
      </w:r>
      <w:r>
        <w:rPr>
          <w:rFonts w:hint="eastAsia" w:ascii="Times New Roman" w:hAnsi="Times New Roman" w:eastAsia="仿宋_GB2312" w:cs="Times New Roman"/>
          <w:color w:val="auto"/>
          <w:kern w:val="2"/>
          <w:sz w:val="32"/>
          <w:szCs w:val="32"/>
          <w:rtl w:val="0"/>
          <w:lang w:val="en-US" w:eastAsia="zh-CN" w:bidi="ar-SA"/>
        </w:rPr>
        <w:t>。</w:t>
      </w:r>
    </w:p>
    <w:p>
      <w:pPr>
        <w:adjustRightInd w:val="0"/>
        <w:snapToGrid w:val="0"/>
        <w:spacing w:line="580" w:lineRule="exact"/>
        <w:ind w:firstLine="643" w:firstLineChars="200"/>
        <w:rPr>
          <w:rFonts w:hint="eastAsia" w:ascii="仿宋_GB2312" w:hAnsi="Times New Roman" w:eastAsia="仿宋_GB2312" w:cs="DengXian-Regular"/>
          <w:color w:val="000000" w:themeColor="text1"/>
          <w:sz w:val="32"/>
          <w:szCs w:val="32"/>
          <w14:textFill>
            <w14:solidFill>
              <w14:schemeClr w14:val="tx1"/>
            </w14:solidFill>
          </w14:textFill>
        </w:rPr>
      </w:pPr>
      <w:r>
        <w:rPr>
          <w:rFonts w:hint="eastAsia" w:ascii="仿宋_GB2312" w:hAnsi="Times New Roman" w:eastAsia="仿宋_GB2312" w:cs="DengXian-Regular"/>
          <w:b/>
          <w:color w:val="000000" w:themeColor="text1"/>
          <w:sz w:val="32"/>
          <w:szCs w:val="32"/>
          <w14:textFill>
            <w14:solidFill>
              <w14:schemeClr w14:val="tx1"/>
            </w14:solidFill>
          </w14:textFill>
        </w:rPr>
        <w:t>公务用车运行维护费支出</w:t>
      </w:r>
      <w:r>
        <w:rPr>
          <w:rFonts w:hint="default" w:ascii="Times New Roman" w:hAnsi="Times New Roman" w:eastAsia="仿宋_GB2312" w:cs="Times New Roman"/>
          <w:color w:val="000000" w:themeColor="text1"/>
          <w:kern w:val="2"/>
          <w:sz w:val="32"/>
          <w:szCs w:val="32"/>
          <w:lang w:val="zh-CN" w:eastAsia="zh-CN" w:bidi="ar-SA"/>
          <w14:textFill>
            <w14:solidFill>
              <w14:schemeClr w14:val="tx1"/>
            </w14:solidFill>
          </w14:textFill>
        </w:rPr>
        <w:t>2.79</w:t>
      </w:r>
      <w:r>
        <w:rPr>
          <w:rFonts w:hint="eastAsia" w:ascii="楷体_GB2312" w:hAnsi="Times New Roman" w:eastAsia="楷体_GB2312" w:cs="DengXian-Bold"/>
          <w:b/>
          <w:bCs/>
          <w:color w:val="000000" w:themeColor="text1"/>
          <w:sz w:val="32"/>
          <w:szCs w:val="32"/>
          <w14:textFill>
            <w14:solidFill>
              <w14:schemeClr w14:val="tx1"/>
            </w14:solidFill>
          </w14:textFill>
        </w:rPr>
        <w:t>万元</w:t>
      </w:r>
      <w:r>
        <w:rPr>
          <w:rFonts w:hint="eastAsia" w:ascii="仿宋_GB2312" w:hAnsi="Times New Roman" w:eastAsia="仿宋_GB2312" w:cs="DengXian-Regular"/>
          <w:b/>
          <w:color w:val="000000" w:themeColor="text1"/>
          <w:sz w:val="32"/>
          <w:szCs w:val="32"/>
          <w14:textFill>
            <w14:solidFill>
              <w14:schemeClr w14:val="tx1"/>
            </w14:solidFill>
          </w14:textFill>
        </w:rPr>
        <w:t>：</w:t>
      </w:r>
      <w:r>
        <w:rPr>
          <w:rFonts w:hint="eastAsia" w:ascii="Times New Roman" w:hAnsi="Times New Roman" w:eastAsia="仿宋_GB2312" w:cs="Times New Roman"/>
          <w:color w:val="000000" w:themeColor="text1"/>
          <w:kern w:val="2"/>
          <w:sz w:val="32"/>
          <w:szCs w:val="32"/>
          <w:rtl w:val="0"/>
          <w:lang w:val="en-US" w:eastAsia="zh-CN" w:bidi="ar-SA"/>
          <w14:textFill>
            <w14:solidFill>
              <w14:schemeClr w14:val="tx1"/>
            </w14:solidFill>
          </w14:textFill>
        </w:rPr>
        <w:t>本单位2023年度单位财政开支公务用车保有量1辆。公车运行维护费支出较预算</w:t>
      </w:r>
      <w:r>
        <w:rPr>
          <w:rFonts w:hint="default" w:ascii="Times New Roman" w:hAnsi="Times New Roman" w:eastAsia="仿宋_GB2312" w:cs="Times New Roman"/>
          <w:color w:val="000000" w:themeColor="text1"/>
          <w:kern w:val="2"/>
          <w:sz w:val="32"/>
          <w:szCs w:val="32"/>
          <w:rtl w:val="0"/>
          <w:lang w:val="zh-CN" w:eastAsia="zh-CN" w:bidi="ar-SA"/>
          <w14:textFill>
            <w14:solidFill>
              <w14:schemeClr w14:val="tx1"/>
            </w14:solidFill>
          </w14:textFill>
        </w:rPr>
        <w:t>预算</w:t>
      </w:r>
      <w:r>
        <w:rPr>
          <w:rFonts w:hint="eastAsia" w:ascii="Times New Roman" w:hAnsi="Times New Roman" w:eastAsia="仿宋_GB2312" w:cs="Times New Roman"/>
          <w:color w:val="000000" w:themeColor="text1"/>
          <w:kern w:val="2"/>
          <w:sz w:val="32"/>
          <w:szCs w:val="32"/>
          <w:rtl w:val="0"/>
          <w:lang w:val="zh-CN" w:eastAsia="zh-CN" w:bidi="ar-SA"/>
          <w14:textFill>
            <w14:solidFill>
              <w14:schemeClr w14:val="tx1"/>
            </w14:solidFill>
          </w14:textFill>
        </w:rPr>
        <w:t>减少0.01</w:t>
      </w:r>
      <w:r>
        <w:rPr>
          <w:rFonts w:hint="eastAsia" w:ascii="Times New Roman" w:hAnsi="Times New Roman" w:eastAsia="仿宋_GB2312" w:cs="Times New Roman"/>
          <w:color w:val="000000" w:themeColor="text1"/>
          <w:kern w:val="2"/>
          <w:sz w:val="32"/>
          <w:szCs w:val="32"/>
          <w:rtl w:val="0"/>
          <w:lang w:val="en-US" w:eastAsia="zh-CN" w:bidi="ar-SA"/>
          <w14:textFill>
            <w14:solidFill>
              <w14:schemeClr w14:val="tx1"/>
            </w14:solidFill>
          </w14:textFill>
        </w:rPr>
        <w:t>万元，</w:t>
      </w:r>
      <w:r>
        <w:rPr>
          <w:rFonts w:hint="eastAsia" w:ascii="Times New Roman" w:hAnsi="Times New Roman" w:eastAsia="仿宋_GB2312" w:cs="Times New Roman"/>
          <w:color w:val="000000" w:themeColor="text1"/>
          <w:kern w:val="2"/>
          <w:sz w:val="32"/>
          <w:szCs w:val="32"/>
          <w:rtl w:val="0"/>
          <w:lang w:val="zh-CN" w:eastAsia="zh-CN" w:bidi="ar-SA"/>
          <w14:textFill>
            <w14:solidFill>
              <w14:schemeClr w14:val="tx1"/>
            </w14:solidFill>
          </w14:textFill>
        </w:rPr>
        <w:t>降低0.</w:t>
      </w:r>
      <w:r>
        <w:rPr>
          <w:rFonts w:hint="eastAsia" w:ascii="Times New Roman" w:hAnsi="Times New Roman" w:eastAsia="仿宋_GB2312" w:cs="Times New Roman"/>
          <w:color w:val="000000" w:themeColor="text1"/>
          <w:kern w:val="2"/>
          <w:sz w:val="32"/>
          <w:szCs w:val="32"/>
          <w:rtl w:val="0"/>
          <w:lang w:val="en-US" w:eastAsia="zh-CN" w:bidi="ar-SA"/>
          <w14:textFill>
            <w14:solidFill>
              <w14:schemeClr w14:val="tx1"/>
            </w14:solidFill>
          </w14:textFill>
        </w:rPr>
        <w:t>5%，主要是我单位认真贯彻落实关于厉行节约的各项要求，采取有力措施，严格控制“三公”经费支出；较上年度</w:t>
      </w:r>
      <w:r>
        <w:rPr>
          <w:rFonts w:hint="eastAsia" w:ascii="Times New Roman" w:hAnsi="Times New Roman" w:eastAsia="仿宋_GB2312" w:cs="Times New Roman"/>
          <w:color w:val="000000" w:themeColor="text1"/>
          <w:kern w:val="2"/>
          <w:sz w:val="32"/>
          <w:szCs w:val="32"/>
          <w:rtl w:val="0"/>
          <w:lang w:val="zh-CN" w:eastAsia="zh-CN" w:bidi="ar-SA"/>
          <w14:textFill>
            <w14:solidFill>
              <w14:schemeClr w14:val="tx1"/>
            </w14:solidFill>
          </w14:textFill>
        </w:rPr>
        <w:t>增加2.05万</w:t>
      </w:r>
      <w:r>
        <w:rPr>
          <w:rFonts w:hint="eastAsia" w:ascii="Times New Roman" w:hAnsi="Times New Roman" w:eastAsia="仿宋_GB2312" w:cs="Times New Roman"/>
          <w:color w:val="000000" w:themeColor="text1"/>
          <w:kern w:val="2"/>
          <w:sz w:val="32"/>
          <w:szCs w:val="32"/>
          <w:rtl w:val="0"/>
          <w:lang w:val="en-US" w:eastAsia="zh-CN" w:bidi="ar-SA"/>
          <w14:textFill>
            <w14:solidFill>
              <w14:schemeClr w14:val="tx1"/>
            </w14:solidFill>
          </w14:textFill>
        </w:rPr>
        <w:t>元，</w:t>
      </w:r>
      <w:r>
        <w:rPr>
          <w:rFonts w:hint="eastAsia" w:ascii="Times New Roman" w:hAnsi="Times New Roman" w:eastAsia="仿宋_GB2312" w:cs="Times New Roman"/>
          <w:color w:val="000000" w:themeColor="text1"/>
          <w:kern w:val="2"/>
          <w:sz w:val="32"/>
          <w:szCs w:val="32"/>
          <w:rtl w:val="0"/>
          <w:lang w:val="zh-CN" w:eastAsia="zh-CN" w:bidi="ar-SA"/>
          <w14:textFill>
            <w14:solidFill>
              <w14:schemeClr w14:val="tx1"/>
            </w14:solidFill>
          </w14:textFill>
        </w:rPr>
        <w:t>增长280.</w:t>
      </w:r>
      <w:r>
        <w:rPr>
          <w:rFonts w:hint="eastAsia" w:ascii="Times New Roman" w:hAnsi="Times New Roman" w:eastAsia="仿宋_GB2312" w:cs="Times New Roman"/>
          <w:color w:val="000000" w:themeColor="text1"/>
          <w:kern w:val="2"/>
          <w:sz w:val="32"/>
          <w:szCs w:val="32"/>
          <w:rtl w:val="0"/>
          <w:lang w:val="en-US" w:eastAsia="zh-CN" w:bidi="ar-SA"/>
          <w14:textFill>
            <w14:solidFill>
              <w14:schemeClr w14:val="tx1"/>
            </w14:solidFill>
          </w14:textFill>
        </w:rPr>
        <w:t>1%，主要是</w:t>
      </w:r>
      <w:r>
        <w:rPr>
          <w:rFonts w:hint="eastAsia" w:ascii="Times New Roman" w:hAnsi="Times New Roman" w:eastAsia="仿宋_GB2312" w:cs="Times New Roman"/>
          <w:color w:val="000000" w:themeColor="text1"/>
          <w:kern w:val="2"/>
          <w:sz w:val="32"/>
          <w:szCs w:val="32"/>
          <w:rtl w:val="0"/>
          <w:lang w:val="zh-CN" w:eastAsia="zh-CN" w:bidi="ar-SA"/>
          <w14:textFill>
            <w14:solidFill>
              <w14:schemeClr w14:val="tx1"/>
            </w14:solidFill>
          </w14:textFill>
        </w:rPr>
        <w:t>公务用车修理支出增加</w:t>
      </w:r>
      <w:r>
        <w:rPr>
          <w:rFonts w:hint="eastAsia" w:ascii="Times New Roman" w:hAnsi="Times New Roman" w:eastAsia="仿宋_GB2312" w:cs="Times New Roman"/>
          <w:color w:val="000000" w:themeColor="text1"/>
          <w:kern w:val="2"/>
          <w:sz w:val="32"/>
          <w:szCs w:val="32"/>
          <w:rtl w:val="0"/>
          <w:lang w:val="en-US" w:eastAsia="zh-CN" w:bidi="ar-SA"/>
          <w14:textFill>
            <w14:solidFill>
              <w14:schemeClr w14:val="tx1"/>
            </w14:solidFill>
          </w14:textFill>
        </w:rPr>
        <w:t>。</w:t>
      </w:r>
    </w:p>
    <w:p>
      <w:pPr>
        <w:adjustRightInd w:val="0"/>
        <w:snapToGrid w:val="0"/>
        <w:spacing w:line="580" w:lineRule="exact"/>
        <w:ind w:firstLine="643" w:firstLineChars="200"/>
        <w:rPr>
          <w:rFonts w:ascii="仿宋_GB2312" w:hAnsi="Times New Roman" w:eastAsia="仿宋_GB2312" w:cs="DengXian-Regular"/>
          <w:color w:val="000000" w:themeColor="text1"/>
          <w:sz w:val="32"/>
          <w:szCs w:val="32"/>
          <w14:textFill>
            <w14:solidFill>
              <w14:schemeClr w14:val="tx1"/>
            </w14:solidFill>
          </w14:textFill>
        </w:rPr>
      </w:pPr>
      <w:r>
        <w:rPr>
          <w:rFonts w:hint="eastAsia" w:ascii="楷体_GB2312" w:hAnsi="Times New Roman" w:eastAsia="楷体_GB2312" w:cs="DengXian-Bold"/>
          <w:b/>
          <w:bCs/>
          <w:color w:val="000000" w:themeColor="text1"/>
          <w:sz w:val="32"/>
          <w:szCs w:val="32"/>
          <w14:textFill>
            <w14:solidFill>
              <w14:schemeClr w14:val="tx1"/>
            </w14:solidFill>
          </w14:textFill>
        </w:rPr>
        <w:t>3.公务接待费支出情况。</w:t>
      </w:r>
      <w:r>
        <w:rPr>
          <w:rFonts w:hint="eastAsia" w:ascii="Times New Roman" w:hAnsi="Times New Roman" w:eastAsia="仿宋_GB2312" w:cs="Times New Roman"/>
          <w:color w:val="000000" w:themeColor="text1"/>
          <w:kern w:val="2"/>
          <w:sz w:val="32"/>
          <w:szCs w:val="32"/>
          <w:rtl w:val="0"/>
          <w:lang w:val="en-US" w:eastAsia="zh-CN" w:bidi="ar-SA"/>
          <w14:textFill>
            <w14:solidFill>
              <w14:schemeClr w14:val="tx1"/>
            </w14:solidFill>
          </w14:textFill>
        </w:rPr>
        <w:t>本单位2023年度公务接待费支出预算为0.06万元，支出决算0万元，完成预算的0%。公务接待费支出较预算减少0.06万元，降低100%，主要是我单位认真贯彻落实关于厉行节约的各项要求，采取有力措施，严格控制“三公”经费支出；与上年度持平。本年度共发生公务接待0批次、0人次。</w:t>
      </w:r>
    </w:p>
    <w:p>
      <w:pPr>
        <w:adjustRightInd w:val="0"/>
        <w:snapToGrid w:val="0"/>
        <w:spacing w:line="580" w:lineRule="exact"/>
        <w:ind w:left="420" w:leftChars="200" w:firstLine="320" w:firstLineChars="100"/>
        <w:outlineLvl w:val="1"/>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pPr>
        <w:adjustRightInd w:val="0"/>
        <w:snapToGrid w:val="0"/>
        <w:spacing w:line="580" w:lineRule="exact"/>
        <w:ind w:firstLine="640" w:firstLineChars="200"/>
        <w:rPr>
          <w:rFonts w:hint="eastAsia" w:ascii="Times New Roman" w:hAnsi="Times New Roman" w:eastAsia="仿宋_GB2312" w:cs="Times New Roman"/>
          <w:color w:val="auto"/>
          <w:kern w:val="2"/>
          <w:sz w:val="32"/>
          <w:szCs w:val="32"/>
          <w:rtl w:val="0"/>
          <w:lang w:val="en-US" w:eastAsia="zh-CN" w:bidi="ar-SA"/>
        </w:rPr>
      </w:pPr>
      <w:r>
        <w:rPr>
          <w:rFonts w:hint="eastAsia" w:ascii="Times New Roman" w:hAnsi="Times New Roman" w:eastAsia="仿宋_GB2312" w:cs="Times New Roman"/>
          <w:color w:val="auto"/>
          <w:kern w:val="2"/>
          <w:sz w:val="32"/>
          <w:szCs w:val="32"/>
          <w:rtl w:val="0"/>
          <w:lang w:val="en-US" w:eastAsia="zh-CN" w:bidi="ar-SA"/>
        </w:rPr>
        <w:t>本单位2023年度机关运行经费支出0万元，较2022年度持平。主要原因是我单位是财政补助事业单位无机关运行经费。</w:t>
      </w:r>
    </w:p>
    <w:p>
      <w:pPr>
        <w:adjustRightInd w:val="0"/>
        <w:snapToGrid w:val="0"/>
        <w:spacing w:line="580" w:lineRule="exact"/>
        <w:ind w:firstLine="640" w:firstLineChars="200"/>
        <w:outlineLvl w:val="1"/>
        <w:rPr>
          <w:rFonts w:ascii="仿宋_GB2312" w:hAnsi="Times New Roman" w:eastAsia="仿宋_GB2312" w:cs="DengXian-Regular"/>
          <w:sz w:val="32"/>
          <w:szCs w:val="32"/>
          <w:highlight w:val="yellow"/>
        </w:rPr>
      </w:pPr>
      <w:r>
        <w:rPr>
          <w:rFonts w:hint="eastAsia" w:ascii="黑体" w:hAnsi="Calibri" w:eastAsia="黑体" w:cs="Times New Roman"/>
          <w:sz w:val="32"/>
          <w:szCs w:val="32"/>
        </w:rPr>
        <w:t>七、政府采购支出说明</w:t>
      </w:r>
    </w:p>
    <w:p>
      <w:pPr>
        <w:adjustRightInd w:val="0"/>
        <w:snapToGrid w:val="0"/>
        <w:spacing w:line="580" w:lineRule="exact"/>
        <w:ind w:firstLine="660" w:firstLineChars="200"/>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pP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本单位2023年度政府采购支出总额</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22</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229</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万元，从采购类型来看，政府采购货物支出0万元、政府采购工程支出0万元、政府采购服务支出</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22</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229</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万元。授予中小企业合同金额</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17609.02</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万元，占政府采购支出总额的</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79.2</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%，其中授予小微企业合同金额</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14801.91</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万元，占政府采购支出总额的</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66.</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6%。</w:t>
      </w:r>
    </w:p>
    <w:p>
      <w:pPr>
        <w:snapToGrid w:val="0"/>
        <w:spacing w:line="580" w:lineRule="exact"/>
        <w:ind w:firstLine="640" w:firstLineChars="200"/>
        <w:jc w:val="left"/>
        <w:outlineLvl w:val="1"/>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pPr>
        <w:adjustRightInd w:val="0"/>
        <w:snapToGrid w:val="0"/>
        <w:spacing w:line="580" w:lineRule="exact"/>
        <w:ind w:firstLine="660" w:firstLineChars="200"/>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pP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截至2023年12月31日，本单位共有车辆0辆，与上年度持平。单位价值100万元以上设备（不含车辆）15台（套）。</w:t>
      </w:r>
    </w:p>
    <w:p>
      <w:pPr>
        <w:adjustRightInd w:val="0"/>
        <w:snapToGrid w:val="0"/>
        <w:spacing w:line="580" w:lineRule="exact"/>
        <w:ind w:firstLine="640" w:firstLineChars="200"/>
        <w:outlineLvl w:val="1"/>
        <w:rPr>
          <w:rFonts w:ascii="黑体" w:hAnsi="Times New Roman" w:eastAsia="黑体" w:cs="Times New Roman"/>
          <w:sz w:val="32"/>
          <w:szCs w:val="40"/>
        </w:rPr>
      </w:pPr>
      <w:r>
        <w:rPr>
          <w:rFonts w:hint="eastAsia" w:ascii="黑体" w:hAnsi="Times New Roman" w:eastAsia="黑体" w:cs="Times New Roman"/>
          <w:sz w:val="32"/>
          <w:szCs w:val="40"/>
        </w:rPr>
        <w:t>九、预算绩效情况说明</w:t>
      </w:r>
    </w:p>
    <w:p>
      <w:pPr>
        <w:adjustRightInd w:val="0"/>
        <w:snapToGrid w:val="0"/>
        <w:spacing w:line="580" w:lineRule="exact"/>
        <w:ind w:firstLine="643" w:firstLineChars="200"/>
        <w:outlineLvl w:val="2"/>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60" w:firstLineChars="200"/>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pP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根据预算绩效管理要求，本单位组织对2022年度一般公共预算项目支出全面开展绩效自评，其中，一般公共预算项目12个，共涉及资金56765.89万元，占一般公共预算项目支出总额的100%；本单位无政府性基金预算项目。</w:t>
      </w:r>
    </w:p>
    <w:p>
      <w:pPr>
        <w:adjustRightInd w:val="0"/>
        <w:snapToGrid w:val="0"/>
        <w:spacing w:line="580" w:lineRule="exact"/>
        <w:ind w:left="420" w:leftChars="200" w:firstLine="321" w:firstLineChars="100"/>
        <w:outlineLvl w:val="2"/>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60" w:firstLineChars="200"/>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pP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本单位在今年</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单位</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决算公开中反映</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支付日元贷款本金利息经费</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项目绩效自评结果。</w:t>
      </w:r>
    </w:p>
    <w:p>
      <w:pPr>
        <w:adjustRightInd w:val="0"/>
        <w:snapToGrid w:val="0"/>
        <w:spacing w:line="580" w:lineRule="exact"/>
        <w:ind w:firstLine="660" w:firstLineChars="200"/>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pP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支付日元贷款本金利息经费</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项目绩效自评情况：根据年初设定的绩效目标，</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支付日元贷款本金利息经费</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项目绩效自评得分为</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100</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分（绩效自评表附后）。全年预算数为</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40.94</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万元，执行数为</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40.94</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万元，完成预算的</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100</w:t>
      </w:r>
      <w:r>
        <w:rPr>
          <w:rFonts w:hint="default" w:ascii="Times New Roman" w:hAnsi="Times New Roman" w:eastAsia="仿宋_GB2312" w:cs="Times New Roman"/>
          <w:i w:val="0"/>
          <w:iCs w:val="0"/>
          <w:caps w:val="0"/>
          <w:color w:val="000000" w:themeColor="text1"/>
          <w:spacing w:val="0"/>
          <w:kern w:val="0"/>
          <w:sz w:val="33"/>
          <w:szCs w:val="33"/>
          <w:highlight w:val="none"/>
          <w:shd w:val="clear" w:fill="FFFFFF"/>
          <w:rtl w:val="0"/>
          <w:lang w:val="zh-CN" w:eastAsia="zh-CN" w:bidi="ar"/>
          <w14:textFill>
            <w14:solidFill>
              <w14:schemeClr w14:val="tx1"/>
            </w14:solidFill>
          </w14:textFill>
        </w:rPr>
        <w:t>%。项目绩效目标完成情况</w:t>
      </w:r>
      <w:r>
        <w:rPr>
          <w:rFonts w:hint="eastAsia" w:ascii="Times New Roman" w:hAnsi="Times New Roman" w:eastAsia="仿宋_GB2312" w:cs="Times New Roman"/>
          <w:i w:val="0"/>
          <w:iCs w:val="0"/>
          <w:caps w:val="0"/>
          <w:color w:val="000000" w:themeColor="text1"/>
          <w:spacing w:val="0"/>
          <w:kern w:val="0"/>
          <w:sz w:val="33"/>
          <w:szCs w:val="33"/>
          <w:highlight w:val="none"/>
          <w:shd w:val="clear" w:fill="FFFFFF"/>
          <w:rtl w:val="0"/>
          <w:lang w:val="en-US" w:eastAsia="zh-CN" w:bidi="ar"/>
          <w14:textFill>
            <w14:solidFill>
              <w14:schemeClr w14:val="tx1"/>
            </w14:solidFill>
          </w14:textFill>
        </w:rPr>
        <w:t>通过项目实施，完成了年初设定的各项绩效目标，完成了约定的全部内容，未发现问题。</w:t>
      </w:r>
    </w:p>
    <w:tbl>
      <w:tblPr>
        <w:tblStyle w:val="8"/>
        <w:tblW w:w="1026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616"/>
        <w:gridCol w:w="858"/>
        <w:gridCol w:w="954"/>
        <w:gridCol w:w="891"/>
        <w:gridCol w:w="1020"/>
        <w:gridCol w:w="954"/>
        <w:gridCol w:w="954"/>
        <w:gridCol w:w="20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0262"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40"/>
                <w:szCs w:val="40"/>
                <w:u w:val="none"/>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0262" w:type="dxa"/>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2616"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填报单位：石家庄市电子政务中心</w:t>
            </w:r>
          </w:p>
        </w:tc>
        <w:tc>
          <w:tcPr>
            <w:tcW w:w="858"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954"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891"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02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954"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954"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2015"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jc w:val="center"/>
        </w:trPr>
        <w:tc>
          <w:tcPr>
            <w:tcW w:w="2616"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8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 xml:space="preserve">支付日元贷款本金利息     </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92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石家庄市电子政务中心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8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19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2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default" w:ascii="宋体" w:hAnsi="宋体" w:eastAsia="宋体" w:cs="宋体"/>
                <w:i w:val="0"/>
                <w:iCs w:val="0"/>
                <w:color w:val="000000"/>
                <w:sz w:val="16"/>
                <w:szCs w:val="16"/>
                <w:u w:val="none"/>
                <w:lang w:val="en-US"/>
              </w:rPr>
            </w:pPr>
            <w:r>
              <w:rPr>
                <w:rFonts w:hint="eastAsia" w:ascii="宋体" w:hAnsi="宋体" w:eastAsia="宋体" w:cs="宋体"/>
                <w:i w:val="0"/>
                <w:iCs w:val="0"/>
                <w:color w:val="000000"/>
                <w:kern w:val="0"/>
                <w:sz w:val="16"/>
                <w:szCs w:val="16"/>
                <w:u w:val="none"/>
                <w:lang w:val="en-US" w:eastAsia="zh-CN" w:bidi="ar"/>
              </w:rPr>
              <w:t>40.94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40.94</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40.94</w:t>
            </w:r>
          </w:p>
        </w:tc>
        <w:tc>
          <w:tcPr>
            <w:tcW w:w="20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1" w:hRule="atLeast"/>
          <w:jc w:val="center"/>
        </w:trPr>
        <w:tc>
          <w:tcPr>
            <w:tcW w:w="2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40.94</w:t>
            </w: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40.94</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40.94</w:t>
            </w:r>
          </w:p>
        </w:tc>
        <w:tc>
          <w:tcPr>
            <w:tcW w:w="2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2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1"/>
                <w:szCs w:val="21"/>
                <w:u w:val="none"/>
              </w:rPr>
            </w:pPr>
          </w:p>
        </w:tc>
        <w:tc>
          <w:tcPr>
            <w:tcW w:w="8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20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616"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270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9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jc w:val="center"/>
        </w:trPr>
        <w:tc>
          <w:tcPr>
            <w:tcW w:w="2616"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703" w:type="dxa"/>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按时按规定数额支付日元贷款本金利息，保障政府信誉</w:t>
            </w:r>
          </w:p>
        </w:tc>
        <w:tc>
          <w:tcPr>
            <w:tcW w:w="2928" w:type="dxa"/>
            <w:gridSpan w:val="3"/>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按时按规定数额支付了日元贷款本金利息</w:t>
            </w:r>
          </w:p>
        </w:tc>
        <w:tc>
          <w:tcPr>
            <w:tcW w:w="201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616"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2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26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8"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产出指标（60分）</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911"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还款次数</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次</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1</w:t>
            </w:r>
            <w:r>
              <w:rPr>
                <w:rFonts w:hint="eastAsia" w:ascii="宋体" w:hAnsi="宋体" w:eastAsia="宋体" w:cs="宋体"/>
                <w:i w:val="0"/>
                <w:iCs w:val="0"/>
                <w:color w:val="000000"/>
                <w:kern w:val="0"/>
                <w:sz w:val="16"/>
                <w:szCs w:val="16"/>
                <w:u w:val="none"/>
                <w:lang w:val="en-US" w:eastAsia="zh-CN" w:bidi="ar"/>
              </w:rPr>
              <w:t>次</w:t>
            </w:r>
          </w:p>
        </w:tc>
        <w:tc>
          <w:tcPr>
            <w:tcW w:w="201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jc w:val="center"/>
        </w:trPr>
        <w:tc>
          <w:tcPr>
            <w:tcW w:w="26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911"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按时偿还贷款</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100</w:t>
            </w:r>
            <w:r>
              <w:rPr>
                <w:rFonts w:hint="eastAsia" w:ascii="宋体" w:hAnsi="宋体" w:eastAsia="宋体" w:cs="宋体"/>
                <w:i w:val="0"/>
                <w:iCs w:val="0"/>
                <w:color w:val="000000"/>
                <w:kern w:val="0"/>
                <w:sz w:val="16"/>
                <w:szCs w:val="16"/>
                <w:u w:val="none"/>
                <w:lang w:val="en-US" w:eastAsia="zh-CN" w:bidi="ar"/>
              </w:rPr>
              <w:t>%</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100</w:t>
            </w:r>
            <w:r>
              <w:rPr>
                <w:rFonts w:hint="eastAsia" w:ascii="宋体" w:hAnsi="宋体" w:eastAsia="宋体" w:cs="宋体"/>
                <w:i w:val="0"/>
                <w:iCs w:val="0"/>
                <w:color w:val="000000"/>
                <w:kern w:val="0"/>
                <w:sz w:val="16"/>
                <w:szCs w:val="16"/>
                <w:u w:val="none"/>
                <w:lang w:val="en-US" w:eastAsia="zh-CN" w:bidi="ar"/>
              </w:rPr>
              <w:t>%</w:t>
            </w:r>
          </w:p>
        </w:tc>
        <w:tc>
          <w:tcPr>
            <w:tcW w:w="201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r>
              <w:rPr>
                <w:rStyle w:val="20"/>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jc w:val="center"/>
        </w:trPr>
        <w:tc>
          <w:tcPr>
            <w:tcW w:w="26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911"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收到还款通知后的支付时间</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30</w:t>
            </w:r>
            <w:r>
              <w:rPr>
                <w:rFonts w:hint="eastAsia" w:ascii="宋体" w:hAnsi="宋体" w:eastAsia="宋体" w:cs="宋体"/>
                <w:i w:val="0"/>
                <w:iCs w:val="0"/>
                <w:color w:val="000000"/>
                <w:kern w:val="0"/>
                <w:sz w:val="16"/>
                <w:szCs w:val="16"/>
                <w:u w:val="none"/>
                <w:lang w:val="en-US" w:eastAsia="zh-CN" w:bidi="ar"/>
              </w:rPr>
              <w:t>天</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30</w:t>
            </w:r>
            <w:r>
              <w:rPr>
                <w:rFonts w:hint="eastAsia" w:ascii="宋体" w:hAnsi="宋体" w:eastAsia="宋体" w:cs="宋体"/>
                <w:i w:val="0"/>
                <w:iCs w:val="0"/>
                <w:color w:val="000000"/>
                <w:kern w:val="0"/>
                <w:sz w:val="16"/>
                <w:szCs w:val="16"/>
                <w:u w:val="none"/>
                <w:lang w:val="en-US" w:eastAsia="zh-CN" w:bidi="ar"/>
              </w:rPr>
              <w:t>天内</w:t>
            </w:r>
          </w:p>
        </w:tc>
        <w:tc>
          <w:tcPr>
            <w:tcW w:w="201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r>
              <w:rPr>
                <w:rStyle w:val="20"/>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jc w:val="center"/>
        </w:trPr>
        <w:tc>
          <w:tcPr>
            <w:tcW w:w="26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8"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911"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年还款金额</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6"/>
                <w:szCs w:val="16"/>
                <w:u w:val="none"/>
                <w:lang w:val="en-US" w:eastAsia="zh-CN" w:bidi="ar"/>
              </w:rPr>
            </w:pPr>
            <w:r>
              <w:rPr>
                <w:rFonts w:hint="default" w:ascii="宋体" w:hAnsi="宋体" w:eastAsia="宋体" w:cs="宋体"/>
                <w:i w:val="0"/>
                <w:iCs w:val="0"/>
                <w:color w:val="000000"/>
                <w:kern w:val="0"/>
                <w:sz w:val="16"/>
                <w:szCs w:val="16"/>
                <w:u w:val="none"/>
                <w:lang w:val="en-US" w:eastAsia="zh-CN" w:bidi="ar"/>
              </w:rPr>
              <w:t>40.94</w:t>
            </w:r>
            <w:r>
              <w:rPr>
                <w:rFonts w:hint="eastAsia" w:ascii="宋体" w:hAnsi="宋体" w:eastAsia="宋体" w:cs="宋体"/>
                <w:i w:val="0"/>
                <w:iCs w:val="0"/>
                <w:color w:val="000000"/>
                <w:kern w:val="0"/>
                <w:sz w:val="16"/>
                <w:szCs w:val="16"/>
                <w:u w:val="none"/>
                <w:lang w:val="en-US" w:eastAsia="zh-CN" w:bidi="ar"/>
              </w:rPr>
              <w:t>万元</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default" w:ascii="宋体" w:hAnsi="宋体" w:eastAsia="宋体" w:cs="宋体"/>
                <w:i w:val="0"/>
                <w:iCs w:val="0"/>
                <w:color w:val="000000"/>
                <w:kern w:val="0"/>
                <w:sz w:val="16"/>
                <w:szCs w:val="16"/>
                <w:u w:val="none"/>
                <w:lang w:val="en-US" w:eastAsia="zh-CN" w:bidi="ar"/>
              </w:rPr>
              <w:t>40.94</w:t>
            </w:r>
            <w:r>
              <w:rPr>
                <w:rFonts w:hint="eastAsia" w:ascii="宋体" w:hAnsi="宋体" w:eastAsia="宋体" w:cs="宋体"/>
                <w:i w:val="0"/>
                <w:iCs w:val="0"/>
                <w:color w:val="000000"/>
                <w:kern w:val="0"/>
                <w:sz w:val="16"/>
                <w:szCs w:val="16"/>
                <w:u w:val="none"/>
                <w:lang w:val="en-US" w:eastAsia="zh-CN" w:bidi="ar"/>
              </w:rPr>
              <w:t>万元</w:t>
            </w:r>
          </w:p>
        </w:tc>
        <w:tc>
          <w:tcPr>
            <w:tcW w:w="201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r>
              <w:rPr>
                <w:rStyle w:val="20"/>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1" w:hRule="atLeast"/>
          <w:jc w:val="center"/>
        </w:trPr>
        <w:tc>
          <w:tcPr>
            <w:tcW w:w="26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5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91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预算执行率（=执行数/预算数*100%）</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95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r>
              <w:rPr>
                <w:rStyle w:val="20"/>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0" w:hRule="atLeast"/>
          <w:jc w:val="center"/>
        </w:trPr>
        <w:tc>
          <w:tcPr>
            <w:tcW w:w="26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8" w:type="dxa"/>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效益指标（20分）</w:t>
            </w:r>
          </w:p>
        </w:tc>
        <w:tc>
          <w:tcPr>
            <w:tcW w:w="95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911"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避免对政府信誉造成不良影响</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避免对政府信誉造成不良影响</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未造成不良影响</w:t>
            </w:r>
          </w:p>
        </w:tc>
        <w:tc>
          <w:tcPr>
            <w:tcW w:w="201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w:t>
            </w:r>
            <w:r>
              <w:rPr>
                <w:rStyle w:val="20"/>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26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954"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911"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服务对象满意度</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c>
          <w:tcPr>
            <w:tcW w:w="954"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201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r>
              <w:rPr>
                <w:rStyle w:val="20"/>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jc w:val="center"/>
        </w:trPr>
        <w:tc>
          <w:tcPr>
            <w:tcW w:w="2616"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563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20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r>
              <w:rPr>
                <w:rStyle w:val="20"/>
                <w:lang w:val="en-US" w:eastAsia="zh-CN" w:bidi="ar"/>
              </w:rPr>
              <w:t>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jc w:val="center"/>
        </w:trPr>
        <w:tc>
          <w:tcPr>
            <w:tcW w:w="261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764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w:t>
            </w:r>
          </w:p>
        </w:tc>
      </w:tr>
    </w:tbl>
    <w:p>
      <w:pPr>
        <w:pStyle w:val="2"/>
        <w:rPr>
          <w:rFonts w:hint="eastAsia"/>
          <w:lang w:eastAsia="zh-CN"/>
        </w:rPr>
      </w:pPr>
    </w:p>
    <w:p>
      <w:pPr>
        <w:pStyle w:val="2"/>
        <w:rPr>
          <w:rFonts w:hint="eastAsia"/>
          <w:lang w:eastAsia="zh-CN"/>
        </w:rPr>
      </w:pPr>
    </w:p>
    <w:p>
      <w:pPr>
        <w:pStyle w:val="2"/>
        <w:rPr>
          <w:rFonts w:hint="eastAsia"/>
          <w:lang w:eastAsia="zh-CN"/>
        </w:rPr>
      </w:pPr>
    </w:p>
    <w:p>
      <w:pPr>
        <w:adjustRightInd w:val="0"/>
        <w:snapToGrid w:val="0"/>
        <w:spacing w:line="580" w:lineRule="exact"/>
        <w:ind w:firstLine="640" w:firstLineChars="200"/>
        <w:outlineLvl w:val="1"/>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w:t>
      </w:r>
      <w:r>
        <w:rPr>
          <w:rFonts w:hint="eastAsia" w:ascii="仿宋_GB2312" w:eastAsia="仿宋_GB2312" w:cs="Arial Black"/>
          <w:kern w:val="0"/>
          <w:sz w:val="32"/>
          <w:szCs w:val="32"/>
          <w:rtl w:val="0"/>
          <w:lang w:val="en-US" w:eastAsia="zh-CN"/>
        </w:rPr>
        <w:t>单位2023年度未发生政府性基金预算、国有资本经营预算收支及结转结余情况，故政府性基金预算财政拨款收入支出决算表、国有资本经营预算财政拨款支出决算表以空表列示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pStyle w:val="2"/>
        <w:rPr>
          <w:rFonts w:ascii="仿宋_GB2312" w:hAnsi="宋体" w:eastAsia="仿宋_GB2312" w:cs="ArialUnicodeMS"/>
          <w:sz w:val="32"/>
          <w:szCs w:val="32"/>
        </w:rPr>
      </w:pPr>
    </w:p>
    <w:p>
      <w:pPr>
        <w:pStyle w:val="2"/>
        <w:rPr>
          <w:rFonts w:ascii="仿宋_GB2312" w:hAnsi="宋体" w:eastAsia="仿宋_GB2312" w:cs="ArialUnicodeMS"/>
          <w:sz w:val="32"/>
          <w:szCs w:val="32"/>
        </w:rPr>
      </w:pPr>
    </w:p>
    <w:p>
      <w:pPr>
        <w:rPr>
          <w:rFonts w:ascii="仿宋_GB2312" w:hAnsi="宋体" w:eastAsia="仿宋_GB2312" w:cs="ArialUnicodeMS"/>
          <w:sz w:val="32"/>
          <w:szCs w:val="32"/>
        </w:rPr>
      </w:pPr>
    </w:p>
    <w:p>
      <w:pPr>
        <w:pStyle w:val="2"/>
        <w:rPr>
          <w:rFonts w:ascii="仿宋_GB2312" w:hAnsi="宋体" w:eastAsia="仿宋_GB2312" w:cs="ArialUnicodeMS"/>
          <w:sz w:val="32"/>
          <w:szCs w:val="32"/>
        </w:rPr>
      </w:pPr>
    </w:p>
    <w:p>
      <w:pPr>
        <w:pStyle w:val="2"/>
        <w:rPr>
          <w:rFonts w:ascii="仿宋_GB2312" w:hAnsi="宋体" w:eastAsia="仿宋_GB2312" w:cs="ArialUnicodeMS"/>
          <w:sz w:val="32"/>
          <w:szCs w:val="32"/>
        </w:rPr>
      </w:pPr>
    </w:p>
    <w:p>
      <w:pPr>
        <w:pStyle w:val="2"/>
        <w:rPr>
          <w:rFonts w:ascii="仿宋_GB2312" w:hAnsi="宋体" w:eastAsia="仿宋_GB2312" w:cs="ArialUnicodeMS"/>
          <w:sz w:val="32"/>
          <w:szCs w:val="32"/>
        </w:rPr>
      </w:pPr>
    </w:p>
    <w:p>
      <w:pPr>
        <w:pStyle w:val="2"/>
        <w:rPr>
          <w:rFonts w:ascii="仿宋_GB2312" w:hAnsi="宋体" w:eastAsia="仿宋_GB2312" w:cs="ArialUnicodeMS"/>
          <w:sz w:val="32"/>
          <w:szCs w:val="32"/>
        </w:rPr>
      </w:pPr>
    </w:p>
    <w:p>
      <w:pPr>
        <w:pStyle w:val="2"/>
        <w:ind w:left="0" w:leftChars="0" w:firstLine="0" w:firstLineChars="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bookmarkStart w:id="0" w:name="_GoBack"/>
      <w:bookmarkEnd w:id="0"/>
    </w:p>
    <w:p>
      <w:pPr>
        <w:widowControl/>
        <w:jc w:val="center"/>
        <w:outlineLvl w:val="0"/>
        <w:rPr>
          <w:sz w:val="44"/>
          <w:szCs w:val="44"/>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pPr>
        <w:rPr>
          <w:rFonts w:ascii="仿宋_GB2312" w:hAnsi="宋体" w:eastAsia="仿宋_GB2312" w:cs="ArialUnicodeMS"/>
          <w:sz w:val="32"/>
          <w:szCs w:val="32"/>
        </w:rPr>
      </w:pPr>
    </w:p>
    <w:p>
      <w:pPr>
        <w:numPr>
          <w:ilvl w:val="0"/>
          <w:numId w:val="2"/>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指单位从同级财政部门取得的财政预</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pPr>
        <w:numPr>
          <w:ilvl w:val="0"/>
          <w:numId w:val="2"/>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pPr>
        <w:numPr>
          <w:ilvl w:val="0"/>
          <w:numId w:val="2"/>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pPr>
        <w:numPr>
          <w:ilvl w:val="0"/>
          <w:numId w:val="2"/>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 xml:space="preserve">   五、使用非财政拨款结余（含专用结余）：</w:t>
      </w:r>
      <w:r>
        <w:rPr>
          <w:rFonts w:hint="eastAsia" w:ascii="仿宋_GB2312" w:hAnsi="宋体"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3"/>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指单位以前年度尚未完成、结转到</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pPr>
        <w:numPr>
          <w:ilvl w:val="0"/>
          <w:numId w:val="3"/>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pPr>
        <w:numPr>
          <w:ilvl w:val="0"/>
          <w:numId w:val="3"/>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指单位按有关规定结转到下年或以</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pPr>
        <w:numPr>
          <w:ilvl w:val="0"/>
          <w:numId w:val="3"/>
        </w:numPr>
        <w:spacing w:line="580" w:lineRule="exact"/>
        <w:outlineLvl w:val="1"/>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十一、经营支出 ：</w:t>
      </w:r>
      <w:r>
        <w:rPr>
          <w:rFonts w:hint="eastAsia" w:ascii="仿宋_GB2312" w:hAnsi="宋体"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十三、其他资本性支出：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十八、机关运行经费：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十九、经费形式: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1474" w:right="1417" w:bottom="1474"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魏碑简体">
    <w:altName w:val="方正魏碑_GBK"/>
    <w:panose1 w:val="00000000000000000000"/>
    <w:charset w:val="86"/>
    <w:family w:val="auto"/>
    <w:pitch w:val="default"/>
    <w:sig w:usb0="00000000" w:usb1="00000000" w:usb2="00000010" w:usb3="00000000" w:csb0="00040000" w:csb1="00000000"/>
  </w:font>
  <w:font w:name="方正魏碑_GBK">
    <w:panose1 w:val="02000000000000000000"/>
    <w:charset w:val="86"/>
    <w:family w:val="auto"/>
    <w:pitch w:val="default"/>
    <w:sig w:usb0="00000001" w:usb1="08000000" w:usb2="00000000" w:usb3="00000000" w:csb0="00040000" w:csb1="00000000"/>
  </w:font>
  <w:font w:name="思源黑体 CN Heavy">
    <w:altName w:val="方正黑体_GBK"/>
    <w:panose1 w:val="00000000000000000000"/>
    <w:charset w:val="86"/>
    <w:family w:val="swiss"/>
    <w:pitch w:val="default"/>
    <w:sig w:usb0="00000000" w:usb1="00000000" w:usb2="00000016" w:usb3="00000000" w:csb0="00060107" w:csb1="00000000"/>
  </w:font>
  <w:font w:name="仿宋_GB2312">
    <w:panose1 w:val="02010609030101010101"/>
    <w:charset w:val="86"/>
    <w:family w:val="modern"/>
    <w:pitch w:val="default"/>
    <w:sig w:usb0="00000001" w:usb1="080E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Noto Sans Syriac Eastern"/>
    <w:panose1 w:val="02040503050406030204"/>
    <w:charset w:val="00"/>
    <w:family w:val="roman"/>
    <w:pitch w:val="default"/>
    <w:sig w:usb0="00000000" w:usb1="00000000" w:usb2="00000000" w:usb3="00000000" w:csb0="2000019F" w:csb1="00000000"/>
  </w:font>
  <w:font w:name="Noto Sans Syriac Eastern">
    <w:panose1 w:val="02040503050306020203"/>
    <w:charset w:val="86"/>
    <w:family w:val="auto"/>
    <w:pitch w:val="default"/>
    <w:sig w:usb0="00000000" w:usb1="00000000" w:usb2="00000080" w:usb3="00000000" w:csb0="203E0161" w:csb1="D7FF0000"/>
  </w:font>
  <w:font w:name="DengXian-Regular">
    <w:altName w:val="华文中宋"/>
    <w:panose1 w:val="00000000000000000000"/>
    <w:charset w:val="86"/>
    <w:family w:val="auto"/>
    <w:pitch w:val="default"/>
    <w:sig w:usb0="00000000" w:usb1="00000000" w:usb2="00000010" w:usb3="00000000" w:csb0="00040001" w:csb1="00000000"/>
  </w:font>
  <w:font w:name="DengXian-Bold">
    <w:altName w:val="华文中宋"/>
    <w:panose1 w:val="00000000000000000000"/>
    <w:charset w:val="86"/>
    <w:family w:val="auto"/>
    <w:pitch w:val="default"/>
    <w:sig w:usb0="00000000" w:usb1="00000000" w:usb2="00000010" w:usb3="00000000" w:csb0="00040001" w:csb1="00000000"/>
  </w:font>
  <w:font w:name="方正小标宋_GBK">
    <w:panose1 w:val="02000000000000000000"/>
    <w:charset w:val="86"/>
    <w:family w:val="auto"/>
    <w:pitch w:val="default"/>
    <w:sig w:usb0="00000001" w:usb1="08000000" w:usb2="00000000" w:usb3="00000000" w:csb0="00040000" w:csb1="00000000"/>
  </w:font>
  <w:font w:name="Arial Black">
    <w:altName w:val="DejaVu Sans"/>
    <w:panose1 w:val="020B0A04020102020204"/>
    <w:charset w:val="00"/>
    <w:family w:val="swiss"/>
    <w:pitch w:val="default"/>
    <w:sig w:usb0="00000000" w:usb1="00000000" w:usb2="00000000" w:usb3="00000000" w:csb0="2000009F" w:csb1="DFD70000"/>
  </w:font>
  <w:font w:name="MS-UIGothic,Bold">
    <w:altName w:val="方正书宋_GBK"/>
    <w:panose1 w:val="00000000000000000000"/>
    <w:charset w:val="81"/>
    <w:family w:val="auto"/>
    <w:pitch w:val="default"/>
    <w:sig w:usb0="00000000" w:usb1="00000000" w:usb2="00000010" w:usb3="00000000" w:csb0="00080000" w:csb1="00000000"/>
  </w:font>
  <w:font w:name="方正仿宋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OTYsImhkaWQiOiIwZWE3OGU1OTVlMTkyZjRkZGJkMDgwMDg1M2Y1NDMyMyIsInVzZXJDb3VudCI6Mn0="/>
    <w:docVar w:name="KSO_WPS_MARK_KEY" w:val="71c2c6a0-067b-4e3a-b3ef-0dc62715dcd3"/>
  </w:docVars>
  <w:rsids>
    <w:rsidRoot w:val="00172A27"/>
    <w:rsid w:val="000031F7"/>
    <w:rsid w:val="00014862"/>
    <w:rsid w:val="000349BA"/>
    <w:rsid w:val="000C393A"/>
    <w:rsid w:val="00125965"/>
    <w:rsid w:val="00144CC5"/>
    <w:rsid w:val="00172A27"/>
    <w:rsid w:val="00203288"/>
    <w:rsid w:val="00206EB2"/>
    <w:rsid w:val="00262CE0"/>
    <w:rsid w:val="002C2C3F"/>
    <w:rsid w:val="00310221"/>
    <w:rsid w:val="0034600F"/>
    <w:rsid w:val="00366EA1"/>
    <w:rsid w:val="004550B9"/>
    <w:rsid w:val="00473A26"/>
    <w:rsid w:val="00483998"/>
    <w:rsid w:val="004D1145"/>
    <w:rsid w:val="004E274E"/>
    <w:rsid w:val="004F23D0"/>
    <w:rsid w:val="004F5E71"/>
    <w:rsid w:val="0051575E"/>
    <w:rsid w:val="00522C51"/>
    <w:rsid w:val="00550130"/>
    <w:rsid w:val="005B2633"/>
    <w:rsid w:val="00657113"/>
    <w:rsid w:val="00663586"/>
    <w:rsid w:val="006C5D6E"/>
    <w:rsid w:val="007042CC"/>
    <w:rsid w:val="00704A9C"/>
    <w:rsid w:val="00757732"/>
    <w:rsid w:val="00786182"/>
    <w:rsid w:val="007B4464"/>
    <w:rsid w:val="00816BB2"/>
    <w:rsid w:val="008349E7"/>
    <w:rsid w:val="008414F6"/>
    <w:rsid w:val="00853F9E"/>
    <w:rsid w:val="00855E47"/>
    <w:rsid w:val="00896712"/>
    <w:rsid w:val="008E5668"/>
    <w:rsid w:val="009718A8"/>
    <w:rsid w:val="009D7927"/>
    <w:rsid w:val="009E6461"/>
    <w:rsid w:val="00A12180"/>
    <w:rsid w:val="00A66109"/>
    <w:rsid w:val="00B15320"/>
    <w:rsid w:val="00B170B0"/>
    <w:rsid w:val="00B20DC3"/>
    <w:rsid w:val="00B86E38"/>
    <w:rsid w:val="00BE1054"/>
    <w:rsid w:val="00BE7649"/>
    <w:rsid w:val="00C21492"/>
    <w:rsid w:val="00C418F5"/>
    <w:rsid w:val="00CE4C2D"/>
    <w:rsid w:val="00CE755E"/>
    <w:rsid w:val="00D25268"/>
    <w:rsid w:val="00D264B9"/>
    <w:rsid w:val="00D71400"/>
    <w:rsid w:val="00DA0B17"/>
    <w:rsid w:val="00DE4245"/>
    <w:rsid w:val="00DF42C4"/>
    <w:rsid w:val="00DF688D"/>
    <w:rsid w:val="00E039B0"/>
    <w:rsid w:val="00E35F22"/>
    <w:rsid w:val="00E40650"/>
    <w:rsid w:val="00E44B04"/>
    <w:rsid w:val="00E519C7"/>
    <w:rsid w:val="00E54036"/>
    <w:rsid w:val="00E669B9"/>
    <w:rsid w:val="00E818B1"/>
    <w:rsid w:val="00E86E79"/>
    <w:rsid w:val="00EB1655"/>
    <w:rsid w:val="00F242CA"/>
    <w:rsid w:val="00FC3F68"/>
    <w:rsid w:val="00FF453A"/>
    <w:rsid w:val="018E53BB"/>
    <w:rsid w:val="01B752BF"/>
    <w:rsid w:val="02F2691F"/>
    <w:rsid w:val="04B76033"/>
    <w:rsid w:val="05273E55"/>
    <w:rsid w:val="06EB1AB6"/>
    <w:rsid w:val="07284D50"/>
    <w:rsid w:val="08922361"/>
    <w:rsid w:val="099D6B31"/>
    <w:rsid w:val="09FD66D9"/>
    <w:rsid w:val="103A5C8E"/>
    <w:rsid w:val="10B242CF"/>
    <w:rsid w:val="11F4604E"/>
    <w:rsid w:val="13473803"/>
    <w:rsid w:val="136D16FB"/>
    <w:rsid w:val="13AA21BF"/>
    <w:rsid w:val="15805F08"/>
    <w:rsid w:val="181D5946"/>
    <w:rsid w:val="18356DA1"/>
    <w:rsid w:val="1A3D2C72"/>
    <w:rsid w:val="1C005B64"/>
    <w:rsid w:val="200D7156"/>
    <w:rsid w:val="216937C4"/>
    <w:rsid w:val="22C61673"/>
    <w:rsid w:val="257C1CB8"/>
    <w:rsid w:val="289B2F5E"/>
    <w:rsid w:val="291A2027"/>
    <w:rsid w:val="298605CB"/>
    <w:rsid w:val="29AF3352"/>
    <w:rsid w:val="2ABB55EF"/>
    <w:rsid w:val="2CEF036C"/>
    <w:rsid w:val="2F82144E"/>
    <w:rsid w:val="32A31C4C"/>
    <w:rsid w:val="32B53CA7"/>
    <w:rsid w:val="33CD2241"/>
    <w:rsid w:val="34967CFD"/>
    <w:rsid w:val="34CF3A59"/>
    <w:rsid w:val="374E385F"/>
    <w:rsid w:val="39C2416B"/>
    <w:rsid w:val="3A6D3ADB"/>
    <w:rsid w:val="3B744E3E"/>
    <w:rsid w:val="3D0062DF"/>
    <w:rsid w:val="3DC91A1B"/>
    <w:rsid w:val="3DFD040A"/>
    <w:rsid w:val="3F235BB1"/>
    <w:rsid w:val="3F663581"/>
    <w:rsid w:val="42A44BF6"/>
    <w:rsid w:val="42E66126"/>
    <w:rsid w:val="443D7F72"/>
    <w:rsid w:val="4571549B"/>
    <w:rsid w:val="471274FD"/>
    <w:rsid w:val="49717ADD"/>
    <w:rsid w:val="4A51609B"/>
    <w:rsid w:val="4C161E40"/>
    <w:rsid w:val="4C194D3B"/>
    <w:rsid w:val="4D304C6C"/>
    <w:rsid w:val="4F2A6A41"/>
    <w:rsid w:val="4F473A81"/>
    <w:rsid w:val="500373A2"/>
    <w:rsid w:val="507C6383"/>
    <w:rsid w:val="508F545B"/>
    <w:rsid w:val="51246997"/>
    <w:rsid w:val="53AD746D"/>
    <w:rsid w:val="56122979"/>
    <w:rsid w:val="561769D4"/>
    <w:rsid w:val="57540B88"/>
    <w:rsid w:val="58676F42"/>
    <w:rsid w:val="58D844B0"/>
    <w:rsid w:val="5D7A0701"/>
    <w:rsid w:val="5F4A1A8C"/>
    <w:rsid w:val="5FEF2422"/>
    <w:rsid w:val="60075621"/>
    <w:rsid w:val="602001C2"/>
    <w:rsid w:val="60CE32E1"/>
    <w:rsid w:val="61F12830"/>
    <w:rsid w:val="649A7590"/>
    <w:rsid w:val="64C00985"/>
    <w:rsid w:val="65225D26"/>
    <w:rsid w:val="65DB5CBA"/>
    <w:rsid w:val="67010A07"/>
    <w:rsid w:val="674E6C15"/>
    <w:rsid w:val="67636EEB"/>
    <w:rsid w:val="67D6069C"/>
    <w:rsid w:val="68AD274F"/>
    <w:rsid w:val="697609B2"/>
    <w:rsid w:val="69F4671F"/>
    <w:rsid w:val="6BA53F12"/>
    <w:rsid w:val="6CBF282C"/>
    <w:rsid w:val="6E4D5C5E"/>
    <w:rsid w:val="70E81256"/>
    <w:rsid w:val="71A16BC9"/>
    <w:rsid w:val="73335BEE"/>
    <w:rsid w:val="734B3BFA"/>
    <w:rsid w:val="73753308"/>
    <w:rsid w:val="743444A4"/>
    <w:rsid w:val="74B61AFD"/>
    <w:rsid w:val="79442C5B"/>
    <w:rsid w:val="7ABF2192"/>
    <w:rsid w:val="7BB011B5"/>
    <w:rsid w:val="7C2A2F43"/>
    <w:rsid w:val="7EAD450C"/>
    <w:rsid w:val="7F04559B"/>
    <w:rsid w:val="CCEF83DD"/>
    <w:rsid w:val="DF7B5C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99"/>
    <w:pPr>
      <w:adjustRightInd w:val="0"/>
      <w:spacing w:line="360" w:lineRule="atLeast"/>
      <w:ind w:firstLine="420"/>
      <w:jc w:val="left"/>
      <w:textAlignment w:val="baseline"/>
    </w:pPr>
    <w:rPr>
      <w:kern w:val="0"/>
      <w:sz w:val="25"/>
      <w:szCs w:val="20"/>
    </w:rPr>
  </w:style>
  <w:style w:type="paragraph" w:styleId="4">
    <w:name w:val="Balloon Text"/>
    <w:basedOn w:val="1"/>
    <w:link w:val="19"/>
    <w:unhideWhenUsed/>
    <w:qFormat/>
    <w:uiPriority w:val="99"/>
    <w:rPr>
      <w:sz w:val="18"/>
      <w:szCs w:val="18"/>
    </w:rPr>
  </w:style>
  <w:style w:type="paragraph" w:styleId="5">
    <w:name w:val="footer"/>
    <w:basedOn w:val="1"/>
    <w:link w:val="11"/>
    <w:qFormat/>
    <w:uiPriority w:val="99"/>
    <w:pPr>
      <w:tabs>
        <w:tab w:val="center" w:pos="4153"/>
        <w:tab w:val="right" w:pos="8306"/>
      </w:tabs>
      <w:snapToGrid w:val="0"/>
      <w:jc w:val="left"/>
    </w:pPr>
    <w:rPr>
      <w:sz w:val="18"/>
      <w:szCs w:val="18"/>
    </w:rPr>
  </w:style>
  <w:style w:type="paragraph" w:styleId="6">
    <w:name w:val="header"/>
    <w:basedOn w:val="1"/>
    <w:link w:val="12"/>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9">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页脚 Char"/>
    <w:basedOn w:val="10"/>
    <w:link w:val="5"/>
    <w:qFormat/>
    <w:uiPriority w:val="99"/>
    <w:rPr>
      <w:kern w:val="2"/>
      <w:sz w:val="18"/>
      <w:szCs w:val="18"/>
    </w:rPr>
  </w:style>
  <w:style w:type="character" w:customStyle="1" w:styleId="12">
    <w:name w:val="页眉 Char"/>
    <w:basedOn w:val="10"/>
    <w:link w:val="6"/>
    <w:qFormat/>
    <w:uiPriority w:val="0"/>
    <w:rPr>
      <w:kern w:val="2"/>
      <w:sz w:val="18"/>
      <w:szCs w:val="18"/>
    </w:rPr>
  </w:style>
  <w:style w:type="character" w:customStyle="1" w:styleId="13">
    <w:name w:val="font11"/>
    <w:basedOn w:val="10"/>
    <w:qFormat/>
    <w:uiPriority w:val="0"/>
    <w:rPr>
      <w:rFonts w:hint="eastAsia" w:ascii="宋体" w:hAnsi="宋体" w:eastAsia="宋体" w:cs="宋体"/>
      <w:color w:val="000000"/>
      <w:sz w:val="20"/>
      <w:szCs w:val="20"/>
      <w:u w:val="none"/>
    </w:rPr>
  </w:style>
  <w:style w:type="character" w:customStyle="1" w:styleId="14">
    <w:name w:val="font01"/>
    <w:basedOn w:val="10"/>
    <w:qFormat/>
    <w:uiPriority w:val="0"/>
    <w:rPr>
      <w:rFonts w:hint="eastAsia" w:ascii="宋体" w:hAnsi="宋体" w:eastAsia="宋体" w:cs="宋体"/>
      <w:color w:val="000000"/>
      <w:sz w:val="22"/>
      <w:szCs w:val="22"/>
      <w:u w:val="none"/>
    </w:rPr>
  </w:style>
  <w:style w:type="character" w:customStyle="1" w:styleId="15">
    <w:name w:val="font41"/>
    <w:basedOn w:val="10"/>
    <w:qFormat/>
    <w:uiPriority w:val="0"/>
    <w:rPr>
      <w:rFonts w:hint="eastAsia" w:ascii="宋体" w:hAnsi="宋体" w:eastAsia="宋体" w:cs="宋体"/>
      <w:color w:val="000000"/>
      <w:sz w:val="24"/>
      <w:szCs w:val="24"/>
      <w:u w:val="none"/>
    </w:rPr>
  </w:style>
  <w:style w:type="character" w:customStyle="1" w:styleId="16">
    <w:name w:val="font31"/>
    <w:basedOn w:val="10"/>
    <w:qFormat/>
    <w:uiPriority w:val="0"/>
    <w:rPr>
      <w:rFonts w:hint="eastAsia" w:ascii="华文中宋" w:hAnsi="华文中宋" w:eastAsia="华文中宋" w:cs="华文中宋"/>
      <w:color w:val="000000"/>
      <w:sz w:val="32"/>
      <w:szCs w:val="32"/>
      <w:u w:val="none"/>
    </w:rPr>
  </w:style>
  <w:style w:type="character" w:customStyle="1" w:styleId="17">
    <w:name w:val="font91"/>
    <w:basedOn w:val="10"/>
    <w:qFormat/>
    <w:uiPriority w:val="0"/>
    <w:rPr>
      <w:rFonts w:hint="eastAsia" w:ascii="华文中宋" w:hAnsi="华文中宋" w:eastAsia="华文中宋" w:cs="华文中宋"/>
      <w:color w:val="000000"/>
      <w:sz w:val="32"/>
      <w:szCs w:val="32"/>
      <w:u w:val="none"/>
    </w:rPr>
  </w:style>
  <w:style w:type="character" w:customStyle="1" w:styleId="18">
    <w:name w:val="font51"/>
    <w:basedOn w:val="10"/>
    <w:qFormat/>
    <w:uiPriority w:val="0"/>
    <w:rPr>
      <w:rFonts w:hint="eastAsia" w:ascii="宋体" w:hAnsi="宋体" w:eastAsia="宋体" w:cs="宋体"/>
      <w:color w:val="000000"/>
      <w:sz w:val="24"/>
      <w:szCs w:val="24"/>
      <w:u w:val="none"/>
    </w:rPr>
  </w:style>
  <w:style w:type="character" w:customStyle="1" w:styleId="19">
    <w:name w:val="批注框文本 Char"/>
    <w:basedOn w:val="10"/>
    <w:link w:val="4"/>
    <w:semiHidden/>
    <w:qFormat/>
    <w:uiPriority w:val="99"/>
    <w:rPr>
      <w:kern w:val="2"/>
      <w:sz w:val="18"/>
      <w:szCs w:val="18"/>
    </w:rPr>
  </w:style>
  <w:style w:type="character" w:customStyle="1" w:styleId="20">
    <w:name w:val="font81"/>
    <w:basedOn w:val="10"/>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4" Type="http://schemas.openxmlformats.org/officeDocument/2006/relationships/fontTable" Target="fontTable.xml"/><Relationship Id="rId33" Type="http://schemas.openxmlformats.org/officeDocument/2006/relationships/customXml" Target="../customXml/item2.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chart" Target="charts/chart6.xml"/><Relationship Id="rId3" Type="http://schemas.openxmlformats.org/officeDocument/2006/relationships/footer" Target="footer1.xml"/><Relationship Id="rId29" Type="http://schemas.openxmlformats.org/officeDocument/2006/relationships/chart" Target="charts/chart5.xml"/><Relationship Id="rId28" Type="http://schemas.openxmlformats.org/officeDocument/2006/relationships/chart" Target="charts/chart4.xml"/><Relationship Id="rId27" Type="http://schemas.openxmlformats.org/officeDocument/2006/relationships/chart" Target="charts/chart3.xml"/><Relationship Id="rId26" Type="http://schemas.openxmlformats.org/officeDocument/2006/relationships/chart" Target="charts/chart2.xml"/><Relationship Id="rId25" Type="http://schemas.openxmlformats.org/officeDocument/2006/relationships/chart" Target="charts/chart1.xml"/><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jpeg"/><Relationship Id="rId14" Type="http://schemas.openxmlformats.org/officeDocument/2006/relationships/image" Target="media/image1.svg"/><Relationship Id="rId13" Type="http://schemas.openxmlformats.org/officeDocument/2006/relationships/image" Target="media/image4.pn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年度收支总计对比图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9473.35</c:v>
                </c:pt>
                <c:pt idx="1">
                  <c:v>56525.12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1"/>
              <c:layout>
                <c:manualLayout>
                  <c:x val="-0.00446967866634453"/>
                  <c:y val="0.050361240968975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120686156076347"/>
                  <c:y val="0.09050106247594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145751128475814"/>
                  <c:y val="0.082426264345898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33756946122252"/>
                  <c:y val="0.24264725882119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194733027301281"/>
                  <c:y val="0.17807054823629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564913682.96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：支出决算构成情况图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0077115884547484"/>
                  <c:y val="0.032617573536348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175163082870259"/>
                  <c:y val="0.095622609434764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12103889828461"/>
                  <c:y val="0.045239694010156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26930287841775"/>
                  <c:y val="0.19228601785221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6575411.82</c:v>
                </c:pt>
                <c:pt idx="1">
                  <c:v>558638541.08</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年度财政拨款收支对比图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9376.64</c:v>
                </c:pt>
                <c:pt idx="1">
                  <c:v>9435.85</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56491.37</c:v>
                </c:pt>
                <c:pt idx="1">
                  <c:v>56521.4</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Sheet1!$B$2:$B$3</c:f>
              <c:numCache>
                <c:formatCode>General</c:formatCode>
                <c:ptCount val="2"/>
                <c:pt idx="0">
                  <c:v>64738.88</c:v>
                </c:pt>
                <c:pt idx="1">
                  <c:v>64738.88</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财政拨款支出</c:v>
                </c:pt>
              </c:strCache>
            </c:strRef>
          </c:cat>
          <c:val>
            <c:numRef>
              <c:f>Sheet1!$C$2:$C$3</c:f>
              <c:numCache>
                <c:formatCode>General</c:formatCode>
                <c:ptCount val="2"/>
                <c:pt idx="0">
                  <c:v>56491.37</c:v>
                </c:pt>
                <c:pt idx="1">
                  <c:v>56521.4</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000311384911667495"/>
                  <c:y val="-0.015500386051455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116566835437185"/>
                  <c:y val="-0.0125307428258075"/>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171151215060533"/>
                  <c:y val="0.0599288815885967"/>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4"/>
              <c:layout>
                <c:manualLayout>
                  <c:x val="-0.0723110573707007"/>
                  <c:y val="-0.0299493238529214"/>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5"/>
              <c:layout>
                <c:manualLayout>
                  <c:x val="-0.180830122434131"/>
                  <c:y val="0.0223250527249221"/>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一般公共服务支出</c:v>
                </c:pt>
                <c:pt idx="1">
                  <c:v>社会保障和就业支出</c:v>
                </c:pt>
                <c:pt idx="2">
                  <c:v>卫生健康支出</c:v>
                </c:pt>
                <c:pt idx="3">
                  <c:v>资源勘探工业信息等支出</c:v>
                </c:pt>
                <c:pt idx="4">
                  <c:v>住房保障支出</c:v>
                </c:pt>
                <c:pt idx="5">
                  <c:v>其他支出</c:v>
                </c:pt>
              </c:strCache>
            </c:strRef>
          </c:cat>
          <c:val>
            <c:numRef>
              <c:f>Sheet1!$B$2:$B$7</c:f>
              <c:numCache>
                <c:formatCode>General</c:formatCode>
                <c:ptCount val="6"/>
                <c:pt idx="0">
                  <c:v>633.27</c:v>
                </c:pt>
                <c:pt idx="1">
                  <c:v>61.68</c:v>
                </c:pt>
                <c:pt idx="2">
                  <c:v>37.99</c:v>
                </c:pt>
                <c:pt idx="3">
                  <c:v>55528.82</c:v>
                </c:pt>
                <c:pt idx="4">
                  <c:v>50</c:v>
                </c:pt>
                <c:pt idx="5">
                  <c:v>209.64</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097ABCA-4227-4EFF-8EB9-5F1F21DB3EB7}">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27</Pages>
  <Words>5305</Words>
  <Characters>5885</Characters>
  <Lines>86</Lines>
  <Paragraphs>24</Paragraphs>
  <TotalTime>2</TotalTime>
  <ScaleCrop>false</ScaleCrop>
  <LinksUpToDate>false</LinksUpToDate>
  <CharactersWithSpaces>5921</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2023-08-05T07:55:00Z</dcterms:created>
  <dc:creator>王明新TIAD</dc:creator>
  <cp:lastModifiedBy>admin123</cp:lastModifiedBy>
  <cp:lastPrinted>2023-08-05T01:00:00Z</cp:lastPrinted>
  <dcterms:modified xsi:type="dcterms:W3CDTF">2025-09-10T18:19:45Z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KSOTemplateUUID">
    <vt:lpwstr>v1.0_mb_S7ajbG3IpAnL1wSthNCxfw==</vt:lpwstr>
  </property>
  <property fmtid="{D5CDD505-2E9C-101B-9397-08002B2CF9AE}" pid="4" name="ICV">
    <vt:lpwstr>6388C71828994EE68F92E15B0CED978C</vt:lpwstr>
  </property>
</Properties>
</file>